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40"/>
        </w:rPr>
        <w:t>InsightPilot AI - Executive Portfolio Report</w:t>
      </w:r>
    </w:p>
    <w:p>
      <w:r>
        <w:t>Report Generated: 2026-07-07 14:07:45</w:t>
        <w:br/>
        <w:t>Data Analyst: InsightPilot AI Multi-Agent Coordinator</w:t>
        <w:br/>
      </w:r>
    </w:p>
    <w:p>
      <w:r>
        <w:rPr>
          <w:b/>
          <w:color w:val="09090B"/>
          <w:sz w:val="28"/>
        </w:rPr>
        <w:t>Executive Overview</w:t>
      </w:r>
    </w:p>
    <w:p>
      <w:r>
        <w:t>The dataset contains 500 records across 19 columns.</w:t>
        <w:br/>
        <w:t>The target column 'Delinquent_Account' shows a delinquency rate of 16.0% (80 delinquent accounts).</w:t>
        <w:br/>
        <w:t>The average credit score of delinquent accounts is 591.1, compared to 575.2 for non-delinquent accounts.</w:t>
      </w:r>
    </w:p>
    <w:p>
      <w:r>
        <w:rPr>
          <w:b/>
          <w:sz w:val="24"/>
        </w:rPr>
        <w:t>Portfolio KPI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 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Accounts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Average Credit Score</w:t>
            </w:r>
          </w:p>
        </w:tc>
        <w:tc>
          <w:tcPr>
            <w:tcW w:type="dxa" w:w="4320"/>
          </w:tcPr>
          <w:p>
            <w:r>
              <w:t>577.8</w:t>
            </w:r>
          </w:p>
        </w:tc>
      </w:tr>
      <w:tr>
        <w:tc>
          <w:tcPr>
            <w:tcW w:type="dxa" w:w="4320"/>
          </w:tcPr>
          <w:p>
            <w:r>
              <w:t>Average Income</w:t>
            </w:r>
          </w:p>
        </w:tc>
        <w:tc>
          <w:tcPr>
            <w:tcW w:type="dxa" w:w="4320"/>
          </w:tcPr>
          <w:p>
            <w:r>
              <w:t>$108,323.59</w:t>
            </w:r>
          </w:p>
        </w:tc>
      </w:tr>
      <w:tr>
        <w:tc>
          <w:tcPr>
            <w:tcW w:type="dxa" w:w="4320"/>
          </w:tcPr>
          <w:p>
            <w:r>
              <w:t>Historical Delinquency Rate</w:t>
            </w:r>
          </w:p>
        </w:tc>
        <w:tc>
          <w:tcPr>
            <w:tcW w:type="dxa" w:w="4320"/>
          </w:tcPr>
          <w:p>
            <w:r>
              <w:t>16.0%</w:t>
            </w:r>
          </w:p>
        </w:tc>
      </w:tr>
      <w:tr>
        <w:tc>
          <w:tcPr>
            <w:tcW w:type="dxa" w:w="4320"/>
          </w:tcPr>
          <w:p>
            <w:r>
              <w:t>Predicted High Risk Accounts</w:t>
            </w:r>
          </w:p>
        </w:tc>
        <w:tc>
          <w:tcPr>
            <w:tcW w:type="dxa" w:w="4320"/>
          </w:tcPr>
          <w:p>
            <w:r>
              <w:t>0 (0.0%)</w:t>
            </w:r>
          </w:p>
        </w:tc>
      </w:tr>
      <w:tr>
        <w:tc>
          <w:tcPr>
            <w:tcW w:type="dxa" w:w="4320"/>
          </w:tcPr>
          <w:p>
            <w:r>
              <w:t>Average Predicted Risk</w:t>
            </w:r>
          </w:p>
        </w:tc>
        <w:tc>
          <w:tcPr>
            <w:tcW w:type="dxa" w:w="4320"/>
          </w:tcPr>
          <w:p>
            <w:r>
              <w:t>16.5%</w:t>
            </w:r>
          </w:p>
        </w:tc>
      </w:tr>
    </w:tbl>
    <w:p>
      <w:r>
        <w:rPr>
          <w:b/>
          <w:sz w:val="24"/>
        </w:rPr>
        <w:br/>
        <w:t>Delinquency Trend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020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nquency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20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br/>
        <w:t>Prediction Model Performance</w:t>
      </w:r>
    </w:p>
    <w:p>
      <w:r>
        <w:t>Model Algorithm: Random Forest</w:t>
        <w:br/>
      </w:r>
      <w:r>
        <w:t>F1-Score: 0.0000 | Accuracy: 0.8400</w:t>
        <w:br/>
      </w:r>
      <w:r>
        <w:t>ROC-AUC: 0.3790 | Precision: 0.0000 | Recall: 0.0000</w:t>
      </w:r>
    </w:p>
    <w:p>
      <w:r>
        <w:rPr>
          <w:b/>
          <w:sz w:val="24"/>
        </w:rPr>
        <w:br/>
        <w:t>High Risk Account Action Registry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