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b/>
          <w:color w:val="2F75B5"/>
          <w:sz w:val="20"/>
        </w:rPr>
        <w:t>ADAPTIVE CHESS ENGINE</w:t>
      </w:r>
    </w:p>
    <w:p>
      <w:pPr>
        <w:pStyle w:val="Title"/>
      </w:pPr>
      <w:r>
        <w:t>Project Development and Research Report</w:t>
      </w:r>
    </w:p>
    <w:p>
      <w:pPr>
        <w:pStyle w:val="Subtitle"/>
      </w:pPr>
      <w:r>
        <w:t>A living technical record from engine foundations to personalized opponent modelling</w:t>
      </w:r>
    </w:p>
    <w:p>
      <w:pPr>
        <w:spacing w:after="100"/>
      </w:pPr>
      <w:r>
        <w:rPr>
          <w:b/>
          <w:color w:val="17365D"/>
        </w:rPr>
        <w:t xml:space="preserve">Project owner </w:t>
      </w:r>
      <w:r>
        <w:t>Yash Dutt</w:t>
      </w:r>
    </w:p>
    <w:p>
      <w:pPr>
        <w:spacing w:after="100"/>
      </w:pPr>
      <w:r>
        <w:rPr>
          <w:b/>
          <w:color w:val="17365D"/>
        </w:rPr>
        <w:t xml:space="preserve">Repository </w:t>
      </w:r>
      <w:r>
        <w:t>Adaptive Chess Engine</w:t>
      </w:r>
    </w:p>
    <w:p>
      <w:pPr>
        <w:spacing w:after="100"/>
      </w:pPr>
      <w:r>
        <w:rPr>
          <w:b/>
          <w:color w:val="17365D"/>
        </w:rPr>
        <w:t xml:space="preserve">Report version </w:t>
      </w:r>
      <w:r>
        <w:t>1.0  30 September 2026</w:t>
      </w:r>
    </w:p>
    <w:p>
      <w:pPr>
        <w:spacing w:after="100"/>
      </w:pPr>
      <w:r>
        <w:rPr>
          <w:b/>
          <w:color w:val="17365D"/>
        </w:rPr>
        <w:t xml:space="preserve">Repository history reviewed </w:t>
      </w:r>
      <w:r>
        <w:t>All project commits through 2dbeaf0 plus this learned-selector milestone</w:t>
      </w:r>
    </w:p>
    <w:p/>
    <w:p>
      <w:r>
        <w:t>This report is the durable context record for the project. It explains what was built, why design choices were made, how claims were measured, what the results mean, and what remains unproven. It is intentionally more complete than a release note and more accessible than the source code.</w:t>
      </w:r>
    </w:p>
    <w:p>
      <w:r>
        <w:t>The project has reached two distinct achievements. First, a correct Python engine was developed and transformed into a measured C++ production engine whose local short-time benchmark improved from an estimated 1871 to 1996 Elo on Stockfish 18's limited-strength scale. Second, a bounded adaptive layer and a reproducible opponent-modelling pipeline were built. The current evidence shows that a nonlinear personalized model predicts future YashDutt7 errors better than a same-class population model, but the project has not yet shown that this predictive advantage produces more wins at equal compute.</w:t>
      </w:r>
    </w:p>
    <w:p>
      <w:r>
        <w:br w:type="page"/>
      </w:r>
    </w:p>
    <w:p>
      <w:pPr>
        <w:pStyle w:val="Heading1"/>
      </w:pPr>
      <w:r>
        <w:t>How to use this report</w:t>
      </w:r>
    </w:p>
    <w:p>
      <w:r>
        <w:t>Read Part One to understand the conventional engine and the performance foundation that makes adaptive experiments credible. Read Part Two to understand the adaptive selector, personal-game dataset, model comparison, limitations, and next experiment. The final pages provide a milestone ledger and a maintenance rule so future work is not separated from its evidence.</w:t>
      </w:r>
    </w:p>
    <w:p>
      <w:pPr>
        <w:pStyle w:val="Heading2"/>
      </w:pPr>
      <w:r>
        <w:t>Contents</w:t>
      </w:r>
    </w:p>
    <w:p>
      <w:pPr>
        <w:ind w:left="317" w:hanging="317"/>
      </w:pPr>
      <w:r>
        <w:rPr>
          <w:b/>
        </w:rPr>
        <w:t xml:space="preserve">1. </w:t>
      </w:r>
      <w:r>
        <w:t>Executive summary</w:t>
      </w:r>
    </w:p>
    <w:p>
      <w:pPr>
        <w:ind w:left="317" w:hanging="317"/>
      </w:pPr>
      <w:r>
        <w:rPr>
          <w:b/>
        </w:rPr>
        <w:t xml:space="preserve">2. </w:t>
      </w:r>
      <w:r>
        <w:t>Part One  Main performance development</w:t>
      </w:r>
    </w:p>
    <w:p>
      <w:pPr>
        <w:ind w:left="317" w:hanging="317"/>
      </w:pPr>
      <w:r>
        <w:rPr>
          <w:b/>
        </w:rPr>
        <w:t xml:space="preserve">3. </w:t>
      </w:r>
      <w:r>
        <w:t>1  Foundations and correctness</w:t>
      </w:r>
    </w:p>
    <w:p>
      <w:pPr>
        <w:ind w:left="317" w:hanging="317"/>
      </w:pPr>
      <w:r>
        <w:rPr>
          <w:b/>
        </w:rPr>
        <w:t xml:space="preserve">4. </w:t>
      </w:r>
      <w:r>
        <w:t>2  Search and evaluation</w:t>
      </w:r>
    </w:p>
    <w:p>
      <w:pPr>
        <w:ind w:left="317" w:hanging="317"/>
      </w:pPr>
      <w:r>
        <w:rPr>
          <w:b/>
        </w:rPr>
        <w:t xml:space="preserve">5. </w:t>
      </w:r>
      <w:r>
        <w:t>3  Performance engineering</w:t>
      </w:r>
    </w:p>
    <w:p>
      <w:pPr>
        <w:ind w:left="317" w:hanging="317"/>
      </w:pPr>
      <w:r>
        <w:rPr>
          <w:b/>
        </w:rPr>
        <w:t xml:space="preserve">6. </w:t>
      </w:r>
      <w:r>
        <w:t>4  C++ production migration</w:t>
      </w:r>
    </w:p>
    <w:p>
      <w:pPr>
        <w:ind w:left="317" w:hanging="317"/>
      </w:pPr>
      <w:r>
        <w:rPr>
          <w:b/>
        </w:rPr>
        <w:t xml:space="preserve">7. </w:t>
      </w:r>
      <w:r>
        <w:t>5  Measurement and current engine baseline</w:t>
      </w:r>
    </w:p>
    <w:p>
      <w:pPr>
        <w:ind w:left="317" w:hanging="317"/>
      </w:pPr>
      <w:r>
        <w:rPr>
          <w:b/>
        </w:rPr>
        <w:t xml:space="preserve">8. </w:t>
      </w:r>
      <w:r>
        <w:t>Part Two  Adaptive layer and opponent modelling</w:t>
      </w:r>
    </w:p>
    <w:p>
      <w:pPr>
        <w:ind w:left="317" w:hanging="317"/>
      </w:pPr>
      <w:r>
        <w:rPr>
          <w:b/>
        </w:rPr>
        <w:t xml:space="preserve">9. </w:t>
      </w:r>
      <w:r>
        <w:t>6  Research question and safety contract</w:t>
      </w:r>
    </w:p>
    <w:p>
      <w:pPr>
        <w:ind w:left="317" w:hanging="317"/>
      </w:pPr>
      <w:r>
        <w:rPr>
          <w:b/>
        </w:rPr>
        <w:t xml:space="preserve">10. </w:t>
      </w:r>
      <w:r>
        <w:t>7  Hand-authored adaptive layer</w:t>
      </w:r>
    </w:p>
    <w:p>
      <w:pPr>
        <w:ind w:left="317" w:hanging="317"/>
      </w:pPr>
      <w:r>
        <w:rPr>
          <w:b/>
        </w:rPr>
        <w:t xml:space="preserve">11. </w:t>
      </w:r>
      <w:r>
        <w:t>8  Personal-data research pipeline</w:t>
      </w:r>
    </w:p>
    <w:p>
      <w:pPr>
        <w:ind w:left="317" w:hanging="317"/>
      </w:pPr>
      <w:r>
        <w:rPr>
          <w:b/>
        </w:rPr>
        <w:t xml:space="preserve">12. </w:t>
      </w:r>
      <w:r>
        <w:t>9  Three-model comparison</w:t>
      </w:r>
    </w:p>
    <w:p>
      <w:pPr>
        <w:ind w:left="317" w:hanging="317"/>
      </w:pPr>
      <w:r>
        <w:rPr>
          <w:b/>
        </w:rPr>
        <w:t xml:space="preserve">13. </w:t>
      </w:r>
      <w:r>
        <w:t>10  Player growth, history, and learned deployment</w:t>
      </w:r>
    </w:p>
    <w:p>
      <w:pPr>
        <w:ind w:left="317" w:hanging="317"/>
      </w:pPr>
      <w:r>
        <w:rPr>
          <w:b/>
        </w:rPr>
        <w:t xml:space="preserve">14. </w:t>
      </w:r>
      <w:r>
        <w:t>11  What is established</w:t>
      </w:r>
    </w:p>
    <w:p>
      <w:pPr>
        <w:ind w:left="317" w:hanging="317"/>
      </w:pPr>
      <w:r>
        <w:rPr>
          <w:b/>
        </w:rPr>
        <w:t xml:space="preserve">15. </w:t>
      </w:r>
      <w:r>
        <w:t>12  Next confirmatory work</w:t>
      </w:r>
    </w:p>
    <w:p>
      <w:pPr>
        <w:ind w:left="317" w:hanging="317"/>
      </w:pPr>
      <w:r>
        <w:rPr>
          <w:b/>
        </w:rPr>
        <w:t xml:space="preserve">16. </w:t>
      </w:r>
      <w:r>
        <w:t>Appendix  Milestone ledger and update protocol</w:t>
      </w:r>
    </w:p>
    <w:p>
      <w:pPr>
        <w:pStyle w:val="Heading1"/>
      </w:pPr>
      <w:r>
        <w:t>Executive summary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944"/>
            <w:shd w:fill="17365D"/>
            <w:vAlign w:val="center"/>
            <w:tcMar>
              <w:top w:w="100" w:type="dxa"/>
              <w:start w:w="120" w:type="dxa"/>
              <w:bottom w:w="100" w:type="dxa"/>
              <w:end w:w="120" w:type="dxa"/>
            </w:tcMar>
          </w:tcPr>
          <w:p>
            <w:pPr>
              <w:keepNext/>
              <w:jc w:val="center"/>
            </w:pPr>
            <w:r>
              <w:rPr>
                <w:b/>
                <w:color w:val="FFFFFF"/>
                <w:sz w:val="16"/>
              </w:rPr>
              <w:t>Area</w:t>
            </w:r>
          </w:p>
        </w:tc>
        <w:tc>
          <w:tcPr>
            <w:tcW w:type="dxa" w:w="3528"/>
            <w:shd w:fill="17365D"/>
            <w:vAlign w:val="center"/>
            <w:tcMar>
              <w:top w:w="100" w:type="dxa"/>
              <w:start w:w="120" w:type="dxa"/>
              <w:bottom w:w="100" w:type="dxa"/>
              <w:end w:w="120" w:type="dxa"/>
            </w:tcMar>
          </w:tcPr>
          <w:p>
            <w:pPr>
              <w:keepNext/>
              <w:jc w:val="center"/>
            </w:pPr>
            <w:r>
              <w:rPr>
                <w:b/>
                <w:color w:val="FFFFFF"/>
                <w:sz w:val="16"/>
              </w:rPr>
              <w:t>Current result</w:t>
            </w:r>
          </w:p>
        </w:tc>
        <w:tc>
          <w:tcPr>
            <w:tcW w:type="dxa" w:w="4608"/>
            <w:shd w:fill="17365D"/>
            <w:vAlign w:val="center"/>
            <w:tcMar>
              <w:top w:w="100" w:type="dxa"/>
              <w:start w:w="120" w:type="dxa"/>
              <w:bottom w:w="100" w:type="dxa"/>
              <w:end w:w="120" w:type="dxa"/>
            </w:tcMar>
          </w:tcPr>
          <w:p>
            <w:pPr>
              <w:keepNext/>
              <w:jc w:val="center"/>
            </w:pPr>
            <w:r>
              <w:rPr>
                <w:b/>
                <w:color w:val="FFFFFF"/>
                <w:sz w:val="16"/>
              </w:rPr>
              <w:t>Interpretation</w:t>
            </w:r>
          </w:p>
        </w:tc>
      </w:tr>
      <w:tr>
        <w:trPr>
          <w:cantSplit/>
        </w:trPr>
        <w:tc>
          <w:tcPr>
            <w:tcW w:type="dxa" w:w="1944"/>
            <w:vAlign w:val="center"/>
            <w:tcMar>
              <w:top w:w="100" w:type="dxa"/>
              <w:start w:w="120" w:type="dxa"/>
              <w:bottom w:w="100" w:type="dxa"/>
              <w:end w:w="120" w:type="dxa"/>
            </w:tcMar>
          </w:tcPr>
          <w:p>
            <w:pPr>
              <w:spacing w:after="0"/>
              <w:jc w:val="left"/>
            </w:pPr>
            <w:r>
              <w:rPr>
                <w:sz w:val="16"/>
              </w:rPr>
              <w:t>Production engine</w:t>
            </w:r>
          </w:p>
        </w:tc>
        <w:tc>
          <w:tcPr>
            <w:tcW w:type="dxa" w:w="3528"/>
            <w:vAlign w:val="center"/>
            <w:tcMar>
              <w:top w:w="100" w:type="dxa"/>
              <w:start w:w="120" w:type="dxa"/>
              <w:bottom w:w="100" w:type="dxa"/>
              <w:end w:w="120" w:type="dxa"/>
            </w:tcMar>
          </w:tcPr>
          <w:p>
            <w:pPr>
              <w:spacing w:after="0"/>
              <w:jc w:val="center"/>
            </w:pPr>
            <w:r>
              <w:rPr>
                <w:sz w:val="16"/>
              </w:rPr>
              <w:t>Single-threaded C++20 UCI engine with Python oracle</w:t>
            </w:r>
          </w:p>
        </w:tc>
        <w:tc>
          <w:tcPr>
            <w:tcW w:type="dxa" w:w="4608"/>
            <w:vAlign w:val="center"/>
            <w:tcMar>
              <w:top w:w="100" w:type="dxa"/>
              <w:start w:w="120" w:type="dxa"/>
              <w:bottom w:w="100" w:type="dxa"/>
              <w:end w:w="120" w:type="dxa"/>
            </w:tcMar>
          </w:tcPr>
          <w:p>
            <w:pPr>
              <w:spacing w:after="0"/>
              <w:jc w:val="center"/>
            </w:pPr>
            <w:r>
              <w:rPr>
                <w:sz w:val="16"/>
              </w:rPr>
              <w:t>Playable in standard chess GUIs and independently testable</w:t>
            </w:r>
          </w:p>
        </w:tc>
      </w:tr>
      <w:tr>
        <w:trPr>
          <w:cantSplit/>
        </w:trPr>
        <w:tc>
          <w:tcPr>
            <w:tcW w:type="dxa" w:w="1944"/>
            <w:vAlign w:val="center"/>
            <w:tcMar>
              <w:top w:w="100" w:type="dxa"/>
              <w:start w:w="120" w:type="dxa"/>
              <w:bottom w:w="100" w:type="dxa"/>
              <w:end w:w="120" w:type="dxa"/>
            </w:tcMar>
            <w:shd w:fill="F3F7FB"/>
          </w:tcPr>
          <w:p>
            <w:pPr>
              <w:spacing w:after="0"/>
              <w:jc w:val="left"/>
            </w:pPr>
            <w:r>
              <w:rPr>
                <w:sz w:val="16"/>
              </w:rPr>
              <w:t>Engine strength</w:t>
            </w:r>
          </w:p>
        </w:tc>
        <w:tc>
          <w:tcPr>
            <w:tcW w:type="dxa" w:w="3528"/>
            <w:vAlign w:val="center"/>
            <w:tcMar>
              <w:top w:w="100" w:type="dxa"/>
              <w:start w:w="120" w:type="dxa"/>
              <w:bottom w:w="100" w:type="dxa"/>
              <w:end w:w="120" w:type="dxa"/>
            </w:tcMar>
            <w:shd w:fill="F3F7FB"/>
          </w:tcPr>
          <w:p>
            <w:pPr>
              <w:spacing w:after="0"/>
              <w:jc w:val="center"/>
            </w:pPr>
            <w:r>
              <w:rPr>
                <w:sz w:val="16"/>
              </w:rPr>
              <w:t>1996 estimate; approximate 95% interval 1930 to 2063</w:t>
            </w:r>
          </w:p>
        </w:tc>
        <w:tc>
          <w:tcPr>
            <w:tcW w:type="dxa" w:w="4608"/>
            <w:vAlign w:val="center"/>
            <w:tcMar>
              <w:top w:w="100" w:type="dxa"/>
              <w:start w:w="120" w:type="dxa"/>
              <w:bottom w:w="100" w:type="dxa"/>
              <w:end w:w="120" w:type="dxa"/>
            </w:tcMar>
            <w:shd w:fill="F3F7FB"/>
          </w:tcPr>
          <w:p>
            <w:pPr>
              <w:spacing w:after="0"/>
              <w:jc w:val="center"/>
            </w:pPr>
            <w:r>
              <w:rPr>
                <w:sz w:val="16"/>
              </w:rPr>
              <w:t>A local Stockfish limited-strength benchmark, not a human-platform rating</w:t>
            </w:r>
          </w:p>
        </w:tc>
      </w:tr>
      <w:tr>
        <w:trPr>
          <w:cantSplit/>
        </w:trPr>
        <w:tc>
          <w:tcPr>
            <w:tcW w:type="dxa" w:w="1944"/>
            <w:vAlign w:val="center"/>
            <w:tcMar>
              <w:top w:w="100" w:type="dxa"/>
              <w:start w:w="120" w:type="dxa"/>
              <w:bottom w:w="100" w:type="dxa"/>
              <w:end w:w="120" w:type="dxa"/>
            </w:tcMar>
          </w:tcPr>
          <w:p>
            <w:pPr>
              <w:spacing w:after="0"/>
              <w:jc w:val="left"/>
            </w:pPr>
            <w:r>
              <w:rPr>
                <w:sz w:val="16"/>
              </w:rPr>
              <w:t>Adaptive safety</w:t>
            </w:r>
          </w:p>
        </w:tc>
        <w:tc>
          <w:tcPr>
            <w:tcW w:type="dxa" w:w="3528"/>
            <w:vAlign w:val="center"/>
            <w:tcMar>
              <w:top w:w="100" w:type="dxa"/>
              <w:start w:w="120" w:type="dxa"/>
              <w:bottom w:w="100" w:type="dxa"/>
              <w:end w:w="120" w:type="dxa"/>
            </w:tcMar>
          </w:tcPr>
          <w:p>
            <w:pPr>
              <w:spacing w:after="0"/>
              <w:jc w:val="center"/>
            </w:pPr>
            <w:r>
              <w:rPr>
                <w:sz w:val="16"/>
              </w:rPr>
              <w:t>MultiPV candidates, 35 cp bound, mate protection, neutral fallback</w:t>
            </w:r>
          </w:p>
        </w:tc>
        <w:tc>
          <w:tcPr>
            <w:tcW w:type="dxa" w:w="4608"/>
            <w:vAlign w:val="center"/>
            <w:tcMar>
              <w:top w:w="100" w:type="dxa"/>
              <w:start w:w="120" w:type="dxa"/>
              <w:bottom w:w="100" w:type="dxa"/>
              <w:end w:w="120" w:type="dxa"/>
            </w:tcMar>
          </w:tcPr>
          <w:p>
            <w:pPr>
              <w:spacing w:after="0"/>
              <w:jc w:val="center"/>
            </w:pPr>
            <w:r>
              <w:rPr>
                <w:sz w:val="16"/>
              </w:rPr>
              <w:t>Adaptation is constrained to objectively competitive root moves</w:t>
            </w:r>
          </w:p>
        </w:tc>
      </w:tr>
      <w:tr>
        <w:trPr>
          <w:cantSplit/>
        </w:trPr>
        <w:tc>
          <w:tcPr>
            <w:tcW w:type="dxa" w:w="1944"/>
            <w:vAlign w:val="center"/>
            <w:tcMar>
              <w:top w:w="100" w:type="dxa"/>
              <w:start w:w="120" w:type="dxa"/>
              <w:bottom w:w="100" w:type="dxa"/>
              <w:end w:w="120" w:type="dxa"/>
            </w:tcMar>
            <w:shd w:fill="F3F7FB"/>
          </w:tcPr>
          <w:p>
            <w:pPr>
              <w:spacing w:after="0"/>
              <w:jc w:val="left"/>
            </w:pPr>
            <w:r>
              <w:rPr>
                <w:sz w:val="16"/>
              </w:rPr>
              <w:t>Personal corpus</w:t>
            </w:r>
          </w:p>
        </w:tc>
        <w:tc>
          <w:tcPr>
            <w:tcW w:type="dxa" w:w="3528"/>
            <w:vAlign w:val="center"/>
            <w:tcMar>
              <w:top w:w="100" w:type="dxa"/>
              <w:start w:w="120" w:type="dxa"/>
              <w:bottom w:w="100" w:type="dxa"/>
              <w:end w:w="120" w:type="dxa"/>
            </w:tcMar>
            <w:shd w:fill="F3F7FB"/>
          </w:tcPr>
          <w:p>
            <w:pPr>
              <w:spacing w:after="0"/>
              <w:jc w:val="center"/>
            </w:pPr>
            <w:r>
              <w:rPr>
                <w:sz w:val="16"/>
              </w:rPr>
              <w:t>1,166 usable exact 10-minute games; 36,039 decisions</w:t>
            </w:r>
          </w:p>
        </w:tc>
        <w:tc>
          <w:tcPr>
            <w:tcW w:type="dxa" w:w="4608"/>
            <w:vAlign w:val="center"/>
            <w:tcMar>
              <w:top w:w="100" w:type="dxa"/>
              <w:start w:w="120" w:type="dxa"/>
              <w:bottom w:w="100" w:type="dxa"/>
              <w:end w:w="120" w:type="dxa"/>
            </w:tcMar>
            <w:shd w:fill="F3F7FB"/>
          </w:tcPr>
          <w:p>
            <w:pPr>
              <w:spacing w:after="0"/>
              <w:jc w:val="center"/>
            </w:pPr>
            <w:r>
              <w:rPr>
                <w:sz w:val="16"/>
              </w:rPr>
              <w:t>Large enough for a first player-specific prediction study</w:t>
            </w:r>
          </w:p>
        </w:tc>
      </w:tr>
      <w:tr>
        <w:trPr>
          <w:cantSplit/>
        </w:trPr>
        <w:tc>
          <w:tcPr>
            <w:tcW w:type="dxa" w:w="1944"/>
            <w:vAlign w:val="center"/>
            <w:tcMar>
              <w:top w:w="100" w:type="dxa"/>
              <w:start w:w="120" w:type="dxa"/>
              <w:bottom w:w="100" w:type="dxa"/>
              <w:end w:w="120" w:type="dxa"/>
            </w:tcMar>
          </w:tcPr>
          <w:p>
            <w:pPr>
              <w:spacing w:after="0"/>
              <w:jc w:val="left"/>
            </w:pPr>
            <w:r>
              <w:rPr>
                <w:sz w:val="16"/>
              </w:rPr>
              <w:t>Selected model</w:t>
            </w:r>
          </w:p>
        </w:tc>
        <w:tc>
          <w:tcPr>
            <w:tcW w:type="dxa" w:w="3528"/>
            <w:vAlign w:val="center"/>
            <w:tcMar>
              <w:top w:w="100" w:type="dxa"/>
              <w:start w:w="120" w:type="dxa"/>
              <w:bottom w:w="100" w:type="dxa"/>
              <w:end w:w="120" w:type="dxa"/>
            </w:tcMar>
          </w:tcPr>
          <w:p>
            <w:pPr>
              <w:spacing w:after="0"/>
              <w:jc w:val="center"/>
            </w:pPr>
            <w:r>
              <w:rPr>
                <w:sz w:val="16"/>
              </w:rPr>
              <w:t>Histogram gradient boosting</w:t>
            </w:r>
          </w:p>
        </w:tc>
        <w:tc>
          <w:tcPr>
            <w:tcW w:type="dxa" w:w="4608"/>
            <w:vAlign w:val="center"/>
            <w:tcMar>
              <w:top w:w="100" w:type="dxa"/>
              <w:start w:w="120" w:type="dxa"/>
              <w:bottom w:w="100" w:type="dxa"/>
              <w:end w:w="120" w:type="dxa"/>
            </w:tcMar>
          </w:tcPr>
          <w:p>
            <w:pPr>
              <w:spacing w:after="0"/>
              <w:jc w:val="center"/>
            </w:pPr>
            <w:r>
              <w:rPr>
                <w:sz w:val="16"/>
              </w:rPr>
              <w:t>Best held-out probability prediction and only class where personal training beat population training</w:t>
            </w:r>
          </w:p>
        </w:tc>
      </w:tr>
      <w:tr>
        <w:trPr>
          <w:cantSplit/>
        </w:trPr>
        <w:tc>
          <w:tcPr>
            <w:tcW w:type="dxa" w:w="1944"/>
            <w:vAlign w:val="center"/>
            <w:tcMar>
              <w:top w:w="100" w:type="dxa"/>
              <w:start w:w="120" w:type="dxa"/>
              <w:bottom w:w="100" w:type="dxa"/>
              <w:end w:w="120" w:type="dxa"/>
            </w:tcMar>
            <w:shd w:fill="F3F7FB"/>
          </w:tcPr>
          <w:p>
            <w:pPr>
              <w:spacing w:after="0"/>
              <w:jc w:val="left"/>
            </w:pPr>
            <w:r>
              <w:rPr>
                <w:sz w:val="16"/>
              </w:rPr>
              <w:t>Open claim</w:t>
            </w:r>
          </w:p>
        </w:tc>
        <w:tc>
          <w:tcPr>
            <w:tcW w:type="dxa" w:w="3528"/>
            <w:vAlign w:val="center"/>
            <w:tcMar>
              <w:top w:w="100" w:type="dxa"/>
              <w:start w:w="120" w:type="dxa"/>
              <w:bottom w:w="100" w:type="dxa"/>
              <w:end w:w="120" w:type="dxa"/>
            </w:tcMar>
            <w:shd w:fill="F3F7FB"/>
          </w:tcPr>
          <w:p>
            <w:pPr>
              <w:spacing w:after="0"/>
              <w:jc w:val="center"/>
            </w:pPr>
            <w:r>
              <w:rPr>
                <w:sz w:val="16"/>
              </w:rPr>
              <w:t>No compute-matched win-rate result yet</w:t>
            </w:r>
          </w:p>
        </w:tc>
        <w:tc>
          <w:tcPr>
            <w:tcW w:type="dxa" w:w="4608"/>
            <w:vAlign w:val="center"/>
            <w:tcMar>
              <w:top w:w="100" w:type="dxa"/>
              <w:start w:w="120" w:type="dxa"/>
              <w:bottom w:w="100" w:type="dxa"/>
              <w:end w:w="120" w:type="dxa"/>
            </w:tcMar>
            <w:shd w:fill="F3F7FB"/>
          </w:tcPr>
          <w:p>
            <w:pPr>
              <w:spacing w:after="0"/>
              <w:jc w:val="center"/>
            </w:pPr>
            <w:r>
              <w:rPr>
                <w:sz w:val="16"/>
              </w:rPr>
              <w:t>Predictive usefulness must still be translated into playing outcomes</w:t>
            </w:r>
          </w:p>
        </w:tc>
      </w:tr>
    </w:tbl>
    <w:p>
      <w:pPr>
        <w:spacing w:after="20"/>
      </w:pPr>
    </w:p>
    <w:p>
      <w:pPr>
        <w:keepNext/>
        <w:jc w:val="center"/>
      </w:pPr>
      <w:r>
        <w:drawing>
          <wp:inline xmlns:a="http://schemas.openxmlformats.org/drawingml/2006/main" xmlns:pic="http://schemas.openxmlformats.org/drawingml/2006/picture">
            <wp:extent cx="6309360" cy="3028493"/>
            <wp:docPr id="1" name="Picture 1" descr="Figure 1  Current hybrid architecture and responsibility boundary"/>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309360" cy="3028493"/>
                    </a:xfrm>
                    <a:prstGeom prst="rect"/>
                  </pic:spPr>
                </pic:pic>
              </a:graphicData>
            </a:graphic>
          </wp:inline>
        </w:drawing>
      </w:r>
    </w:p>
    <w:p>
      <w:pPr>
        <w:keepNext w:val="0"/>
        <w:jc w:val="center"/>
      </w:pPr>
      <w:r>
        <w:rPr>
          <w:i/>
          <w:color w:val="595959"/>
          <w:sz w:val="17"/>
        </w:rPr>
        <w:t>Figure 1  Current hybrid architecture and responsibility boundary</w:t>
      </w:r>
    </w:p>
    <w:p>
      <w:pPr>
        <w:pStyle w:val="Heading1"/>
      </w:pPr>
      <w:r>
        <w:t>Part One  Main performance development</w:t>
      </w:r>
    </w:p>
    <w:p>
      <w:r>
        <w:t>The first phase built a conventional chess engine from first principles, validated it with reference positions and regression tests, then moved performance-critical work into C++. This phase matters to the adaptive research because any claimed adaptive gain is meaningless if the neutral engine is unstable, illegal, or receives less compute than the treatment.</w:t>
      </w:r>
    </w:p>
    <w:p>
      <w:pPr>
        <w:pStyle w:val="Heading2"/>
      </w:pPr>
      <w:r>
        <w:t>1  Foundations and correctness</w:t>
      </w:r>
    </w:p>
    <w:p>
      <w:r>
        <w:t>The initial Python implementation established the position model: board representation, compact move encoding, FEN parsing, reversible make and unmake, castling, en passant, promotions, undo history, incremental Zobrist hashing, and internal validation. Legal chess behavior then grew through attack maps, pseudo-legal generation, legal filtering, checker and pin handling, draw rules, perft, and divide.</w:t>
      </w:r>
    </w:p>
    <w:p>
      <w:pPr>
        <w:pStyle w:val="ListBullet"/>
      </w:pPr>
      <w:r>
        <w:t>Perft reference positions verify move counts across special rules and deeper move trees.</w:t>
      </w:r>
    </w:p>
    <w:p>
      <w:pPr>
        <w:pStyle w:val="ListBullet"/>
      </w:pPr>
      <w:r>
        <w:t>Round-trip tests verify that every move and unmove restores the exact prior position and hash.</w:t>
      </w:r>
    </w:p>
    <w:p>
      <w:pPr>
        <w:pStyle w:val="ListBullet"/>
      </w:pPr>
      <w:r>
        <w:t>Random-game comparisons preserve a slower correctness path as an oracle for optimized legal generation.</w:t>
      </w:r>
    </w:p>
    <w:p>
      <w:pPr>
        <w:pStyle w:val="ListBullet"/>
      </w:pPr>
      <w:r>
        <w:t>The Python implementation remains deliberately independent after the C++ migration, allowing the production engine to be checked rather than trusted by construction.</w:t>
      </w:r>
    </w:p>
    <w:p>
      <w:pPr>
        <w:pStyle w:val="Heading2"/>
      </w:pPr>
      <w:r>
        <w:t>2  Search and evaluation</w:t>
      </w:r>
    </w:p>
    <w:p>
      <w:r>
        <w:t>The playing engine progressed from negamax alpha-beta to iterative deepening, principal-variation search, quiescence, aspiration windows, transposition storage, search ordering, and conservative pruning. Evaluation moved from material and placement toward a tapered middlegame and endgame score with pawn structure, king shelter, rook files, bishop pair, connected and passed pawns, and piece mobility.</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512"/>
            <w:shd w:fill="17365D"/>
            <w:vAlign w:val="center"/>
            <w:tcMar>
              <w:top w:w="100" w:type="dxa"/>
              <w:start w:w="120" w:type="dxa"/>
              <w:bottom w:w="100" w:type="dxa"/>
              <w:end w:w="120" w:type="dxa"/>
            </w:tcMar>
          </w:tcPr>
          <w:p>
            <w:pPr>
              <w:keepNext/>
              <w:jc w:val="center"/>
            </w:pPr>
            <w:r>
              <w:rPr>
                <w:b/>
                <w:color w:val="FFFFFF"/>
                <w:sz w:val="17"/>
              </w:rPr>
              <w:t>Subsystem</w:t>
            </w:r>
          </w:p>
        </w:tc>
        <w:tc>
          <w:tcPr>
            <w:tcW w:type="dxa" w:w="4608"/>
            <w:shd w:fill="17365D"/>
            <w:vAlign w:val="center"/>
            <w:tcMar>
              <w:top w:w="100" w:type="dxa"/>
              <w:start w:w="120" w:type="dxa"/>
              <w:bottom w:w="100" w:type="dxa"/>
              <w:end w:w="120" w:type="dxa"/>
            </w:tcMar>
          </w:tcPr>
          <w:p>
            <w:pPr>
              <w:keepNext/>
              <w:jc w:val="center"/>
            </w:pPr>
            <w:r>
              <w:rPr>
                <w:b/>
                <w:color w:val="FFFFFF"/>
                <w:sz w:val="17"/>
              </w:rPr>
              <w:t>Implemented mechanisms</w:t>
            </w:r>
          </w:p>
        </w:tc>
        <w:tc>
          <w:tcPr>
            <w:tcW w:type="dxa" w:w="3960"/>
            <w:shd w:fill="17365D"/>
            <w:vAlign w:val="center"/>
            <w:tcMar>
              <w:top w:w="100" w:type="dxa"/>
              <w:start w:w="120" w:type="dxa"/>
              <w:bottom w:w="100" w:type="dxa"/>
              <w:end w:w="120" w:type="dxa"/>
            </w:tcMar>
          </w:tcPr>
          <w:p>
            <w:pPr>
              <w:keepNext/>
              <w:jc w:val="center"/>
            </w:pPr>
            <w:r>
              <w:rPr>
                <w:b/>
                <w:color w:val="FFFFFF"/>
                <w:sz w:val="17"/>
              </w:rPr>
              <w:t>Why it mattered</w:t>
            </w:r>
          </w:p>
        </w:tc>
      </w:tr>
      <w:tr>
        <w:trPr>
          <w:cantSplit/>
        </w:trPr>
        <w:tc>
          <w:tcPr>
            <w:tcW w:type="dxa" w:w="1512"/>
            <w:vAlign w:val="center"/>
            <w:tcMar>
              <w:top w:w="100" w:type="dxa"/>
              <w:start w:w="120" w:type="dxa"/>
              <w:bottom w:w="100" w:type="dxa"/>
              <w:end w:w="120" w:type="dxa"/>
            </w:tcMar>
          </w:tcPr>
          <w:p>
            <w:pPr>
              <w:spacing w:after="0"/>
              <w:jc w:val="left"/>
            </w:pPr>
            <w:r>
              <w:rPr>
                <w:sz w:val="17"/>
              </w:rPr>
              <w:t>Search</w:t>
            </w:r>
          </w:p>
        </w:tc>
        <w:tc>
          <w:tcPr>
            <w:tcW w:type="dxa" w:w="4608"/>
            <w:vAlign w:val="center"/>
            <w:tcMar>
              <w:top w:w="100" w:type="dxa"/>
              <w:start w:w="120" w:type="dxa"/>
              <w:bottom w:w="100" w:type="dxa"/>
              <w:end w:w="120" w:type="dxa"/>
            </w:tcMar>
          </w:tcPr>
          <w:p>
            <w:pPr>
              <w:spacing w:after="0"/>
              <w:jc w:val="center"/>
            </w:pPr>
            <w:r>
              <w:rPr>
                <w:sz w:val="17"/>
              </w:rPr>
              <w:t>Iterative deepening, PVS, quiescence, aspiration windows</w:t>
            </w:r>
          </w:p>
        </w:tc>
        <w:tc>
          <w:tcPr>
            <w:tcW w:type="dxa" w:w="3960"/>
            <w:vAlign w:val="center"/>
            <w:tcMar>
              <w:top w:w="100" w:type="dxa"/>
              <w:start w:w="120" w:type="dxa"/>
              <w:bottom w:w="100" w:type="dxa"/>
              <w:end w:w="120" w:type="dxa"/>
            </w:tcMar>
          </w:tcPr>
          <w:p>
            <w:pPr>
              <w:spacing w:after="0"/>
              <w:jc w:val="center"/>
            </w:pPr>
            <w:r>
              <w:rPr>
                <w:sz w:val="17"/>
              </w:rPr>
              <w:t>Improved depth, move stability, and reuse of earlier iterations</w:t>
            </w:r>
          </w:p>
        </w:tc>
      </w:tr>
      <w:tr>
        <w:trPr>
          <w:cantSplit/>
        </w:trPr>
        <w:tc>
          <w:tcPr>
            <w:tcW w:type="dxa" w:w="1512"/>
            <w:vAlign w:val="center"/>
            <w:tcMar>
              <w:top w:w="100" w:type="dxa"/>
              <w:start w:w="120" w:type="dxa"/>
              <w:bottom w:w="100" w:type="dxa"/>
              <w:end w:w="120" w:type="dxa"/>
            </w:tcMar>
            <w:shd w:fill="F3F7FB"/>
          </w:tcPr>
          <w:p>
            <w:pPr>
              <w:spacing w:after="0"/>
              <w:jc w:val="left"/>
            </w:pPr>
            <w:r>
              <w:rPr>
                <w:sz w:val="17"/>
              </w:rPr>
              <w:t>Ordering</w:t>
            </w:r>
          </w:p>
        </w:tc>
        <w:tc>
          <w:tcPr>
            <w:tcW w:type="dxa" w:w="4608"/>
            <w:vAlign w:val="center"/>
            <w:tcMar>
              <w:top w:w="100" w:type="dxa"/>
              <w:start w:w="120" w:type="dxa"/>
              <w:bottom w:w="100" w:type="dxa"/>
              <w:end w:w="120" w:type="dxa"/>
            </w:tcMar>
            <w:shd w:fill="F3F7FB"/>
          </w:tcPr>
          <w:p>
            <w:pPr>
              <w:spacing w:after="0"/>
              <w:jc w:val="center"/>
            </w:pPr>
            <w:r>
              <w:rPr>
                <w:sz w:val="17"/>
              </w:rPr>
              <w:t>Hash move, MVV-LVA, SEE, killers, history, countermoves</w:t>
            </w:r>
          </w:p>
        </w:tc>
        <w:tc>
          <w:tcPr>
            <w:tcW w:type="dxa" w:w="3960"/>
            <w:vAlign w:val="center"/>
            <w:tcMar>
              <w:top w:w="100" w:type="dxa"/>
              <w:start w:w="120" w:type="dxa"/>
              <w:bottom w:w="100" w:type="dxa"/>
              <w:end w:w="120" w:type="dxa"/>
            </w:tcMar>
            <w:shd w:fill="F3F7FB"/>
          </w:tcPr>
          <w:p>
            <w:pPr>
              <w:spacing w:after="0"/>
              <w:jc w:val="center"/>
            </w:pPr>
            <w:r>
              <w:rPr>
                <w:sz w:val="17"/>
              </w:rPr>
              <w:t>Raised alpha-beta cutoff efficiency</w:t>
            </w:r>
          </w:p>
        </w:tc>
      </w:tr>
      <w:tr>
        <w:trPr>
          <w:cantSplit/>
        </w:trPr>
        <w:tc>
          <w:tcPr>
            <w:tcW w:type="dxa" w:w="1512"/>
            <w:vAlign w:val="center"/>
            <w:tcMar>
              <w:top w:w="100" w:type="dxa"/>
              <w:start w:w="120" w:type="dxa"/>
              <w:bottom w:w="100" w:type="dxa"/>
              <w:end w:w="120" w:type="dxa"/>
            </w:tcMar>
          </w:tcPr>
          <w:p>
            <w:pPr>
              <w:spacing w:after="0"/>
              <w:jc w:val="left"/>
            </w:pPr>
            <w:r>
              <w:rPr>
                <w:sz w:val="17"/>
              </w:rPr>
              <w:t>Pruning</w:t>
            </w:r>
          </w:p>
        </w:tc>
        <w:tc>
          <w:tcPr>
            <w:tcW w:type="dxa" w:w="4608"/>
            <w:vAlign w:val="center"/>
            <w:tcMar>
              <w:top w:w="100" w:type="dxa"/>
              <w:start w:w="120" w:type="dxa"/>
              <w:bottom w:w="100" w:type="dxa"/>
              <w:end w:w="120" w:type="dxa"/>
            </w:tcMar>
          </w:tcPr>
          <w:p>
            <w:pPr>
              <w:spacing w:after="0"/>
              <w:jc w:val="center"/>
            </w:pPr>
            <w:r>
              <w:rPr>
                <w:sz w:val="17"/>
              </w:rPr>
              <w:t>LMR, null move, futility, quiescence delta and SEE pruning</w:t>
            </w:r>
          </w:p>
        </w:tc>
        <w:tc>
          <w:tcPr>
            <w:tcW w:type="dxa" w:w="3960"/>
            <w:vAlign w:val="center"/>
            <w:tcMar>
              <w:top w:w="100" w:type="dxa"/>
              <w:start w:w="120" w:type="dxa"/>
              <w:bottom w:w="100" w:type="dxa"/>
              <w:end w:w="120" w:type="dxa"/>
            </w:tcMar>
          </w:tcPr>
          <w:p>
            <w:pPr>
              <w:spacing w:after="0"/>
              <w:jc w:val="center"/>
            </w:pPr>
            <w:r>
              <w:rPr>
                <w:sz w:val="17"/>
              </w:rPr>
              <w:t>Avoided low-value work with safeguards for tactical and zugzwang cases</w:t>
            </w:r>
          </w:p>
        </w:tc>
      </w:tr>
      <w:tr>
        <w:trPr>
          <w:cantSplit/>
        </w:trPr>
        <w:tc>
          <w:tcPr>
            <w:tcW w:type="dxa" w:w="1512"/>
            <w:vAlign w:val="center"/>
            <w:tcMar>
              <w:top w:w="100" w:type="dxa"/>
              <w:start w:w="120" w:type="dxa"/>
              <w:bottom w:w="100" w:type="dxa"/>
              <w:end w:w="120" w:type="dxa"/>
            </w:tcMar>
            <w:shd w:fill="F3F7FB"/>
          </w:tcPr>
          <w:p>
            <w:pPr>
              <w:spacing w:after="0"/>
              <w:jc w:val="left"/>
            </w:pPr>
            <w:r>
              <w:rPr>
                <w:sz w:val="17"/>
              </w:rPr>
              <w:t>Evaluation</w:t>
            </w:r>
          </w:p>
        </w:tc>
        <w:tc>
          <w:tcPr>
            <w:tcW w:type="dxa" w:w="4608"/>
            <w:vAlign w:val="center"/>
            <w:tcMar>
              <w:top w:w="100" w:type="dxa"/>
              <w:start w:w="120" w:type="dxa"/>
              <w:bottom w:w="100" w:type="dxa"/>
              <w:end w:w="120" w:type="dxa"/>
            </w:tcMar>
            <w:shd w:fill="F3F7FB"/>
          </w:tcPr>
          <w:p>
            <w:pPr>
              <w:spacing w:after="0"/>
              <w:jc w:val="center"/>
            </w:pPr>
            <w:r>
              <w:rPr>
                <w:sz w:val="17"/>
              </w:rPr>
              <w:t>Tapered score, structure, shelter, rook files, mobility</w:t>
            </w:r>
          </w:p>
        </w:tc>
        <w:tc>
          <w:tcPr>
            <w:tcW w:type="dxa" w:w="3960"/>
            <w:vAlign w:val="center"/>
            <w:tcMar>
              <w:top w:w="100" w:type="dxa"/>
              <w:start w:w="120" w:type="dxa"/>
              <w:bottom w:w="100" w:type="dxa"/>
              <w:end w:w="120" w:type="dxa"/>
            </w:tcMar>
            <w:shd w:fill="F3F7FB"/>
          </w:tcPr>
          <w:p>
            <w:pPr>
              <w:spacing w:after="0"/>
              <w:jc w:val="center"/>
            </w:pPr>
            <w:r>
              <w:rPr>
                <w:sz w:val="17"/>
              </w:rPr>
              <w:t>Made the neutral engine strategically less shallow</w:t>
            </w:r>
          </w:p>
        </w:tc>
      </w:tr>
      <w:tr>
        <w:trPr>
          <w:cantSplit/>
        </w:trPr>
        <w:tc>
          <w:tcPr>
            <w:tcW w:type="dxa" w:w="1512"/>
            <w:vAlign w:val="center"/>
            <w:tcMar>
              <w:top w:w="100" w:type="dxa"/>
              <w:start w:w="120" w:type="dxa"/>
              <w:bottom w:w="100" w:type="dxa"/>
              <w:end w:w="120" w:type="dxa"/>
            </w:tcMar>
          </w:tcPr>
          <w:p>
            <w:pPr>
              <w:spacing w:after="0"/>
              <w:jc w:val="left"/>
            </w:pPr>
            <w:r>
              <w:rPr>
                <w:sz w:val="17"/>
              </w:rPr>
              <w:t>Protocol</w:t>
            </w:r>
          </w:p>
        </w:tc>
        <w:tc>
          <w:tcPr>
            <w:tcW w:type="dxa" w:w="4608"/>
            <w:vAlign w:val="center"/>
            <w:tcMar>
              <w:top w:w="100" w:type="dxa"/>
              <w:start w:w="120" w:type="dxa"/>
              <w:bottom w:w="100" w:type="dxa"/>
              <w:end w:w="120" w:type="dxa"/>
            </w:tcMar>
          </w:tcPr>
          <w:p>
            <w:pPr>
              <w:spacing w:after="0"/>
              <w:jc w:val="center"/>
            </w:pPr>
            <w:r>
              <w:rPr>
                <w:sz w:val="17"/>
              </w:rPr>
              <w:t>UCI, clocks, increments, node limits, asynchronous stop</w:t>
            </w:r>
          </w:p>
        </w:tc>
        <w:tc>
          <w:tcPr>
            <w:tcW w:type="dxa" w:w="3960"/>
            <w:vAlign w:val="center"/>
            <w:tcMar>
              <w:top w:w="100" w:type="dxa"/>
              <w:start w:w="120" w:type="dxa"/>
              <w:bottom w:w="100" w:type="dxa"/>
              <w:end w:w="120" w:type="dxa"/>
            </w:tcMar>
          </w:tcPr>
          <w:p>
            <w:pPr>
              <w:spacing w:after="0"/>
              <w:jc w:val="center"/>
            </w:pPr>
            <w:r>
              <w:rPr>
                <w:sz w:val="17"/>
              </w:rPr>
              <w:t>Enabled repeatable GUI play and experiments</w:t>
            </w:r>
          </w:p>
        </w:tc>
      </w:tr>
    </w:tbl>
    <w:p>
      <w:pPr>
        <w:spacing w:after="20"/>
      </w:pPr>
    </w:p>
    <w:p>
      <w:pPr>
        <w:pStyle w:val="Heading2"/>
      </w:pPr>
      <w:r>
        <w:t>3  Performance engineering</w:t>
      </w:r>
    </w:p>
    <w:p>
      <w:r>
        <w:t>Optimization followed measured hot paths rather than replacing correctness checks. The move core adopted bitboard iteration, precomputed king and knight attacks, direct checker and absolute-pin legality, and occupancy-indexed sliding attacks. Search allocations were reduced through fixed-capacity move lists and principal-variation storage. Material, piece placement, bishop counts, and game phase became incremental; wider geometric terms remain calculated at leaves.</w:t>
      </w:r>
    </w:p>
    <w:p>
      <w:pPr>
        <w:pStyle w:val="ListBullet"/>
      </w:pPr>
      <w:r>
        <w:t>Pawn structure was cached and evaluation loops became bitboard-driven.</w:t>
      </w:r>
    </w:p>
    <w:p>
      <w:pPr>
        <w:pStyle w:val="ListBullet"/>
      </w:pPr>
      <w:r>
        <w:t>Undo-state records are reused by ply, reducing recursive allocation pressure.</w:t>
      </w:r>
    </w:p>
    <w:p>
      <w:pPr>
        <w:pStyle w:val="ListBullet"/>
      </w:pPr>
      <w:r>
        <w:t>Static exchange evaluation improved capture ordering and prevented hopeless losing captures from expanding quiescence.</w:t>
      </w:r>
    </w:p>
    <w:p>
      <w:pPr>
        <w:pStyle w:val="ListBullet"/>
      </w:pPr>
      <w:r>
        <w:t>Clustered transposition replacement retains several colliding positions and protects deeper current entries.</w:t>
      </w:r>
    </w:p>
    <w:p>
      <w:pPr>
        <w:pStyle w:val="ListBullet"/>
      </w:pPr>
      <w:r>
        <w:t>Deterministic fixed-node modes made before-and-after comparisons reproducible.</w:t>
      </w:r>
    </w:p>
    <w:p>
      <w:r>
        <w:t>The engineering principle was to preserve a slower reference behavior wherever possible. Speed was accepted only with perft, tactical, search-result, and state-restoration coverage.</w:t>
      </w:r>
    </w:p>
    <w:p>
      <w:pPr>
        <w:pStyle w:val="Heading2"/>
      </w:pPr>
      <w:r>
        <w:t>4  C++ production migration</w:t>
      </w:r>
    </w:p>
    <w:p>
      <w:r>
        <w:t>The project became a hybrid system rather than a wholesale rewrite. C++ owns the production UCI engine, position core, move generation, evaluation, search, timing, transposition table, and root selection. Python owns the correctness oracle, experiment harnesses, PGN processing, labeling, training, uncertainty analysis, and model research.</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4968"/>
            <w:shd w:fill="17365D"/>
            <w:vAlign w:val="center"/>
            <w:tcMar>
              <w:top w:w="100" w:type="dxa"/>
              <w:start w:w="120" w:type="dxa"/>
              <w:bottom w:w="100" w:type="dxa"/>
              <w:end w:w="120" w:type="dxa"/>
            </w:tcMar>
          </w:tcPr>
          <w:p>
            <w:pPr>
              <w:keepNext/>
              <w:jc w:val="center"/>
            </w:pPr>
            <w:r>
              <w:rPr>
                <w:b/>
                <w:color w:val="FFFFFF"/>
                <w:sz w:val="17"/>
              </w:rPr>
              <w:t>C++ production boundary</w:t>
            </w:r>
          </w:p>
        </w:tc>
        <w:tc>
          <w:tcPr>
            <w:tcW w:type="dxa" w:w="5112"/>
            <w:shd w:fill="17365D"/>
            <w:vAlign w:val="center"/>
            <w:tcMar>
              <w:top w:w="100" w:type="dxa"/>
              <w:start w:w="120" w:type="dxa"/>
              <w:bottom w:w="100" w:type="dxa"/>
              <w:end w:w="120" w:type="dxa"/>
            </w:tcMar>
          </w:tcPr>
          <w:p>
            <w:pPr>
              <w:keepNext/>
              <w:jc w:val="center"/>
            </w:pPr>
            <w:r>
              <w:rPr>
                <w:b/>
                <w:color w:val="FFFFFF"/>
                <w:sz w:val="17"/>
              </w:rPr>
              <w:t>Python research and validation boundary</w:t>
            </w:r>
          </w:p>
        </w:tc>
      </w:tr>
      <w:tr>
        <w:trPr>
          <w:cantSplit/>
        </w:trPr>
        <w:tc>
          <w:tcPr>
            <w:tcW w:type="dxa" w:w="4968"/>
            <w:vAlign w:val="center"/>
            <w:tcMar>
              <w:top w:w="100" w:type="dxa"/>
              <w:start w:w="120" w:type="dxa"/>
              <w:bottom w:w="100" w:type="dxa"/>
              <w:end w:w="120" w:type="dxa"/>
            </w:tcMar>
          </w:tcPr>
          <w:p>
            <w:pPr>
              <w:spacing w:after="0"/>
              <w:jc w:val="left"/>
            </w:pPr>
            <w:r>
              <w:rPr>
                <w:sz w:val="17"/>
              </w:rPr>
              <w:t>Packed moves, bitboards, FEN and Zobrist</w:t>
            </w:r>
          </w:p>
        </w:tc>
        <w:tc>
          <w:tcPr>
            <w:tcW w:type="dxa" w:w="5112"/>
            <w:vAlign w:val="center"/>
            <w:tcMar>
              <w:top w:w="100" w:type="dxa"/>
              <w:start w:w="120" w:type="dxa"/>
              <w:bottom w:w="100" w:type="dxa"/>
              <w:end w:w="120" w:type="dxa"/>
            </w:tcMar>
          </w:tcPr>
          <w:p>
            <w:pPr>
              <w:spacing w:after="0"/>
              <w:jc w:val="center"/>
            </w:pPr>
            <w:r>
              <w:rPr>
                <w:sz w:val="17"/>
              </w:rPr>
              <w:t>Independent legal moves, perft and hash cross-checks</w:t>
            </w:r>
          </w:p>
        </w:tc>
      </w:tr>
      <w:tr>
        <w:trPr>
          <w:cantSplit/>
        </w:trPr>
        <w:tc>
          <w:tcPr>
            <w:tcW w:type="dxa" w:w="4968"/>
            <w:vAlign w:val="center"/>
            <w:tcMar>
              <w:top w:w="100" w:type="dxa"/>
              <w:start w:w="120" w:type="dxa"/>
              <w:bottom w:w="100" w:type="dxa"/>
              <w:end w:w="120" w:type="dxa"/>
            </w:tcMar>
            <w:shd w:fill="F3F7FB"/>
          </w:tcPr>
          <w:p>
            <w:pPr>
              <w:spacing w:after="0"/>
              <w:jc w:val="left"/>
            </w:pPr>
            <w:r>
              <w:rPr>
                <w:sz w:val="17"/>
              </w:rPr>
              <w:t>Direct legal generation and lookup attacks</w:t>
            </w:r>
          </w:p>
        </w:tc>
        <w:tc>
          <w:tcPr>
            <w:tcW w:type="dxa" w:w="5112"/>
            <w:vAlign w:val="center"/>
            <w:tcMar>
              <w:top w:w="100" w:type="dxa"/>
              <w:start w:w="120" w:type="dxa"/>
              <w:bottom w:w="100" w:type="dxa"/>
              <w:end w:w="120" w:type="dxa"/>
            </w:tcMar>
            <w:shd w:fill="F3F7FB"/>
          </w:tcPr>
          <w:p>
            <w:pPr>
              <w:spacing w:after="0"/>
              <w:jc w:val="center"/>
            </w:pPr>
            <w:r>
              <w:rPr>
                <w:sz w:val="17"/>
              </w:rPr>
              <w:t>Regression suites and deterministic random comparisons</w:t>
            </w:r>
          </w:p>
        </w:tc>
      </w:tr>
      <w:tr>
        <w:trPr>
          <w:cantSplit/>
        </w:trPr>
        <w:tc>
          <w:tcPr>
            <w:tcW w:type="dxa" w:w="4968"/>
            <w:vAlign w:val="center"/>
            <w:tcMar>
              <w:top w:w="100" w:type="dxa"/>
              <w:start w:w="120" w:type="dxa"/>
              <w:bottom w:w="100" w:type="dxa"/>
              <w:end w:w="120" w:type="dxa"/>
            </w:tcMar>
          </w:tcPr>
          <w:p>
            <w:pPr>
              <w:spacing w:after="0"/>
              <w:jc w:val="left"/>
            </w:pPr>
            <w:r>
              <w:rPr>
                <w:sz w:val="17"/>
              </w:rPr>
              <w:t>Tapered evaluation and timed PVS</w:t>
            </w:r>
          </w:p>
        </w:tc>
        <w:tc>
          <w:tcPr>
            <w:tcW w:type="dxa" w:w="5112"/>
            <w:vAlign w:val="center"/>
            <w:tcMar>
              <w:top w:w="100" w:type="dxa"/>
              <w:start w:w="120" w:type="dxa"/>
              <w:bottom w:w="100" w:type="dxa"/>
              <w:end w:w="120" w:type="dxa"/>
            </w:tcMar>
          </w:tcPr>
          <w:p>
            <w:pPr>
              <w:spacing w:after="0"/>
              <w:jc w:val="center"/>
            </w:pPr>
            <w:r>
              <w:rPr>
                <w:sz w:val="17"/>
              </w:rPr>
              <w:t>Dataset construction and reference-engine labeling</w:t>
            </w:r>
          </w:p>
        </w:tc>
      </w:tr>
      <w:tr>
        <w:trPr>
          <w:cantSplit/>
        </w:trPr>
        <w:tc>
          <w:tcPr>
            <w:tcW w:type="dxa" w:w="4968"/>
            <w:vAlign w:val="center"/>
            <w:tcMar>
              <w:top w:w="100" w:type="dxa"/>
              <w:start w:w="120" w:type="dxa"/>
              <w:bottom w:w="100" w:type="dxa"/>
              <w:end w:w="120" w:type="dxa"/>
            </w:tcMar>
            <w:shd w:fill="F3F7FB"/>
          </w:tcPr>
          <w:p>
            <w:pPr>
              <w:spacing w:after="0"/>
              <w:jc w:val="left"/>
            </w:pPr>
            <w:r>
              <w:rPr>
                <w:sz w:val="17"/>
              </w:rPr>
              <w:t>UCI, asynchronous stop and self-play</w:t>
            </w:r>
          </w:p>
        </w:tc>
        <w:tc>
          <w:tcPr>
            <w:tcW w:type="dxa" w:w="5112"/>
            <w:vAlign w:val="center"/>
            <w:tcMar>
              <w:top w:w="100" w:type="dxa"/>
              <w:start w:w="120" w:type="dxa"/>
              <w:bottom w:w="100" w:type="dxa"/>
              <w:end w:w="120" w:type="dxa"/>
            </w:tcMar>
            <w:shd w:fill="F3F7FB"/>
          </w:tcPr>
          <w:p>
            <w:pPr>
              <w:spacing w:after="0"/>
              <w:jc w:val="center"/>
            </w:pPr>
            <w:r>
              <w:rPr>
                <w:sz w:val="17"/>
              </w:rPr>
              <w:t>Model fitting, calibration, bootstrap uncertainty</w:t>
            </w:r>
          </w:p>
        </w:tc>
      </w:tr>
      <w:tr>
        <w:trPr>
          <w:cantSplit/>
        </w:trPr>
        <w:tc>
          <w:tcPr>
            <w:tcW w:type="dxa" w:w="4968"/>
            <w:vAlign w:val="center"/>
            <w:tcMar>
              <w:top w:w="100" w:type="dxa"/>
              <w:start w:w="120" w:type="dxa"/>
              <w:bottom w:w="100" w:type="dxa"/>
              <w:end w:w="120" w:type="dxa"/>
            </w:tcMar>
          </w:tcPr>
          <w:p>
            <w:pPr>
              <w:spacing w:after="0"/>
              <w:jc w:val="left"/>
            </w:pPr>
            <w:r>
              <w:rPr>
                <w:sz w:val="17"/>
              </w:rPr>
              <w:t>MultiPV, frozen learned inference, and bounded adaptive selection</w:t>
            </w:r>
          </w:p>
        </w:tc>
        <w:tc>
          <w:tcPr>
            <w:tcW w:type="dxa" w:w="5112"/>
            <w:vAlign w:val="center"/>
            <w:tcMar>
              <w:top w:w="100" w:type="dxa"/>
              <w:start w:w="120" w:type="dxa"/>
              <w:bottom w:w="100" w:type="dxa"/>
              <w:end w:w="120" w:type="dxa"/>
            </w:tcMar>
          </w:tcPr>
          <w:p>
            <w:pPr>
              <w:spacing w:after="0"/>
              <w:jc w:val="center"/>
            </w:pPr>
            <w:r>
              <w:rPr>
                <w:sz w:val="17"/>
              </w:rPr>
              <w:t>Profile creation, training, model export, and match analysis</w:t>
            </w:r>
          </w:p>
        </w:tc>
      </w:tr>
    </w:tbl>
    <w:p>
      <w:pPr>
        <w:spacing w:after="20"/>
      </w:pPr>
    </w:p>
    <w:p>
      <w:r>
        <w:t>Python is not called at every search node. The intended deployment path is to train and validate outside the engine, export a compact frozen artifact, and perform low-overhead inference in C++ only at the root candidate boundary.</w:t>
      </w:r>
    </w:p>
    <w:p>
      <w:pPr>
        <w:pStyle w:val="Heading2"/>
      </w:pPr>
      <w:r>
        <w:t>5  Measurement and current engine baseline</w:t>
      </w:r>
    </w:p>
    <w:p>
      <w:r>
        <w:t>The project added deterministic tactical benchmarks, fixed-node self-play, EPD best-move solving, SPRT support, and a Stockfish gauntlet. The current absolute estimate uses Stockfish 18 with UCI_LimitStrength, one thread, 64 MB hash, 30 ms per move, deterministic four-ply openings, color swaps, legal-move verification, and a 140-ply maximum.</w:t>
      </w:r>
    </w:p>
    <w:p>
      <w:pPr>
        <w:keepNext/>
        <w:jc w:val="center"/>
      </w:pPr>
      <w:r>
        <w:drawing>
          <wp:inline xmlns:a="http://schemas.openxmlformats.org/drawingml/2006/main" xmlns:pic="http://schemas.openxmlformats.org/drawingml/2006/picture">
            <wp:extent cx="5943600" cy="2759529"/>
            <wp:docPr id="2" name="Picture 2" descr="Figure 2  Measured local engine-strength progression with approximate intervals"/>
            <wp:cNvGraphicFramePr>
              <a:graphicFrameLocks noChangeAspect="1"/>
            </wp:cNvGraphicFramePr>
            <a:graphic>
              <a:graphicData uri="http://schemas.openxmlformats.org/drawingml/2006/picture">
                <pic:pic>
                  <pic:nvPicPr>
                    <pic:cNvPr id="0" name="elo_progression.png"/>
                    <pic:cNvPicPr/>
                  </pic:nvPicPr>
                  <pic:blipFill>
                    <a:blip r:embed="rId11"/>
                    <a:stretch>
                      <a:fillRect/>
                    </a:stretch>
                  </pic:blipFill>
                  <pic:spPr>
                    <a:xfrm>
                      <a:off x="0" y="0"/>
                      <a:ext cx="5943600" cy="2759529"/>
                    </a:xfrm>
                    <a:prstGeom prst="rect"/>
                  </pic:spPr>
                </pic:pic>
              </a:graphicData>
            </a:graphic>
          </wp:inline>
        </w:drawing>
      </w:r>
    </w:p>
    <w:p>
      <w:pPr>
        <w:keepNext w:val="0"/>
        <w:jc w:val="center"/>
      </w:pPr>
      <w:r>
        <w:rPr>
          <w:i/>
          <w:color w:val="595959"/>
          <w:sz w:val="17"/>
        </w:rPr>
        <w:t>Figure 2  Measured local engine-strength progression with approximate intervals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cantSplit/>
        </w:trPr>
        <w:tc>
          <w:tcPr>
            <w:tcW w:type="dxa" w:w="2232"/>
            <w:shd w:fill="17365D"/>
            <w:vAlign w:val="center"/>
            <w:tcMar>
              <w:top w:w="100" w:type="dxa"/>
              <w:start w:w="120" w:type="dxa"/>
              <w:bottom w:w="100" w:type="dxa"/>
              <w:end w:w="120" w:type="dxa"/>
            </w:tcMar>
          </w:tcPr>
          <w:p>
            <w:pPr>
              <w:keepNext/>
              <w:jc w:val="center"/>
            </w:pPr>
            <w:r>
              <w:rPr>
                <w:b/>
                <w:color w:val="FFFFFF"/>
                <w:sz w:val="17"/>
              </w:rPr>
              <w:t>Opponent setting</w:t>
            </w:r>
          </w:p>
        </w:tc>
        <w:tc>
          <w:tcPr>
            <w:tcW w:type="dxa" w:w="1007"/>
            <w:shd w:fill="17365D"/>
            <w:vAlign w:val="center"/>
            <w:tcMar>
              <w:top w:w="100" w:type="dxa"/>
              <w:start w:w="120" w:type="dxa"/>
              <w:bottom w:w="100" w:type="dxa"/>
              <w:end w:w="120" w:type="dxa"/>
            </w:tcMar>
          </w:tcPr>
          <w:p>
            <w:pPr>
              <w:keepNext/>
              <w:jc w:val="center"/>
            </w:pPr>
            <w:r>
              <w:rPr>
                <w:b/>
                <w:color w:val="FFFFFF"/>
                <w:sz w:val="17"/>
              </w:rPr>
              <w:t>Games</w:t>
            </w:r>
          </w:p>
        </w:tc>
        <w:tc>
          <w:tcPr>
            <w:tcW w:type="dxa" w:w="1655"/>
            <w:shd w:fill="17365D"/>
            <w:vAlign w:val="center"/>
            <w:tcMar>
              <w:top w:w="100" w:type="dxa"/>
              <w:start w:w="120" w:type="dxa"/>
              <w:bottom w:w="100" w:type="dxa"/>
              <w:end w:w="120" w:type="dxa"/>
            </w:tcMar>
          </w:tcPr>
          <w:p>
            <w:pPr>
              <w:keepNext/>
              <w:jc w:val="center"/>
            </w:pPr>
            <w:r>
              <w:rPr>
                <w:b/>
                <w:color w:val="FFFFFF"/>
                <w:sz w:val="17"/>
              </w:rPr>
              <w:t>W D L</w:t>
            </w:r>
          </w:p>
        </w:tc>
        <w:tc>
          <w:tcPr>
            <w:tcW w:type="dxa" w:w="1296"/>
            <w:shd w:fill="17365D"/>
            <w:vAlign w:val="center"/>
            <w:tcMar>
              <w:top w:w="100" w:type="dxa"/>
              <w:start w:w="120" w:type="dxa"/>
              <w:bottom w:w="100" w:type="dxa"/>
              <w:end w:w="120" w:type="dxa"/>
            </w:tcMar>
          </w:tcPr>
          <w:p>
            <w:pPr>
              <w:keepNext/>
              <w:jc w:val="center"/>
            </w:pPr>
            <w:r>
              <w:rPr>
                <w:b/>
                <w:color w:val="FFFFFF"/>
                <w:sz w:val="17"/>
              </w:rPr>
              <w:t>Score</w:t>
            </w:r>
          </w:p>
        </w:tc>
        <w:tc>
          <w:tcPr>
            <w:tcW w:type="dxa" w:w="3888"/>
            <w:shd w:fill="17365D"/>
            <w:vAlign w:val="center"/>
            <w:tcMar>
              <w:top w:w="100" w:type="dxa"/>
              <w:start w:w="120" w:type="dxa"/>
              <w:bottom w:w="100" w:type="dxa"/>
              <w:end w:w="120" w:type="dxa"/>
            </w:tcMar>
          </w:tcPr>
          <w:p>
            <w:pPr>
              <w:keepNext/>
              <w:jc w:val="center"/>
            </w:pPr>
            <w:r>
              <w:rPr>
                <w:b/>
                <w:color w:val="FFFFFF"/>
                <w:sz w:val="17"/>
              </w:rPr>
              <w:t>Single-sample estimate</w:t>
            </w:r>
          </w:p>
        </w:tc>
      </w:tr>
      <w:tr>
        <w:trPr>
          <w:cantSplit/>
        </w:trPr>
        <w:tc>
          <w:tcPr>
            <w:tcW w:type="dxa" w:w="2232"/>
            <w:vAlign w:val="center"/>
            <w:tcMar>
              <w:top w:w="100" w:type="dxa"/>
              <w:start w:w="120" w:type="dxa"/>
              <w:bottom w:w="100" w:type="dxa"/>
              <w:end w:w="120" w:type="dxa"/>
            </w:tcMar>
          </w:tcPr>
          <w:p>
            <w:pPr>
              <w:spacing w:after="0"/>
              <w:jc w:val="left"/>
            </w:pPr>
            <w:r>
              <w:rPr>
                <w:sz w:val="17"/>
              </w:rPr>
              <w:t>Stockfish 1875</w:t>
            </w:r>
          </w:p>
        </w:tc>
        <w:tc>
          <w:tcPr>
            <w:tcW w:type="dxa" w:w="1007"/>
            <w:vAlign w:val="center"/>
            <w:tcMar>
              <w:top w:w="100" w:type="dxa"/>
              <w:start w:w="120" w:type="dxa"/>
              <w:bottom w:w="100" w:type="dxa"/>
              <w:end w:w="120" w:type="dxa"/>
            </w:tcMar>
          </w:tcPr>
          <w:p>
            <w:pPr>
              <w:spacing w:after="0"/>
              <w:jc w:val="center"/>
            </w:pPr>
            <w:r>
              <w:rPr>
                <w:sz w:val="17"/>
              </w:rPr>
              <w:t>64</w:t>
            </w:r>
          </w:p>
        </w:tc>
        <w:tc>
          <w:tcPr>
            <w:tcW w:type="dxa" w:w="1655"/>
            <w:vAlign w:val="center"/>
            <w:tcMar>
              <w:top w:w="100" w:type="dxa"/>
              <w:start w:w="120" w:type="dxa"/>
              <w:bottom w:w="100" w:type="dxa"/>
              <w:end w:w="120" w:type="dxa"/>
            </w:tcMar>
          </w:tcPr>
          <w:p>
            <w:pPr>
              <w:spacing w:after="0"/>
              <w:jc w:val="center"/>
            </w:pPr>
            <w:r>
              <w:rPr>
                <w:sz w:val="17"/>
              </w:rPr>
              <w:t>35 14 15</w:t>
            </w:r>
          </w:p>
        </w:tc>
        <w:tc>
          <w:tcPr>
            <w:tcW w:type="dxa" w:w="1296"/>
            <w:vAlign w:val="center"/>
            <w:tcMar>
              <w:top w:w="100" w:type="dxa"/>
              <w:start w:w="120" w:type="dxa"/>
              <w:bottom w:w="100" w:type="dxa"/>
              <w:end w:w="120" w:type="dxa"/>
            </w:tcMar>
          </w:tcPr>
          <w:p>
            <w:pPr>
              <w:spacing w:after="0"/>
              <w:jc w:val="center"/>
            </w:pPr>
            <w:r>
              <w:rPr>
                <w:sz w:val="17"/>
              </w:rPr>
              <w:t>65.6%</w:t>
            </w:r>
          </w:p>
        </w:tc>
        <w:tc>
          <w:tcPr>
            <w:tcW w:type="dxa" w:w="3888"/>
            <w:vAlign w:val="center"/>
            <w:tcMar>
              <w:top w:w="100" w:type="dxa"/>
              <w:start w:w="120" w:type="dxa"/>
              <w:bottom w:w="100" w:type="dxa"/>
              <w:end w:w="120" w:type="dxa"/>
            </w:tcMar>
          </w:tcPr>
          <w:p>
            <w:pPr>
              <w:spacing w:after="0"/>
              <w:jc w:val="center"/>
            </w:pPr>
            <w:r>
              <w:rPr>
                <w:sz w:val="17"/>
              </w:rPr>
              <w:t>1987</w:t>
            </w:r>
          </w:p>
        </w:tc>
      </w:tr>
      <w:tr>
        <w:trPr>
          <w:cantSplit/>
        </w:trPr>
        <w:tc>
          <w:tcPr>
            <w:tcW w:type="dxa" w:w="2232"/>
            <w:vAlign w:val="center"/>
            <w:tcMar>
              <w:top w:w="100" w:type="dxa"/>
              <w:start w:w="120" w:type="dxa"/>
              <w:bottom w:w="100" w:type="dxa"/>
              <w:end w:w="120" w:type="dxa"/>
            </w:tcMar>
            <w:shd w:fill="F3F7FB"/>
          </w:tcPr>
          <w:p>
            <w:pPr>
              <w:spacing w:after="0"/>
              <w:jc w:val="left"/>
            </w:pPr>
            <w:r>
              <w:rPr>
                <w:sz w:val="17"/>
              </w:rPr>
              <w:t>Stockfish 2000</w:t>
            </w:r>
          </w:p>
        </w:tc>
        <w:tc>
          <w:tcPr>
            <w:tcW w:type="dxa" w:w="1007"/>
            <w:vAlign w:val="center"/>
            <w:tcMar>
              <w:top w:w="100" w:type="dxa"/>
              <w:start w:w="120" w:type="dxa"/>
              <w:bottom w:w="100" w:type="dxa"/>
              <w:end w:w="120" w:type="dxa"/>
            </w:tcMar>
            <w:shd w:fill="F3F7FB"/>
          </w:tcPr>
          <w:p>
            <w:pPr>
              <w:spacing w:after="0"/>
              <w:jc w:val="center"/>
            </w:pPr>
            <w:r>
              <w:rPr>
                <w:sz w:val="17"/>
              </w:rPr>
              <w:t>48</w:t>
            </w:r>
          </w:p>
        </w:tc>
        <w:tc>
          <w:tcPr>
            <w:tcW w:type="dxa" w:w="1655"/>
            <w:vAlign w:val="center"/>
            <w:tcMar>
              <w:top w:w="100" w:type="dxa"/>
              <w:start w:w="120" w:type="dxa"/>
              <w:bottom w:w="100" w:type="dxa"/>
              <w:end w:w="120" w:type="dxa"/>
            </w:tcMar>
            <w:shd w:fill="F3F7FB"/>
          </w:tcPr>
          <w:p>
            <w:pPr>
              <w:spacing w:after="0"/>
              <w:jc w:val="center"/>
            </w:pPr>
            <w:r>
              <w:rPr>
                <w:sz w:val="17"/>
              </w:rPr>
              <w:t>20 9 19</w:t>
            </w:r>
          </w:p>
        </w:tc>
        <w:tc>
          <w:tcPr>
            <w:tcW w:type="dxa" w:w="1296"/>
            <w:vAlign w:val="center"/>
            <w:tcMar>
              <w:top w:w="100" w:type="dxa"/>
              <w:start w:w="120" w:type="dxa"/>
              <w:bottom w:w="100" w:type="dxa"/>
              <w:end w:w="120" w:type="dxa"/>
            </w:tcMar>
            <w:shd w:fill="F3F7FB"/>
          </w:tcPr>
          <w:p>
            <w:pPr>
              <w:spacing w:after="0"/>
              <w:jc w:val="center"/>
            </w:pPr>
            <w:r>
              <w:rPr>
                <w:sz w:val="17"/>
              </w:rPr>
              <w:t>51.0%</w:t>
            </w:r>
          </w:p>
        </w:tc>
        <w:tc>
          <w:tcPr>
            <w:tcW w:type="dxa" w:w="3888"/>
            <w:vAlign w:val="center"/>
            <w:tcMar>
              <w:top w:w="100" w:type="dxa"/>
              <w:start w:w="120" w:type="dxa"/>
              <w:bottom w:w="100" w:type="dxa"/>
              <w:end w:w="120" w:type="dxa"/>
            </w:tcMar>
            <w:shd w:fill="F3F7FB"/>
          </w:tcPr>
          <w:p>
            <w:pPr>
              <w:spacing w:after="0"/>
              <w:jc w:val="center"/>
            </w:pPr>
            <w:r>
              <w:rPr>
                <w:sz w:val="17"/>
              </w:rPr>
              <w:t>2007</w:t>
            </w:r>
          </w:p>
        </w:tc>
      </w:tr>
      <w:tr>
        <w:trPr>
          <w:cantSplit/>
        </w:trPr>
        <w:tc>
          <w:tcPr>
            <w:tcW w:type="dxa" w:w="2232"/>
            <w:vAlign w:val="center"/>
            <w:tcMar>
              <w:top w:w="100" w:type="dxa"/>
              <w:start w:w="120" w:type="dxa"/>
              <w:bottom w:w="100" w:type="dxa"/>
              <w:end w:w="120" w:type="dxa"/>
            </w:tcMar>
          </w:tcPr>
          <w:p>
            <w:pPr>
              <w:spacing w:after="0"/>
              <w:jc w:val="left"/>
            </w:pPr>
            <w:r>
              <w:rPr>
                <w:sz w:val="17"/>
              </w:rPr>
              <w:t>Combined fit</w:t>
            </w:r>
          </w:p>
        </w:tc>
        <w:tc>
          <w:tcPr>
            <w:tcW w:type="dxa" w:w="1007"/>
            <w:vAlign w:val="center"/>
            <w:tcMar>
              <w:top w:w="100" w:type="dxa"/>
              <w:start w:w="120" w:type="dxa"/>
              <w:bottom w:w="100" w:type="dxa"/>
              <w:end w:w="120" w:type="dxa"/>
            </w:tcMar>
          </w:tcPr>
          <w:p>
            <w:pPr>
              <w:spacing w:after="0"/>
              <w:jc w:val="center"/>
            </w:pPr>
            <w:r>
              <w:rPr>
                <w:sz w:val="17"/>
              </w:rPr>
              <w:t>112</w:t>
            </w:r>
          </w:p>
        </w:tc>
        <w:tc>
          <w:tcPr>
            <w:tcW w:type="dxa" w:w="1655"/>
            <w:vAlign w:val="center"/>
            <w:tcMar>
              <w:top w:w="100" w:type="dxa"/>
              <w:start w:w="120" w:type="dxa"/>
              <w:bottom w:w="100" w:type="dxa"/>
              <w:end w:w="120" w:type="dxa"/>
            </w:tcMar>
          </w:tcPr>
          <w:p>
            <w:pPr>
              <w:spacing w:after="0"/>
              <w:jc w:val="center"/>
            </w:pPr>
            <w:r>
              <w:rPr>
                <w:sz w:val="17"/>
              </w:rPr>
              <w:t>55 23 34</w:t>
            </w:r>
          </w:p>
        </w:tc>
        <w:tc>
          <w:tcPr>
            <w:tcW w:type="dxa" w:w="1296"/>
            <w:vAlign w:val="center"/>
            <w:tcMar>
              <w:top w:w="100" w:type="dxa"/>
              <w:start w:w="120" w:type="dxa"/>
              <w:bottom w:w="100" w:type="dxa"/>
              <w:end w:w="120" w:type="dxa"/>
            </w:tcMar>
          </w:tcPr>
          <w:p>
            <w:pPr>
              <w:spacing w:after="0"/>
              <w:jc w:val="center"/>
            </w:pPr>
            <w:r>
              <w:rPr>
                <w:sz w:val="17"/>
              </w:rPr>
              <w:t>59.4%</w:t>
            </w:r>
          </w:p>
        </w:tc>
        <w:tc>
          <w:tcPr>
            <w:tcW w:type="dxa" w:w="3888"/>
            <w:vAlign w:val="center"/>
            <w:tcMar>
              <w:top w:w="100" w:type="dxa"/>
              <w:start w:w="120" w:type="dxa"/>
              <w:bottom w:w="100" w:type="dxa"/>
              <w:end w:w="120" w:type="dxa"/>
            </w:tcMar>
          </w:tcPr>
          <w:p>
            <w:pPr>
              <w:spacing w:after="0"/>
              <w:jc w:val="center"/>
            </w:pPr>
            <w:r>
              <w:rPr>
                <w:sz w:val="17"/>
              </w:rPr>
              <w:t>1996  interval 1930 to 2063</w:t>
            </w:r>
          </w:p>
        </w:tc>
      </w:tr>
    </w:tbl>
    <w:p>
      <w:pPr>
        <w:spacing w:after="20"/>
      </w:pPr>
    </w:p>
    <w:p>
      <w:r>
        <w:t>The earlier 78-game baseline was 1871 with an approximate interval of 1792 to 1949. The newer estimate is about 125 points higher, but it should not be interpreted as FIDE, Chess.com, Lichess, CCRL, or CEGT Elo. It is a local rating within one short-time reference protocol. All 112 latest games completed without a crash or illegal move.</w:t>
      </w:r>
    </w:p>
    <w:p>
      <w:pPr>
        <w:spacing w:after="100"/>
      </w:pPr>
      <w:r>
        <w:rPr>
          <w:b/>
          <w:color w:val="17365D"/>
        </w:rPr>
        <w:t xml:space="preserve">Current verification </w:t>
      </w:r>
      <w:r>
        <w:t>117 Python tests passed in the project research environment on 30 September 2026. The C++ implementation also has dedicated suites for position, perft, move generation, search, pruning, timing, MultiPV, adaptive features, model-inference parity, and adaptive selection.</w:t>
      </w:r>
    </w:p>
    <w:p>
      <w:pPr>
        <w:pStyle w:val="Heading1"/>
      </w:pPr>
      <w:r>
        <w:t>Part Two  Adaptive layer and opponent modelling</w:t>
      </w:r>
    </w:p>
    <w:p>
      <w:r>
        <w:t>The adaptive phase changed the central question from making the engine generally stronger to testing a causal claim: can prior information about a recurring opponent improve match score when the personalized and neutral engines receive identical compute and root candidates? The project first built a safe hand-authored selector, then created a data-driven personal error-prediction study.</w:t>
      </w:r>
    </w:p>
    <w:p>
      <w:pPr>
        <w:pStyle w:val="Heading2"/>
      </w:pPr>
      <w:r>
        <w:t>6  Research question and safety contract</w:t>
      </w:r>
    </w:p>
    <w:p>
      <w:r>
        <w:t>The treatment is not allowed to search more moves or spend more time than the control. Both arms use MultiPV 4 and the same all-root search. Neutral play selects rank one; adaptive play may rerank only completed candidates. Single-PV neutral play is a practical baseline but not the causal control because it performs less root work.</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1944"/>
            <w:shd w:fill="17365D"/>
            <w:vAlign w:val="center"/>
            <w:tcMar>
              <w:top w:w="100" w:type="dxa"/>
              <w:start w:w="120" w:type="dxa"/>
              <w:bottom w:w="100" w:type="dxa"/>
              <w:end w:w="120" w:type="dxa"/>
            </w:tcMar>
          </w:tcPr>
          <w:p>
            <w:pPr>
              <w:keepNext/>
              <w:jc w:val="center"/>
            </w:pPr>
            <w:r>
              <w:rPr>
                <w:b/>
                <w:color w:val="FFFFFF"/>
                <w:sz w:val="17"/>
              </w:rPr>
              <w:t>Invariant</w:t>
            </w:r>
          </w:p>
        </w:tc>
        <w:tc>
          <w:tcPr>
            <w:tcW w:type="dxa" w:w="8136"/>
            <w:shd w:fill="17365D"/>
            <w:vAlign w:val="center"/>
            <w:tcMar>
              <w:top w:w="100" w:type="dxa"/>
              <w:start w:w="120" w:type="dxa"/>
              <w:bottom w:w="100" w:type="dxa"/>
              <w:end w:w="120" w:type="dxa"/>
            </w:tcMar>
          </w:tcPr>
          <w:p>
            <w:pPr>
              <w:keepNext/>
              <w:jc w:val="center"/>
            </w:pPr>
            <w:r>
              <w:rPr>
                <w:b/>
                <w:color w:val="FFFFFF"/>
                <w:sz w:val="17"/>
              </w:rPr>
              <w:t>Operational rule</w:t>
            </w:r>
          </w:p>
        </w:tc>
      </w:tr>
      <w:tr>
        <w:trPr>
          <w:cantSplit/>
        </w:trPr>
        <w:tc>
          <w:tcPr>
            <w:tcW w:type="dxa" w:w="1944"/>
            <w:vAlign w:val="center"/>
            <w:tcMar>
              <w:top w:w="100" w:type="dxa"/>
              <w:start w:w="120" w:type="dxa"/>
              <w:bottom w:w="100" w:type="dxa"/>
              <w:end w:w="120" w:type="dxa"/>
            </w:tcMar>
          </w:tcPr>
          <w:p>
            <w:pPr>
              <w:spacing w:after="0"/>
              <w:jc w:val="left"/>
            </w:pPr>
            <w:r>
              <w:rPr>
                <w:sz w:val="17"/>
              </w:rPr>
              <w:t>Legality</w:t>
            </w:r>
          </w:p>
        </w:tc>
        <w:tc>
          <w:tcPr>
            <w:tcW w:type="dxa" w:w="8136"/>
            <w:vAlign w:val="center"/>
            <w:tcMar>
              <w:top w:w="100" w:type="dxa"/>
              <w:start w:w="120" w:type="dxa"/>
              <w:bottom w:w="100" w:type="dxa"/>
              <w:end w:w="120" w:type="dxa"/>
            </w:tcMar>
          </w:tcPr>
          <w:p>
            <w:pPr>
              <w:spacing w:after="0"/>
              <w:jc w:val="center"/>
            </w:pPr>
            <w:r>
              <w:rPr>
                <w:sz w:val="17"/>
              </w:rPr>
              <w:t>Only moves returned by legal C++ root search can be selected</w:t>
            </w:r>
          </w:p>
        </w:tc>
      </w:tr>
      <w:tr>
        <w:trPr>
          <w:cantSplit/>
        </w:trPr>
        <w:tc>
          <w:tcPr>
            <w:tcW w:type="dxa" w:w="1944"/>
            <w:vAlign w:val="center"/>
            <w:tcMar>
              <w:top w:w="100" w:type="dxa"/>
              <w:start w:w="120" w:type="dxa"/>
              <w:bottom w:w="100" w:type="dxa"/>
              <w:end w:w="120" w:type="dxa"/>
            </w:tcMar>
            <w:shd w:fill="F3F7FB"/>
          </w:tcPr>
          <w:p>
            <w:pPr>
              <w:spacing w:after="0"/>
              <w:jc w:val="left"/>
            </w:pPr>
            <w:r>
              <w:rPr>
                <w:sz w:val="17"/>
              </w:rPr>
              <w:t>Objective safety</w:t>
            </w:r>
          </w:p>
        </w:tc>
        <w:tc>
          <w:tcPr>
            <w:tcW w:type="dxa" w:w="8136"/>
            <w:vAlign w:val="center"/>
            <w:tcMar>
              <w:top w:w="100" w:type="dxa"/>
              <w:start w:w="120" w:type="dxa"/>
              <w:bottom w:w="100" w:type="dxa"/>
              <w:end w:w="120" w:type="dxa"/>
            </w:tcMar>
            <w:shd w:fill="F3F7FB"/>
          </w:tcPr>
          <w:p>
            <w:pPr>
              <w:spacing w:after="0"/>
              <w:jc w:val="center"/>
            </w:pPr>
            <w:r>
              <w:rPr>
                <w:sz w:val="17"/>
              </w:rPr>
              <w:t>Alternatives must be no more than 35 centipawns below the neutral best move</w:t>
            </w:r>
          </w:p>
        </w:tc>
      </w:tr>
      <w:tr>
        <w:trPr>
          <w:cantSplit/>
        </w:trPr>
        <w:tc>
          <w:tcPr>
            <w:tcW w:type="dxa" w:w="1944"/>
            <w:vAlign w:val="center"/>
            <w:tcMar>
              <w:top w:w="100" w:type="dxa"/>
              <w:start w:w="120" w:type="dxa"/>
              <w:bottom w:w="100" w:type="dxa"/>
              <w:end w:w="120" w:type="dxa"/>
            </w:tcMar>
          </w:tcPr>
          <w:p>
            <w:pPr>
              <w:spacing w:after="0"/>
              <w:jc w:val="left"/>
            </w:pPr>
            <w:r>
              <w:rPr>
                <w:sz w:val="17"/>
              </w:rPr>
              <w:t>Mate safety</w:t>
            </w:r>
          </w:p>
        </w:tc>
        <w:tc>
          <w:tcPr>
            <w:tcW w:type="dxa" w:w="8136"/>
            <w:vAlign w:val="center"/>
            <w:tcMar>
              <w:top w:w="100" w:type="dxa"/>
              <w:start w:w="120" w:type="dxa"/>
              <w:bottom w:w="100" w:type="dxa"/>
              <w:end w:w="120" w:type="dxa"/>
            </w:tcMar>
          </w:tcPr>
          <w:p>
            <w:pPr>
              <w:spacing w:after="0"/>
              <w:jc w:val="center"/>
            </w:pPr>
            <w:r>
              <w:rPr>
                <w:sz w:val="17"/>
              </w:rPr>
              <w:t>Winning mates are preserved and lines allowing forced mate are ineligible</w:t>
            </w:r>
          </w:p>
        </w:tc>
      </w:tr>
      <w:tr>
        <w:trPr>
          <w:cantSplit/>
        </w:trPr>
        <w:tc>
          <w:tcPr>
            <w:tcW w:type="dxa" w:w="1944"/>
            <w:vAlign w:val="center"/>
            <w:tcMar>
              <w:top w:w="100" w:type="dxa"/>
              <w:start w:w="120" w:type="dxa"/>
              <w:bottom w:w="100" w:type="dxa"/>
              <w:end w:w="120" w:type="dxa"/>
            </w:tcMar>
            <w:shd w:fill="F3F7FB"/>
          </w:tcPr>
          <w:p>
            <w:pPr>
              <w:spacing w:after="0"/>
              <w:jc w:val="left"/>
            </w:pPr>
            <w:r>
              <w:rPr>
                <w:sz w:val="17"/>
              </w:rPr>
              <w:t>Completeness</w:t>
            </w:r>
          </w:p>
        </w:tc>
        <w:tc>
          <w:tcPr>
            <w:tcW w:type="dxa" w:w="8136"/>
            <w:vAlign w:val="center"/>
            <w:tcMar>
              <w:top w:w="100" w:type="dxa"/>
              <w:start w:w="120" w:type="dxa"/>
              <w:bottom w:w="100" w:type="dxa"/>
              <w:end w:w="120" w:type="dxa"/>
            </w:tcMar>
            <w:shd w:fill="F3F7FB"/>
          </w:tcPr>
          <w:p>
            <w:pPr>
              <w:spacing w:after="0"/>
              <w:jc w:val="center"/>
            </w:pPr>
            <w:r>
              <w:rPr>
                <w:sz w:val="17"/>
              </w:rPr>
              <w:t>Only a fully completed all-root MultiPV iteration can drive adaptation</w:t>
            </w:r>
          </w:p>
        </w:tc>
      </w:tr>
      <w:tr>
        <w:trPr>
          <w:cantSplit/>
        </w:trPr>
        <w:tc>
          <w:tcPr>
            <w:tcW w:type="dxa" w:w="1944"/>
            <w:vAlign w:val="center"/>
            <w:tcMar>
              <w:top w:w="100" w:type="dxa"/>
              <w:start w:w="120" w:type="dxa"/>
              <w:bottom w:w="100" w:type="dxa"/>
              <w:end w:w="120" w:type="dxa"/>
            </w:tcMar>
          </w:tcPr>
          <w:p>
            <w:pPr>
              <w:spacing w:after="0"/>
              <w:jc w:val="left"/>
            </w:pPr>
            <w:r>
              <w:rPr>
                <w:sz w:val="17"/>
              </w:rPr>
              <w:t>Fallback</w:t>
            </w:r>
          </w:p>
        </w:tc>
        <w:tc>
          <w:tcPr>
            <w:tcW w:type="dxa" w:w="8136"/>
            <w:vAlign w:val="center"/>
            <w:tcMar>
              <w:top w:w="100" w:type="dxa"/>
              <w:start w:w="120" w:type="dxa"/>
              <w:bottom w:w="100" w:type="dxa"/>
              <w:end w:w="120" w:type="dxa"/>
            </w:tcMar>
          </w:tcPr>
          <w:p>
            <w:pPr>
              <w:spacing w:after="0"/>
              <w:jc w:val="center"/>
            </w:pPr>
            <w:r>
              <w:rPr>
                <w:sz w:val="17"/>
              </w:rPr>
              <w:t>Invalid profiles, interrupted search, terminal positions, or unsupported data fail closed to neutral</w:t>
            </w:r>
          </w:p>
        </w:tc>
      </w:tr>
      <w:tr>
        <w:trPr>
          <w:cantSplit/>
        </w:trPr>
        <w:tc>
          <w:tcPr>
            <w:tcW w:type="dxa" w:w="1944"/>
            <w:vAlign w:val="center"/>
            <w:tcMar>
              <w:top w:w="100" w:type="dxa"/>
              <w:start w:w="120" w:type="dxa"/>
              <w:bottom w:w="100" w:type="dxa"/>
              <w:end w:w="120" w:type="dxa"/>
            </w:tcMar>
            <w:shd w:fill="F3F7FB"/>
          </w:tcPr>
          <w:p>
            <w:pPr>
              <w:spacing w:after="0"/>
              <w:jc w:val="left"/>
            </w:pPr>
            <w:r>
              <w:rPr>
                <w:sz w:val="17"/>
              </w:rPr>
              <w:t>Reproducibility</w:t>
            </w:r>
          </w:p>
        </w:tc>
        <w:tc>
          <w:tcPr>
            <w:tcW w:type="dxa" w:w="8136"/>
            <w:vAlign w:val="center"/>
            <w:tcMar>
              <w:top w:w="100" w:type="dxa"/>
              <w:start w:w="120" w:type="dxa"/>
              <w:bottom w:w="100" w:type="dxa"/>
              <w:end w:w="120" w:type="dxa"/>
            </w:tcMar>
            <w:shd w:fill="F3F7FB"/>
          </w:tcPr>
          <w:p>
            <w:pPr>
              <w:spacing w:after="0"/>
              <w:jc w:val="center"/>
            </w:pPr>
            <w:r>
              <w:rPr>
                <w:sz w:val="17"/>
              </w:rPr>
              <w:t>Fixed position, profile, engine version, limits, and seed must reproduce the decision</w:t>
            </w:r>
          </w:p>
        </w:tc>
      </w:tr>
      <w:tr>
        <w:trPr>
          <w:cantSplit/>
        </w:trPr>
        <w:tc>
          <w:tcPr>
            <w:tcW w:type="dxa" w:w="1944"/>
            <w:vAlign w:val="center"/>
            <w:tcMar>
              <w:top w:w="100" w:type="dxa"/>
              <w:start w:w="120" w:type="dxa"/>
              <w:bottom w:w="100" w:type="dxa"/>
              <w:end w:w="120" w:type="dxa"/>
            </w:tcMar>
          </w:tcPr>
          <w:p>
            <w:pPr>
              <w:spacing w:after="0"/>
              <w:jc w:val="left"/>
            </w:pPr>
            <w:r>
              <w:rPr>
                <w:sz w:val="17"/>
              </w:rPr>
              <w:t>Fair experiment</w:t>
            </w:r>
          </w:p>
        </w:tc>
        <w:tc>
          <w:tcPr>
            <w:tcW w:type="dxa" w:w="8136"/>
            <w:vAlign w:val="center"/>
            <w:tcMar>
              <w:top w:w="100" w:type="dxa"/>
              <w:start w:w="120" w:type="dxa"/>
              <w:bottom w:w="100" w:type="dxa"/>
              <w:end w:w="120" w:type="dxa"/>
            </w:tcMar>
          </w:tcPr>
          <w:p>
            <w:pPr>
              <w:spacing w:after="0"/>
              <w:jc w:val="center"/>
            </w:pPr>
            <w:r>
              <w:rPr>
                <w:sz w:val="17"/>
              </w:rPr>
              <w:t>Binary, nodes, openings, colors, hardware, and prior-information boundary are matched</w:t>
            </w:r>
          </w:p>
        </w:tc>
      </w:tr>
    </w:tbl>
    <w:p>
      <w:pPr>
        <w:spacing w:after="20"/>
      </w:pPr>
    </w:p>
    <w:p>
      <w:pPr>
        <w:pStyle w:val="Heading2"/>
      </w:pPr>
      <w:r>
        <w:t>7  Hand-authored adaptive layer</w:t>
      </w:r>
    </w:p>
    <w:p>
      <w:pPr>
        <w:pStyle w:val="Heading3"/>
      </w:pPr>
      <w:r>
        <w:t>7.1 MultiPV root candidates</w:t>
      </w:r>
    </w:p>
    <w:p>
      <w:r>
        <w:t>The C++ engine was extended to return multiple unique, score-sorted root candidates together with completion metadata. Terminal roots are represented as complete zero-candidate results. Interrupted searches can retain diagnostics but cannot become an adaptive decision set.</w:t>
      </w:r>
    </w:p>
    <w:p>
      <w:pPr>
        <w:pStyle w:val="Heading3"/>
      </w:pPr>
      <w:r>
        <w:t>7.2 Position characteristics</w:t>
      </w:r>
    </w:p>
    <w:p>
      <w:r>
        <w:t>Every completed root candidate is temporarily made on the board and described from the root mover's perspective. The extractor restores the original position. These values measure the position and move; they do not themselves contain preferences.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592"/>
            <w:shd w:fill="17365D"/>
            <w:vAlign w:val="center"/>
            <w:tcMar>
              <w:top w:w="100" w:type="dxa"/>
              <w:start w:w="120" w:type="dxa"/>
              <w:bottom w:w="100" w:type="dxa"/>
              <w:end w:w="120" w:type="dxa"/>
            </w:tcMar>
          </w:tcPr>
          <w:p>
            <w:pPr>
              <w:keepNext/>
              <w:jc w:val="center"/>
            </w:pPr>
            <w:r>
              <w:rPr>
                <w:b/>
                <w:color w:val="FFFFFF"/>
                <w:sz w:val="17"/>
              </w:rPr>
              <w:t>Feature group</w:t>
            </w:r>
          </w:p>
        </w:tc>
        <w:tc>
          <w:tcPr>
            <w:tcW w:type="dxa" w:w="7488"/>
            <w:shd w:fill="17365D"/>
            <w:vAlign w:val="center"/>
            <w:tcMar>
              <w:top w:w="100" w:type="dxa"/>
              <w:start w:w="120" w:type="dxa"/>
              <w:bottom w:w="100" w:type="dxa"/>
              <w:end w:w="120" w:type="dxa"/>
            </w:tcMar>
          </w:tcPr>
          <w:p>
            <w:pPr>
              <w:keepNext/>
              <w:jc w:val="center"/>
            </w:pPr>
            <w:r>
              <w:rPr>
                <w:b/>
                <w:color w:val="FFFFFF"/>
                <w:sz w:val="17"/>
              </w:rPr>
              <w:t>Examples</w:t>
            </w:r>
          </w:p>
        </w:tc>
      </w:tr>
      <w:tr>
        <w:trPr>
          <w:cantSplit/>
        </w:trPr>
        <w:tc>
          <w:tcPr>
            <w:tcW w:type="dxa" w:w="2592"/>
            <w:vAlign w:val="center"/>
            <w:tcMar>
              <w:top w:w="100" w:type="dxa"/>
              <w:start w:w="120" w:type="dxa"/>
              <w:bottom w:w="100" w:type="dxa"/>
              <w:end w:w="120" w:type="dxa"/>
            </w:tcMar>
          </w:tcPr>
          <w:p>
            <w:pPr>
              <w:spacing w:after="0"/>
              <w:jc w:val="left"/>
            </w:pPr>
            <w:r>
              <w:rPr>
                <w:sz w:val="17"/>
              </w:rPr>
              <w:t>Forcing play</w:t>
            </w:r>
          </w:p>
        </w:tc>
        <w:tc>
          <w:tcPr>
            <w:tcW w:type="dxa" w:w="7488"/>
            <w:vAlign w:val="center"/>
            <w:tcMar>
              <w:top w:w="100" w:type="dxa"/>
              <w:start w:w="120" w:type="dxa"/>
              <w:bottom w:w="100" w:type="dxa"/>
              <w:end w:w="120" w:type="dxa"/>
            </w:tcMar>
          </w:tcPr>
          <w:p>
            <w:pPr>
              <w:spacing w:after="0"/>
              <w:jc w:val="center"/>
            </w:pPr>
            <w:r>
              <w:rPr>
                <w:sz w:val="17"/>
              </w:rPr>
              <w:t>capture value, promotion gain, check, legal reply count</w:t>
            </w:r>
          </w:p>
        </w:tc>
      </w:tr>
      <w:tr>
        <w:trPr>
          <w:cantSplit/>
        </w:trPr>
        <w:tc>
          <w:tcPr>
            <w:tcW w:type="dxa" w:w="2592"/>
            <w:vAlign w:val="center"/>
            <w:tcMar>
              <w:top w:w="100" w:type="dxa"/>
              <w:start w:w="120" w:type="dxa"/>
              <w:bottom w:w="100" w:type="dxa"/>
              <w:end w:w="120" w:type="dxa"/>
            </w:tcMar>
            <w:shd w:fill="F3F7FB"/>
          </w:tcPr>
          <w:p>
            <w:pPr>
              <w:spacing w:after="0"/>
              <w:jc w:val="left"/>
            </w:pPr>
            <w:r>
              <w:rPr>
                <w:sz w:val="17"/>
              </w:rPr>
              <w:t>Material</w:t>
            </w:r>
          </w:p>
        </w:tc>
        <w:tc>
          <w:tcPr>
            <w:tcW w:type="dxa" w:w="7488"/>
            <w:vAlign w:val="center"/>
            <w:tcMar>
              <w:top w:w="100" w:type="dxa"/>
              <w:start w:w="120" w:type="dxa"/>
              <w:bottom w:w="100" w:type="dxa"/>
              <w:end w:w="120" w:type="dxa"/>
            </w:tcMar>
            <w:shd w:fill="F3F7FB"/>
          </w:tcPr>
          <w:p>
            <w:pPr>
              <w:spacing w:after="0"/>
              <w:jc w:val="center"/>
            </w:pPr>
            <w:r>
              <w:rPr>
                <w:sz w:val="17"/>
              </w:rPr>
              <w:t>balance, absolute imbalance, remaining non-pawn material, pawn count</w:t>
            </w:r>
          </w:p>
        </w:tc>
      </w:tr>
      <w:tr>
        <w:trPr>
          <w:cantSplit/>
        </w:trPr>
        <w:tc>
          <w:tcPr>
            <w:tcW w:type="dxa" w:w="2592"/>
            <w:vAlign w:val="center"/>
            <w:tcMar>
              <w:top w:w="100" w:type="dxa"/>
              <w:start w:w="120" w:type="dxa"/>
              <w:bottom w:w="100" w:type="dxa"/>
              <w:end w:w="120" w:type="dxa"/>
            </w:tcMar>
          </w:tcPr>
          <w:p>
            <w:pPr>
              <w:spacing w:after="0"/>
              <w:jc w:val="left"/>
            </w:pPr>
            <w:r>
              <w:rPr>
                <w:sz w:val="17"/>
              </w:rPr>
              <w:t>Position shape</w:t>
            </w:r>
          </w:p>
        </w:tc>
        <w:tc>
          <w:tcPr>
            <w:tcW w:type="dxa" w:w="7488"/>
            <w:vAlign w:val="center"/>
            <w:tcMar>
              <w:top w:w="100" w:type="dxa"/>
              <w:start w:w="120" w:type="dxa"/>
              <w:bottom w:w="100" w:type="dxa"/>
              <w:end w:w="120" w:type="dxa"/>
            </w:tcMar>
          </w:tcPr>
          <w:p>
            <w:pPr>
              <w:spacing w:after="0"/>
              <w:jc w:val="center"/>
            </w:pPr>
            <w:r>
              <w:rPr>
                <w:sz w:val="17"/>
              </w:rPr>
              <w:t>open files, mobility, king safety, pawn structure, center control</w:t>
            </w:r>
          </w:p>
        </w:tc>
      </w:tr>
      <w:tr>
        <w:trPr>
          <w:cantSplit/>
        </w:trPr>
        <w:tc>
          <w:tcPr>
            <w:tcW w:type="dxa" w:w="2592"/>
            <w:vAlign w:val="center"/>
            <w:tcMar>
              <w:top w:w="100" w:type="dxa"/>
              <w:start w:w="120" w:type="dxa"/>
              <w:bottom w:w="100" w:type="dxa"/>
              <w:end w:w="120" w:type="dxa"/>
            </w:tcMar>
            <w:shd w:fill="F3F7FB"/>
          </w:tcPr>
          <w:p>
            <w:pPr>
              <w:spacing w:after="0"/>
              <w:jc w:val="left"/>
            </w:pPr>
            <w:r>
              <w:rPr>
                <w:sz w:val="17"/>
              </w:rPr>
              <w:t>Commitment</w:t>
            </w:r>
          </w:p>
        </w:tc>
        <w:tc>
          <w:tcPr>
            <w:tcW w:type="dxa" w:w="7488"/>
            <w:vAlign w:val="center"/>
            <w:tcMar>
              <w:top w:w="100" w:type="dxa"/>
              <w:start w:w="120" w:type="dxa"/>
              <w:bottom w:w="100" w:type="dxa"/>
              <w:end w:w="120" w:type="dxa"/>
            </w:tcMar>
            <w:shd w:fill="F3F7FB"/>
          </w:tcPr>
          <w:p>
            <w:pPr>
              <w:spacing w:after="0"/>
              <w:jc w:val="center"/>
            </w:pPr>
            <w:r>
              <w:rPr>
                <w:sz w:val="17"/>
              </w:rPr>
              <w:t>pawn tension, irreversible move, castling</w:t>
            </w:r>
          </w:p>
        </w:tc>
      </w:tr>
    </w:tbl>
    <w:p>
      <w:pPr>
        <w:spacing w:after="20"/>
      </w:pPr>
    </w:p>
    <w:p>
      <w:pPr>
        <w:pStyle w:val="Heading3"/>
      </w:pPr>
      <w:r>
        <w:t>7.3 Versioned profiles and synthetic archetypes</w:t>
      </w:r>
    </w:p>
    <w:p>
      <w:r>
        <w:t>Opponent profiles use a strict JSON schema with a signed weight and confidence for every feature. Unknown fields, duplicates, unsupported versions, missing features, non-integer values, non-finite values, and out-of-range values are rejected. The profile cannot change engine-owned safety limits.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3024"/>
            <w:shd w:fill="17365D"/>
            <w:vAlign w:val="center"/>
            <w:tcMar>
              <w:top w:w="100" w:type="dxa"/>
              <w:start w:w="120" w:type="dxa"/>
              <w:bottom w:w="100" w:type="dxa"/>
              <w:end w:w="120" w:type="dxa"/>
            </w:tcMar>
          </w:tcPr>
          <w:p>
            <w:pPr>
              <w:keepNext/>
              <w:jc w:val="center"/>
            </w:pPr>
            <w:r>
              <w:rPr>
                <w:b/>
                <w:color w:val="FFFFFF"/>
                <w:sz w:val="17"/>
              </w:rPr>
              <w:t>Synthetic profile</w:t>
            </w:r>
          </w:p>
        </w:tc>
        <w:tc>
          <w:tcPr>
            <w:tcW w:type="dxa" w:w="7056"/>
            <w:shd w:fill="17365D"/>
            <w:vAlign w:val="center"/>
            <w:tcMar>
              <w:top w:w="100" w:type="dxa"/>
              <w:start w:w="120" w:type="dxa"/>
              <w:bottom w:w="100" w:type="dxa"/>
              <w:end w:w="120" w:type="dxa"/>
            </w:tcMar>
          </w:tcPr>
          <w:p>
            <w:pPr>
              <w:keepNext/>
              <w:jc w:val="center"/>
            </w:pPr>
            <w:r>
              <w:rPr>
                <w:b/>
                <w:color w:val="FFFFFF"/>
                <w:sz w:val="17"/>
              </w:rPr>
              <w:t>Intended pressure</w:t>
            </w:r>
          </w:p>
        </w:tc>
      </w:tr>
      <w:tr>
        <w:trPr>
          <w:cantSplit/>
        </w:trPr>
        <w:tc>
          <w:tcPr>
            <w:tcW w:type="dxa" w:w="3024"/>
            <w:vAlign w:val="center"/>
            <w:tcMar>
              <w:top w:w="100" w:type="dxa"/>
              <w:start w:w="120" w:type="dxa"/>
              <w:bottom w:w="100" w:type="dxa"/>
              <w:end w:w="120" w:type="dxa"/>
            </w:tcMar>
          </w:tcPr>
          <w:p>
            <w:pPr>
              <w:spacing w:after="0"/>
              <w:jc w:val="left"/>
            </w:pPr>
            <w:r>
              <w:rPr>
                <w:sz w:val="17"/>
              </w:rPr>
              <w:t>Tactical pressure</w:t>
            </w:r>
          </w:p>
        </w:tc>
        <w:tc>
          <w:tcPr>
            <w:tcW w:type="dxa" w:w="7056"/>
            <w:vAlign w:val="center"/>
            <w:tcMar>
              <w:top w:w="100" w:type="dxa"/>
              <w:start w:w="120" w:type="dxa"/>
              <w:bottom w:w="100" w:type="dxa"/>
              <w:end w:w="120" w:type="dxa"/>
            </w:tcMar>
          </w:tcPr>
          <w:p>
            <w:pPr>
              <w:spacing w:after="0"/>
              <w:jc w:val="center"/>
            </w:pPr>
            <w:r>
              <w:rPr>
                <w:sz w:val="17"/>
              </w:rPr>
              <w:t>Checks, captures, restricted replies, open and imbalanced play</w:t>
            </w:r>
          </w:p>
        </w:tc>
      </w:tr>
      <w:tr>
        <w:trPr>
          <w:cantSplit/>
        </w:trPr>
        <w:tc>
          <w:tcPr>
            <w:tcW w:type="dxa" w:w="3024"/>
            <w:vAlign w:val="center"/>
            <w:tcMar>
              <w:top w:w="100" w:type="dxa"/>
              <w:start w:w="120" w:type="dxa"/>
              <w:bottom w:w="100" w:type="dxa"/>
              <w:end w:w="120" w:type="dxa"/>
            </w:tcMar>
            <w:shd w:fill="F3F7FB"/>
          </w:tcPr>
          <w:p>
            <w:pPr>
              <w:spacing w:after="0"/>
              <w:jc w:val="left"/>
            </w:pPr>
            <w:r>
              <w:rPr>
                <w:sz w:val="17"/>
              </w:rPr>
              <w:t>Simplification pressure</w:t>
            </w:r>
          </w:p>
        </w:tc>
        <w:tc>
          <w:tcPr>
            <w:tcW w:type="dxa" w:w="7056"/>
            <w:vAlign w:val="center"/>
            <w:tcMar>
              <w:top w:w="100" w:type="dxa"/>
              <w:start w:w="120" w:type="dxa"/>
              <w:bottom w:w="100" w:type="dxa"/>
              <w:end w:w="120" w:type="dxa"/>
            </w:tcMar>
            <w:shd w:fill="F3F7FB"/>
          </w:tcPr>
          <w:p>
            <w:pPr>
              <w:spacing w:after="0"/>
              <w:jc w:val="center"/>
            </w:pPr>
            <w:r>
              <w:rPr>
                <w:sz w:val="17"/>
              </w:rPr>
              <w:t>Exchanges, reduced material and tension, safer conversion</w:t>
            </w:r>
          </w:p>
        </w:tc>
      </w:tr>
      <w:tr>
        <w:trPr>
          <w:cantSplit/>
        </w:trPr>
        <w:tc>
          <w:tcPr>
            <w:tcW w:type="dxa" w:w="3024"/>
            <w:vAlign w:val="center"/>
            <w:tcMar>
              <w:top w:w="100" w:type="dxa"/>
              <w:start w:w="120" w:type="dxa"/>
              <w:bottom w:w="100" w:type="dxa"/>
              <w:end w:w="120" w:type="dxa"/>
            </w:tcMar>
          </w:tcPr>
          <w:p>
            <w:pPr>
              <w:spacing w:after="0"/>
              <w:jc w:val="left"/>
            </w:pPr>
            <w:r>
              <w:rPr>
                <w:sz w:val="17"/>
              </w:rPr>
              <w:t>Complexity pressure</w:t>
            </w:r>
          </w:p>
        </w:tc>
        <w:tc>
          <w:tcPr>
            <w:tcW w:type="dxa" w:w="7056"/>
            <w:vAlign w:val="center"/>
            <w:tcMar>
              <w:top w:w="100" w:type="dxa"/>
              <w:start w:w="120" w:type="dxa"/>
              <w:bottom w:w="100" w:type="dxa"/>
              <w:end w:w="120" w:type="dxa"/>
            </w:tcMar>
          </w:tcPr>
          <w:p>
            <w:pPr>
              <w:spacing w:after="0"/>
              <w:jc w:val="center"/>
            </w:pPr>
            <w:r>
              <w:rPr>
                <w:sz w:val="17"/>
              </w:rPr>
              <w:t>More pieces, choices, tension, imbalance, and commitment</w:t>
            </w:r>
          </w:p>
        </w:tc>
      </w:tr>
      <w:tr>
        <w:trPr>
          <w:cantSplit/>
        </w:trPr>
        <w:tc>
          <w:tcPr>
            <w:tcW w:type="dxa" w:w="3024"/>
            <w:vAlign w:val="center"/>
            <w:tcMar>
              <w:top w:w="100" w:type="dxa"/>
              <w:start w:w="120" w:type="dxa"/>
              <w:bottom w:w="100" w:type="dxa"/>
              <w:end w:w="120" w:type="dxa"/>
            </w:tcMar>
            <w:shd w:fill="F3F7FB"/>
          </w:tcPr>
          <w:p>
            <w:pPr>
              <w:spacing w:after="0"/>
              <w:jc w:val="left"/>
            </w:pPr>
            <w:r>
              <w:rPr>
                <w:sz w:val="17"/>
              </w:rPr>
              <w:t>Positional restriction</w:t>
            </w:r>
          </w:p>
        </w:tc>
        <w:tc>
          <w:tcPr>
            <w:tcW w:type="dxa" w:w="7056"/>
            <w:vAlign w:val="center"/>
            <w:tcMar>
              <w:top w:w="100" w:type="dxa"/>
              <w:start w:w="120" w:type="dxa"/>
              <w:bottom w:w="100" w:type="dxa"/>
              <w:end w:w="120" w:type="dxa"/>
            </w:tcMar>
            <w:shd w:fill="F3F7FB"/>
          </w:tcPr>
          <w:p>
            <w:pPr>
              <w:spacing w:after="0"/>
              <w:jc w:val="center"/>
            </w:pPr>
            <w:r>
              <w:rPr>
                <w:sz w:val="17"/>
              </w:rPr>
              <w:t>Mobility, king safety, structure, center control, restricted replies</w:t>
            </w:r>
          </w:p>
        </w:tc>
      </w:tr>
    </w:tbl>
    <w:p>
      <w:pPr>
        <w:spacing w:after="20"/>
      </w:pPr>
    </w:p>
    <w:p>
      <w:pPr>
        <w:pStyle w:val="Heading3"/>
      </w:pPr>
      <w:r>
        <w:t>7.4 Bounded root selector</w:t>
      </w:r>
    </w:p>
    <w:p>
      <w:r>
        <w:t>Candidate zero remains the neutral move. Eligible alternatives are compared with it using normalized feature differences, profile weights, and profile confidence. Only a strictly positive adaptive utility can change the move; ties preserve neutral order. Adaptive Mode is opt-in and the profile is copied into the active search task, preventing mid-search mutation.</w:t>
      </w:r>
    </w:p>
    <w:p>
      <w:r>
        <w:t>This implementation proves that the engine can express controlled behavioral differences. It does not prove that any synthetic style exploits a real person, and it does not yet emit the full candidate-by-candidate decision explanation originally planned.</w:t>
      </w:r>
    </w:p>
    <w:p>
      <w:pPr>
        <w:pStyle w:val="Heading2"/>
      </w:pPr>
      <w:r>
        <w:t>8  Personal-data research pipeline</w:t>
      </w:r>
    </w:p>
    <w:p>
      <w:pPr>
        <w:keepNext/>
        <w:jc w:val="center"/>
      </w:pPr>
      <w:r>
        <w:drawing>
          <wp:inline xmlns:a="http://schemas.openxmlformats.org/drawingml/2006/main" xmlns:pic="http://schemas.openxmlformats.org/drawingml/2006/picture">
            <wp:extent cx="6400800" cy="1720215"/>
            <wp:docPr id="3" name="Picture 3" descr="Figure 3  Evidence pipeline from public games to the future playing experiment"/>
            <wp:cNvGraphicFramePr>
              <a:graphicFrameLocks noChangeAspect="1"/>
            </wp:cNvGraphicFramePr>
            <a:graphic>
              <a:graphicData uri="http://schemas.openxmlformats.org/drawingml/2006/picture">
                <pic:pic>
                  <pic:nvPicPr>
                    <pic:cNvPr id="0" name="research_chain.png"/>
                    <pic:cNvPicPr/>
                  </pic:nvPicPr>
                  <pic:blipFill>
                    <a:blip r:embed="rId12"/>
                    <a:stretch>
                      <a:fillRect/>
                    </a:stretch>
                  </pic:blipFill>
                  <pic:spPr>
                    <a:xfrm>
                      <a:off x="0" y="0"/>
                      <a:ext cx="6400800" cy="1720215"/>
                    </a:xfrm>
                    <a:prstGeom prst="rect"/>
                  </pic:spPr>
                </pic:pic>
              </a:graphicData>
            </a:graphic>
          </wp:inline>
        </w:drawing>
      </w:r>
    </w:p>
    <w:p>
      <w:pPr>
        <w:keepNext w:val="0"/>
        <w:jc w:val="center"/>
      </w:pPr>
      <w:r>
        <w:rPr>
          <w:i/>
          <w:color w:val="595959"/>
          <w:sz w:val="17"/>
        </w:rPr>
        <w:t>Figure 3  Evidence pipeline from public games to the future playing experiment</w:t>
      </w:r>
    </w:p>
    <w:p>
      <w:pPr>
        <w:pStyle w:val="Heading3"/>
      </w:pPr>
      <w:r>
        <w:t>8.1 Corpus</w:t>
      </w:r>
    </w:p>
    <w:p>
      <w:r>
        <w:t>The read-only Chess.com archive pipeline downloaded 1,676 public games for YashDutt7. Of these, 1,182 used the exact 600-second time control. The parser produced 36,039 target-player decisions from 1,166 usable games. Raw data and fitted artifacts are ignored by Git; code, schemas, hashes, aggregate results, and protocols are versioned.</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4608"/>
            <w:shd w:fill="17365D"/>
            <w:vAlign w:val="center"/>
            <w:tcMar>
              <w:top w:w="100" w:type="dxa"/>
              <w:start w:w="120" w:type="dxa"/>
              <w:bottom w:w="100" w:type="dxa"/>
              <w:end w:w="120" w:type="dxa"/>
            </w:tcMar>
          </w:tcPr>
          <w:p>
            <w:pPr>
              <w:keepNext/>
              <w:jc w:val="center"/>
            </w:pPr>
            <w:r>
              <w:rPr>
                <w:b/>
                <w:color w:val="FFFFFF"/>
                <w:sz w:val="17"/>
              </w:rPr>
              <w:t>Corpus quantity</w:t>
            </w:r>
          </w:p>
        </w:tc>
        <w:tc>
          <w:tcPr>
            <w:tcW w:type="dxa" w:w="5472"/>
            <w:shd w:fill="17365D"/>
            <w:vAlign w:val="center"/>
            <w:tcMar>
              <w:top w:w="100" w:type="dxa"/>
              <w:start w:w="120" w:type="dxa"/>
              <w:bottom w:w="100" w:type="dxa"/>
              <w:end w:w="120" w:type="dxa"/>
            </w:tcMar>
          </w:tcPr>
          <w:p>
            <w:pPr>
              <w:keepNext/>
              <w:jc w:val="center"/>
            </w:pPr>
            <w:r>
              <w:rPr>
                <w:b/>
                <w:color w:val="FFFFFF"/>
                <w:sz w:val="17"/>
              </w:rPr>
              <w:t>Value</w:t>
            </w:r>
          </w:p>
        </w:tc>
      </w:tr>
      <w:tr>
        <w:trPr>
          <w:cantSplit/>
        </w:trPr>
        <w:tc>
          <w:tcPr>
            <w:tcW w:type="dxa" w:w="4608"/>
            <w:vAlign w:val="center"/>
            <w:tcMar>
              <w:top w:w="100" w:type="dxa"/>
              <w:start w:w="120" w:type="dxa"/>
              <w:bottom w:w="100" w:type="dxa"/>
              <w:end w:w="120" w:type="dxa"/>
            </w:tcMar>
          </w:tcPr>
          <w:p>
            <w:pPr>
              <w:spacing w:after="0"/>
              <w:jc w:val="left"/>
            </w:pPr>
            <w:r>
              <w:rPr>
                <w:sz w:val="17"/>
              </w:rPr>
              <w:t>All public games downloaded</w:t>
            </w:r>
          </w:p>
        </w:tc>
        <w:tc>
          <w:tcPr>
            <w:tcW w:type="dxa" w:w="5472"/>
            <w:vAlign w:val="center"/>
            <w:tcMar>
              <w:top w:w="100" w:type="dxa"/>
              <w:start w:w="120" w:type="dxa"/>
              <w:bottom w:w="100" w:type="dxa"/>
              <w:end w:w="120" w:type="dxa"/>
            </w:tcMar>
          </w:tcPr>
          <w:p>
            <w:pPr>
              <w:spacing w:after="0"/>
              <w:jc w:val="center"/>
            </w:pPr>
            <w:r>
              <w:rPr>
                <w:sz w:val="17"/>
              </w:rPr>
              <w:t>1,676</w:t>
            </w:r>
          </w:p>
        </w:tc>
      </w:tr>
      <w:tr>
        <w:trPr>
          <w:cantSplit/>
        </w:trPr>
        <w:tc>
          <w:tcPr>
            <w:tcW w:type="dxa" w:w="4608"/>
            <w:vAlign w:val="center"/>
            <w:tcMar>
              <w:top w:w="100" w:type="dxa"/>
              <w:start w:w="120" w:type="dxa"/>
              <w:bottom w:w="100" w:type="dxa"/>
              <w:end w:w="120" w:type="dxa"/>
            </w:tcMar>
            <w:shd w:fill="F3F7FB"/>
          </w:tcPr>
          <w:p>
            <w:pPr>
              <w:spacing w:after="0"/>
              <w:jc w:val="left"/>
            </w:pPr>
            <w:r>
              <w:rPr>
                <w:sz w:val="17"/>
              </w:rPr>
              <w:t>Exact 10-minute games</w:t>
            </w:r>
          </w:p>
        </w:tc>
        <w:tc>
          <w:tcPr>
            <w:tcW w:type="dxa" w:w="5472"/>
            <w:vAlign w:val="center"/>
            <w:tcMar>
              <w:top w:w="100" w:type="dxa"/>
              <w:start w:w="120" w:type="dxa"/>
              <w:bottom w:w="100" w:type="dxa"/>
              <w:end w:w="120" w:type="dxa"/>
            </w:tcMar>
            <w:shd w:fill="F3F7FB"/>
          </w:tcPr>
          <w:p>
            <w:pPr>
              <w:spacing w:after="0"/>
              <w:jc w:val="center"/>
            </w:pPr>
            <w:r>
              <w:rPr>
                <w:sz w:val="17"/>
              </w:rPr>
              <w:t>1,182</w:t>
            </w:r>
          </w:p>
        </w:tc>
      </w:tr>
      <w:tr>
        <w:trPr>
          <w:cantSplit/>
        </w:trPr>
        <w:tc>
          <w:tcPr>
            <w:tcW w:type="dxa" w:w="4608"/>
            <w:vAlign w:val="center"/>
            <w:tcMar>
              <w:top w:w="100" w:type="dxa"/>
              <w:start w:w="120" w:type="dxa"/>
              <w:bottom w:w="100" w:type="dxa"/>
              <w:end w:w="120" w:type="dxa"/>
            </w:tcMar>
          </w:tcPr>
          <w:p>
            <w:pPr>
              <w:spacing w:after="0"/>
              <w:jc w:val="left"/>
            </w:pPr>
            <w:r>
              <w:rPr>
                <w:sz w:val="17"/>
              </w:rPr>
              <w:t>Usable parsed games</w:t>
            </w:r>
          </w:p>
        </w:tc>
        <w:tc>
          <w:tcPr>
            <w:tcW w:type="dxa" w:w="5472"/>
            <w:vAlign w:val="center"/>
            <w:tcMar>
              <w:top w:w="100" w:type="dxa"/>
              <w:start w:w="120" w:type="dxa"/>
              <w:bottom w:w="100" w:type="dxa"/>
              <w:end w:w="120" w:type="dxa"/>
            </w:tcMar>
          </w:tcPr>
          <w:p>
            <w:pPr>
              <w:spacing w:after="0"/>
              <w:jc w:val="center"/>
            </w:pPr>
            <w:r>
              <w:rPr>
                <w:sz w:val="17"/>
              </w:rPr>
              <w:t>1,166</w:t>
            </w:r>
          </w:p>
        </w:tc>
      </w:tr>
      <w:tr>
        <w:trPr>
          <w:cantSplit/>
        </w:trPr>
        <w:tc>
          <w:tcPr>
            <w:tcW w:type="dxa" w:w="4608"/>
            <w:vAlign w:val="center"/>
            <w:tcMar>
              <w:top w:w="100" w:type="dxa"/>
              <w:start w:w="120" w:type="dxa"/>
              <w:bottom w:w="100" w:type="dxa"/>
              <w:end w:w="120" w:type="dxa"/>
            </w:tcMar>
            <w:shd w:fill="F3F7FB"/>
          </w:tcPr>
          <w:p>
            <w:pPr>
              <w:spacing w:after="0"/>
              <w:jc w:val="left"/>
            </w:pPr>
            <w:r>
              <w:rPr>
                <w:sz w:val="17"/>
              </w:rPr>
              <w:t>Personal decisions</w:t>
            </w:r>
          </w:p>
        </w:tc>
        <w:tc>
          <w:tcPr>
            <w:tcW w:type="dxa" w:w="5472"/>
            <w:vAlign w:val="center"/>
            <w:tcMar>
              <w:top w:w="100" w:type="dxa"/>
              <w:start w:w="120" w:type="dxa"/>
              <w:bottom w:w="100" w:type="dxa"/>
              <w:end w:w="120" w:type="dxa"/>
            </w:tcMar>
            <w:shd w:fill="F3F7FB"/>
          </w:tcPr>
          <w:p>
            <w:pPr>
              <w:spacing w:after="0"/>
              <w:jc w:val="center"/>
            </w:pPr>
            <w:r>
              <w:rPr>
                <w:sz w:val="17"/>
              </w:rPr>
              <w:t>36,039</w:t>
            </w:r>
          </w:p>
        </w:tc>
      </w:tr>
      <w:tr>
        <w:trPr>
          <w:cantSplit/>
        </w:trPr>
        <w:tc>
          <w:tcPr>
            <w:tcW w:type="dxa" w:w="4608"/>
            <w:vAlign w:val="center"/>
            <w:tcMar>
              <w:top w:w="100" w:type="dxa"/>
              <w:start w:w="120" w:type="dxa"/>
              <w:bottom w:w="100" w:type="dxa"/>
              <w:end w:w="120" w:type="dxa"/>
            </w:tcMar>
          </w:tcPr>
          <w:p>
            <w:pPr>
              <w:spacing w:after="0"/>
              <w:jc w:val="left"/>
            </w:pPr>
            <w:r>
              <w:rPr>
                <w:sz w:val="17"/>
              </w:rPr>
              <w:t>Eligible non-mate labels</w:t>
            </w:r>
          </w:p>
        </w:tc>
        <w:tc>
          <w:tcPr>
            <w:tcW w:type="dxa" w:w="5472"/>
            <w:vAlign w:val="center"/>
            <w:tcMar>
              <w:top w:w="100" w:type="dxa"/>
              <w:start w:w="120" w:type="dxa"/>
              <w:bottom w:w="100" w:type="dxa"/>
              <w:end w:w="120" w:type="dxa"/>
            </w:tcMar>
          </w:tcPr>
          <w:p>
            <w:pPr>
              <w:spacing w:after="0"/>
              <w:jc w:val="center"/>
            </w:pPr>
            <w:r>
              <w:rPr>
                <w:sz w:val="17"/>
              </w:rPr>
              <w:t>32,988</w:t>
            </w:r>
          </w:p>
        </w:tc>
      </w:tr>
      <w:tr>
        <w:trPr>
          <w:cantSplit/>
        </w:trPr>
        <w:tc>
          <w:tcPr>
            <w:tcW w:type="dxa" w:w="4608"/>
            <w:vAlign w:val="center"/>
            <w:tcMar>
              <w:top w:w="100" w:type="dxa"/>
              <w:start w:w="120" w:type="dxa"/>
              <w:bottom w:w="100" w:type="dxa"/>
              <w:end w:w="120" w:type="dxa"/>
            </w:tcMar>
            <w:shd w:fill="F3F7FB"/>
          </w:tcPr>
          <w:p>
            <w:pPr>
              <w:spacing w:after="0"/>
              <w:jc w:val="left"/>
            </w:pPr>
            <w:r>
              <w:rPr>
                <w:sz w:val="17"/>
              </w:rPr>
              <w:t>Large errors at 100 cp</w:t>
            </w:r>
          </w:p>
        </w:tc>
        <w:tc>
          <w:tcPr>
            <w:tcW w:type="dxa" w:w="5472"/>
            <w:vAlign w:val="center"/>
            <w:tcMar>
              <w:top w:w="100" w:type="dxa"/>
              <w:start w:w="120" w:type="dxa"/>
              <w:bottom w:w="100" w:type="dxa"/>
              <w:end w:w="120" w:type="dxa"/>
            </w:tcMar>
            <w:shd w:fill="F3F7FB"/>
          </w:tcPr>
          <w:p>
            <w:pPr>
              <w:spacing w:after="0"/>
              <w:jc w:val="center"/>
            </w:pPr>
            <w:r>
              <w:rPr>
                <w:sz w:val="17"/>
              </w:rPr>
              <w:t>5,726</w:t>
            </w:r>
          </w:p>
        </w:tc>
      </w:tr>
      <w:tr>
        <w:trPr>
          <w:cantSplit/>
        </w:trPr>
        <w:tc>
          <w:tcPr>
            <w:tcW w:type="dxa" w:w="4608"/>
            <w:vAlign w:val="center"/>
            <w:tcMar>
              <w:top w:w="100" w:type="dxa"/>
              <w:start w:w="120" w:type="dxa"/>
              <w:bottom w:w="100" w:type="dxa"/>
              <w:end w:w="120" w:type="dxa"/>
            </w:tcMar>
          </w:tcPr>
          <w:p>
            <w:pPr>
              <w:spacing w:after="0"/>
              <w:jc w:val="left"/>
            </w:pPr>
            <w:r>
              <w:rPr>
                <w:sz w:val="17"/>
              </w:rPr>
              <w:t>Mate-score exclusions</w:t>
            </w:r>
          </w:p>
        </w:tc>
        <w:tc>
          <w:tcPr>
            <w:tcW w:type="dxa" w:w="5472"/>
            <w:vAlign w:val="center"/>
            <w:tcMar>
              <w:top w:w="100" w:type="dxa"/>
              <w:start w:w="120" w:type="dxa"/>
              <w:bottom w:w="100" w:type="dxa"/>
              <w:end w:w="120" w:type="dxa"/>
            </w:tcMar>
          </w:tcPr>
          <w:p>
            <w:pPr>
              <w:spacing w:after="0"/>
              <w:jc w:val="center"/>
            </w:pPr>
            <w:r>
              <w:rPr>
                <w:sz w:val="17"/>
              </w:rPr>
              <w:t>3,051</w:t>
            </w:r>
          </w:p>
        </w:tc>
      </w:tr>
      <w:tr>
        <w:trPr>
          <w:cantSplit/>
        </w:trPr>
        <w:tc>
          <w:tcPr>
            <w:tcW w:type="dxa" w:w="4608"/>
            <w:vAlign w:val="center"/>
            <w:tcMar>
              <w:top w:w="100" w:type="dxa"/>
              <w:start w:w="120" w:type="dxa"/>
              <w:bottom w:w="100" w:type="dxa"/>
              <w:end w:w="120" w:type="dxa"/>
            </w:tcMar>
            <w:shd w:fill="F3F7FB"/>
          </w:tcPr>
          <w:p>
            <w:pPr>
              <w:spacing w:after="0"/>
              <w:jc w:val="left"/>
            </w:pPr>
            <w:r>
              <w:rPr>
                <w:sz w:val="17"/>
              </w:rPr>
              <w:t>Archive PGN SHA-256</w:t>
            </w:r>
          </w:p>
        </w:tc>
        <w:tc>
          <w:tcPr>
            <w:tcW w:type="dxa" w:w="5472"/>
            <w:vAlign w:val="center"/>
            <w:tcMar>
              <w:top w:w="100" w:type="dxa"/>
              <w:start w:w="120" w:type="dxa"/>
              <w:bottom w:w="100" w:type="dxa"/>
              <w:end w:w="120" w:type="dxa"/>
            </w:tcMar>
            <w:shd w:fill="F3F7FB"/>
          </w:tcPr>
          <w:p>
            <w:pPr>
              <w:spacing w:after="0"/>
              <w:jc w:val="center"/>
            </w:pPr>
            <w:r>
              <w:rPr>
                <w:sz w:val="17"/>
              </w:rPr>
              <w:t>d624add4...e4e2a6f</w:t>
            </w:r>
          </w:p>
        </w:tc>
      </w:tr>
    </w:tbl>
    <w:p>
      <w:pPr>
        <w:spacing w:after="20"/>
      </w:pPr>
    </w:p>
    <w:p>
      <w:pPr>
        <w:pStyle w:val="Heading3"/>
      </w:pPr>
      <w:r>
        <w:t>8.2 Chronological split</w:t>
      </w:r>
    </w:p>
    <w:p>
      <w:r>
        <w:t>Whole games were sorted by date and divided 60 percent training, 20 percent validation, and 20 percent final test. Positions from the same game never cross partitions. This simulates actual deployment: only past information can predict later behavior.</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152"/>
            <w:shd w:fill="17365D"/>
            <w:vAlign w:val="center"/>
            <w:tcMar>
              <w:top w:w="100" w:type="dxa"/>
              <w:start w:w="120" w:type="dxa"/>
              <w:bottom w:w="100" w:type="dxa"/>
              <w:end w:w="120" w:type="dxa"/>
            </w:tcMar>
          </w:tcPr>
          <w:p>
            <w:pPr>
              <w:keepNext/>
              <w:jc w:val="center"/>
            </w:pPr>
            <w:r>
              <w:rPr>
                <w:b/>
                <w:color w:val="FFFFFF"/>
                <w:sz w:val="15"/>
              </w:rPr>
              <w:t>Split</w:t>
            </w:r>
          </w:p>
        </w:tc>
        <w:tc>
          <w:tcPr>
            <w:tcW w:type="dxa" w:w="2880"/>
            <w:shd w:fill="17365D"/>
            <w:vAlign w:val="center"/>
            <w:tcMar>
              <w:top w:w="100" w:type="dxa"/>
              <w:start w:w="120" w:type="dxa"/>
              <w:bottom w:w="100" w:type="dxa"/>
              <w:end w:w="120" w:type="dxa"/>
            </w:tcMar>
          </w:tcPr>
          <w:p>
            <w:pPr>
              <w:keepNext/>
              <w:jc w:val="center"/>
            </w:pPr>
            <w:r>
              <w:rPr>
                <w:b/>
                <w:color w:val="FFFFFF"/>
                <w:sz w:val="15"/>
              </w:rPr>
              <w:t>Dates</w:t>
            </w:r>
          </w:p>
        </w:tc>
        <w:tc>
          <w:tcPr>
            <w:tcW w:type="dxa" w:w="936"/>
            <w:shd w:fill="17365D"/>
            <w:vAlign w:val="center"/>
            <w:tcMar>
              <w:top w:w="100" w:type="dxa"/>
              <w:start w:w="120" w:type="dxa"/>
              <w:bottom w:w="100" w:type="dxa"/>
              <w:end w:w="120" w:type="dxa"/>
            </w:tcMar>
          </w:tcPr>
          <w:p>
            <w:pPr>
              <w:keepNext/>
              <w:jc w:val="center"/>
            </w:pPr>
            <w:r>
              <w:rPr>
                <w:b/>
                <w:color w:val="FFFFFF"/>
                <w:sz w:val="15"/>
              </w:rPr>
              <w:t>Games</w:t>
            </w:r>
          </w:p>
        </w:tc>
        <w:tc>
          <w:tcPr>
            <w:tcW w:type="dxa" w:w="1224"/>
            <w:shd w:fill="17365D"/>
            <w:vAlign w:val="center"/>
            <w:tcMar>
              <w:top w:w="100" w:type="dxa"/>
              <w:start w:w="120" w:type="dxa"/>
              <w:bottom w:w="100" w:type="dxa"/>
              <w:end w:w="120" w:type="dxa"/>
            </w:tcMar>
          </w:tcPr>
          <w:p>
            <w:pPr>
              <w:keepNext/>
              <w:jc w:val="center"/>
            </w:pPr>
            <w:r>
              <w:rPr>
                <w:b/>
                <w:color w:val="FFFFFF"/>
                <w:sz w:val="15"/>
              </w:rPr>
              <w:t>Decisions</w:t>
            </w:r>
          </w:p>
        </w:tc>
        <w:tc>
          <w:tcPr>
            <w:tcW w:type="dxa" w:w="1296"/>
            <w:shd w:fill="17365D"/>
            <w:vAlign w:val="center"/>
            <w:tcMar>
              <w:top w:w="100" w:type="dxa"/>
              <w:start w:w="120" w:type="dxa"/>
              <w:bottom w:w="100" w:type="dxa"/>
              <w:end w:w="120" w:type="dxa"/>
            </w:tcMar>
          </w:tcPr>
          <w:p>
            <w:pPr>
              <w:keepNext/>
              <w:jc w:val="center"/>
            </w:pPr>
            <w:r>
              <w:rPr>
                <w:b/>
                <w:color w:val="FFFFFF"/>
                <w:sz w:val="15"/>
              </w:rPr>
              <w:t>Mean rating</w:t>
            </w:r>
          </w:p>
        </w:tc>
        <w:tc>
          <w:tcPr>
            <w:tcW w:type="dxa" w:w="1944"/>
            <w:shd w:fill="17365D"/>
            <w:vAlign w:val="center"/>
            <w:tcMar>
              <w:top w:w="100" w:type="dxa"/>
              <w:start w:w="120" w:type="dxa"/>
              <w:bottom w:w="100" w:type="dxa"/>
              <w:end w:w="120" w:type="dxa"/>
            </w:tcMar>
          </w:tcPr>
          <w:p>
            <w:pPr>
              <w:keepNext/>
              <w:jc w:val="center"/>
            </w:pPr>
            <w:r>
              <w:rPr>
                <w:b/>
                <w:color w:val="FFFFFF"/>
                <w:sz w:val="15"/>
              </w:rPr>
              <w:t>Range</w:t>
            </w:r>
          </w:p>
        </w:tc>
      </w:tr>
      <w:tr>
        <w:trPr>
          <w:cantSplit/>
        </w:trPr>
        <w:tc>
          <w:tcPr>
            <w:tcW w:type="dxa" w:w="1152"/>
            <w:vAlign w:val="center"/>
            <w:tcMar>
              <w:top w:w="100" w:type="dxa"/>
              <w:start w:w="120" w:type="dxa"/>
              <w:bottom w:w="100" w:type="dxa"/>
              <w:end w:w="120" w:type="dxa"/>
            </w:tcMar>
          </w:tcPr>
          <w:p>
            <w:pPr>
              <w:spacing w:after="0"/>
              <w:jc w:val="left"/>
            </w:pPr>
            <w:r>
              <w:rPr>
                <w:sz w:val="15"/>
              </w:rPr>
              <w:t>Train</w:t>
            </w:r>
          </w:p>
        </w:tc>
        <w:tc>
          <w:tcPr>
            <w:tcW w:type="dxa" w:w="2880"/>
            <w:vAlign w:val="center"/>
            <w:tcMar>
              <w:top w:w="100" w:type="dxa"/>
              <w:start w:w="120" w:type="dxa"/>
              <w:bottom w:w="100" w:type="dxa"/>
              <w:end w:w="120" w:type="dxa"/>
            </w:tcMar>
          </w:tcPr>
          <w:p>
            <w:pPr>
              <w:spacing w:after="0"/>
              <w:jc w:val="center"/>
            </w:pPr>
            <w:r>
              <w:rPr>
                <w:sz w:val="15"/>
              </w:rPr>
              <w:t>2022-12-16 to 2024-06-12</w:t>
            </w:r>
          </w:p>
        </w:tc>
        <w:tc>
          <w:tcPr>
            <w:tcW w:type="dxa" w:w="936"/>
            <w:vAlign w:val="center"/>
            <w:tcMar>
              <w:top w:w="100" w:type="dxa"/>
              <w:start w:w="120" w:type="dxa"/>
              <w:bottom w:w="100" w:type="dxa"/>
              <w:end w:w="120" w:type="dxa"/>
            </w:tcMar>
          </w:tcPr>
          <w:p>
            <w:pPr>
              <w:spacing w:after="0"/>
              <w:jc w:val="center"/>
            </w:pPr>
            <w:r>
              <w:rPr>
                <w:sz w:val="15"/>
              </w:rPr>
              <w:t>695</w:t>
            </w:r>
          </w:p>
        </w:tc>
        <w:tc>
          <w:tcPr>
            <w:tcW w:type="dxa" w:w="1224"/>
            <w:vAlign w:val="center"/>
            <w:tcMar>
              <w:top w:w="100" w:type="dxa"/>
              <w:start w:w="120" w:type="dxa"/>
              <w:bottom w:w="100" w:type="dxa"/>
              <w:end w:w="120" w:type="dxa"/>
            </w:tcMar>
          </w:tcPr>
          <w:p>
            <w:pPr>
              <w:spacing w:after="0"/>
              <w:jc w:val="center"/>
            </w:pPr>
            <w:r>
              <w:rPr>
                <w:sz w:val="15"/>
              </w:rPr>
              <w:t>20,320</w:t>
            </w:r>
          </w:p>
        </w:tc>
        <w:tc>
          <w:tcPr>
            <w:tcW w:type="dxa" w:w="1296"/>
            <w:vAlign w:val="center"/>
            <w:tcMar>
              <w:top w:w="100" w:type="dxa"/>
              <w:start w:w="120" w:type="dxa"/>
              <w:bottom w:w="100" w:type="dxa"/>
              <w:end w:w="120" w:type="dxa"/>
            </w:tcMar>
          </w:tcPr>
          <w:p>
            <w:pPr>
              <w:spacing w:after="0"/>
              <w:jc w:val="center"/>
            </w:pPr>
            <w:r>
              <w:rPr>
                <w:sz w:val="15"/>
              </w:rPr>
              <w:t>772.5</w:t>
            </w:r>
          </w:p>
        </w:tc>
        <w:tc>
          <w:tcPr>
            <w:tcW w:type="dxa" w:w="1944"/>
            <w:vAlign w:val="center"/>
            <w:tcMar>
              <w:top w:w="100" w:type="dxa"/>
              <w:start w:w="120" w:type="dxa"/>
              <w:bottom w:w="100" w:type="dxa"/>
              <w:end w:w="120" w:type="dxa"/>
            </w:tcMar>
          </w:tcPr>
          <w:p>
            <w:pPr>
              <w:spacing w:after="0"/>
              <w:jc w:val="center"/>
            </w:pPr>
            <w:r>
              <w:rPr>
                <w:sz w:val="15"/>
              </w:rPr>
              <w:t>370 to 950</w:t>
            </w:r>
          </w:p>
        </w:tc>
      </w:tr>
      <w:tr>
        <w:trPr>
          <w:cantSplit/>
        </w:trPr>
        <w:tc>
          <w:tcPr>
            <w:tcW w:type="dxa" w:w="1152"/>
            <w:vAlign w:val="center"/>
            <w:tcMar>
              <w:top w:w="100" w:type="dxa"/>
              <w:start w:w="120" w:type="dxa"/>
              <w:bottom w:w="100" w:type="dxa"/>
              <w:end w:w="120" w:type="dxa"/>
            </w:tcMar>
            <w:shd w:fill="F3F7FB"/>
          </w:tcPr>
          <w:p>
            <w:pPr>
              <w:spacing w:after="0"/>
              <w:jc w:val="left"/>
            </w:pPr>
            <w:r>
              <w:rPr>
                <w:sz w:val="15"/>
              </w:rPr>
              <w:t>Validation</w:t>
            </w:r>
          </w:p>
        </w:tc>
        <w:tc>
          <w:tcPr>
            <w:tcW w:type="dxa" w:w="2880"/>
            <w:vAlign w:val="center"/>
            <w:tcMar>
              <w:top w:w="100" w:type="dxa"/>
              <w:start w:w="120" w:type="dxa"/>
              <w:bottom w:w="100" w:type="dxa"/>
              <w:end w:w="120" w:type="dxa"/>
            </w:tcMar>
            <w:shd w:fill="F3F7FB"/>
          </w:tcPr>
          <w:p>
            <w:pPr>
              <w:spacing w:after="0"/>
              <w:jc w:val="center"/>
            </w:pPr>
            <w:r>
              <w:rPr>
                <w:sz w:val="15"/>
              </w:rPr>
              <w:t>2024-06-13 to 2025-01-21</w:t>
            </w:r>
          </w:p>
        </w:tc>
        <w:tc>
          <w:tcPr>
            <w:tcW w:type="dxa" w:w="936"/>
            <w:vAlign w:val="center"/>
            <w:tcMar>
              <w:top w:w="100" w:type="dxa"/>
              <w:start w:w="120" w:type="dxa"/>
              <w:bottom w:w="100" w:type="dxa"/>
              <w:end w:w="120" w:type="dxa"/>
            </w:tcMar>
            <w:shd w:fill="F3F7FB"/>
          </w:tcPr>
          <w:p>
            <w:pPr>
              <w:spacing w:after="0"/>
              <w:jc w:val="center"/>
            </w:pPr>
            <w:r>
              <w:rPr>
                <w:sz w:val="15"/>
              </w:rPr>
              <w:t>235</w:t>
            </w:r>
          </w:p>
        </w:tc>
        <w:tc>
          <w:tcPr>
            <w:tcW w:type="dxa" w:w="1224"/>
            <w:vAlign w:val="center"/>
            <w:tcMar>
              <w:top w:w="100" w:type="dxa"/>
              <w:start w:w="120" w:type="dxa"/>
              <w:bottom w:w="100" w:type="dxa"/>
              <w:end w:w="120" w:type="dxa"/>
            </w:tcMar>
            <w:shd w:fill="F3F7FB"/>
          </w:tcPr>
          <w:p>
            <w:pPr>
              <w:spacing w:after="0"/>
              <w:jc w:val="center"/>
            </w:pPr>
            <w:r>
              <w:rPr>
                <w:sz w:val="15"/>
              </w:rPr>
              <w:t>7,735</w:t>
            </w:r>
          </w:p>
        </w:tc>
        <w:tc>
          <w:tcPr>
            <w:tcW w:type="dxa" w:w="1296"/>
            <w:vAlign w:val="center"/>
            <w:tcMar>
              <w:top w:w="100" w:type="dxa"/>
              <w:start w:w="120" w:type="dxa"/>
              <w:bottom w:w="100" w:type="dxa"/>
              <w:end w:w="120" w:type="dxa"/>
            </w:tcMar>
            <w:shd w:fill="F3F7FB"/>
          </w:tcPr>
          <w:p>
            <w:pPr>
              <w:spacing w:after="0"/>
              <w:jc w:val="center"/>
            </w:pPr>
            <w:r>
              <w:rPr>
                <w:sz w:val="15"/>
              </w:rPr>
              <w:t>985.1</w:t>
            </w:r>
          </w:p>
        </w:tc>
        <w:tc>
          <w:tcPr>
            <w:tcW w:type="dxa" w:w="1944"/>
            <w:vAlign w:val="center"/>
            <w:tcMar>
              <w:top w:w="100" w:type="dxa"/>
              <w:start w:w="120" w:type="dxa"/>
              <w:bottom w:w="100" w:type="dxa"/>
              <w:end w:w="120" w:type="dxa"/>
            </w:tcMar>
            <w:shd w:fill="F3F7FB"/>
          </w:tcPr>
          <w:p>
            <w:pPr>
              <w:spacing w:after="0"/>
              <w:jc w:val="center"/>
            </w:pPr>
            <w:r>
              <w:rPr>
                <w:sz w:val="15"/>
              </w:rPr>
              <w:t>897 to 1,095</w:t>
            </w:r>
          </w:p>
        </w:tc>
      </w:tr>
      <w:tr>
        <w:trPr>
          <w:cantSplit/>
        </w:trPr>
        <w:tc>
          <w:tcPr>
            <w:tcW w:type="dxa" w:w="1152"/>
            <w:vAlign w:val="center"/>
            <w:tcMar>
              <w:top w:w="100" w:type="dxa"/>
              <w:start w:w="120" w:type="dxa"/>
              <w:bottom w:w="100" w:type="dxa"/>
              <w:end w:w="120" w:type="dxa"/>
            </w:tcMar>
          </w:tcPr>
          <w:p>
            <w:pPr>
              <w:spacing w:after="0"/>
              <w:jc w:val="left"/>
            </w:pPr>
            <w:r>
              <w:rPr>
                <w:sz w:val="15"/>
              </w:rPr>
              <w:t>Test</w:t>
            </w:r>
          </w:p>
        </w:tc>
        <w:tc>
          <w:tcPr>
            <w:tcW w:type="dxa" w:w="2880"/>
            <w:vAlign w:val="center"/>
            <w:tcMar>
              <w:top w:w="100" w:type="dxa"/>
              <w:start w:w="120" w:type="dxa"/>
              <w:bottom w:w="100" w:type="dxa"/>
              <w:end w:w="120" w:type="dxa"/>
            </w:tcMar>
          </w:tcPr>
          <w:p>
            <w:pPr>
              <w:spacing w:after="0"/>
              <w:jc w:val="center"/>
            </w:pPr>
            <w:r>
              <w:rPr>
                <w:sz w:val="15"/>
              </w:rPr>
              <w:t>2025-01-21 to 2026-06-27</w:t>
            </w:r>
          </w:p>
        </w:tc>
        <w:tc>
          <w:tcPr>
            <w:tcW w:type="dxa" w:w="936"/>
            <w:vAlign w:val="center"/>
            <w:tcMar>
              <w:top w:w="100" w:type="dxa"/>
              <w:start w:w="120" w:type="dxa"/>
              <w:bottom w:w="100" w:type="dxa"/>
              <w:end w:w="120" w:type="dxa"/>
            </w:tcMar>
          </w:tcPr>
          <w:p>
            <w:pPr>
              <w:spacing w:after="0"/>
              <w:jc w:val="center"/>
            </w:pPr>
            <w:r>
              <w:rPr>
                <w:sz w:val="15"/>
              </w:rPr>
              <w:t>236</w:t>
            </w:r>
          </w:p>
        </w:tc>
        <w:tc>
          <w:tcPr>
            <w:tcW w:type="dxa" w:w="1224"/>
            <w:vAlign w:val="center"/>
            <w:tcMar>
              <w:top w:w="100" w:type="dxa"/>
              <w:start w:w="120" w:type="dxa"/>
              <w:bottom w:w="100" w:type="dxa"/>
              <w:end w:w="120" w:type="dxa"/>
            </w:tcMar>
          </w:tcPr>
          <w:p>
            <w:pPr>
              <w:spacing w:after="0"/>
              <w:jc w:val="center"/>
            </w:pPr>
            <w:r>
              <w:rPr>
                <w:sz w:val="15"/>
              </w:rPr>
              <w:t>7,984</w:t>
            </w:r>
          </w:p>
        </w:tc>
        <w:tc>
          <w:tcPr>
            <w:tcW w:type="dxa" w:w="1296"/>
            <w:vAlign w:val="center"/>
            <w:tcMar>
              <w:top w:w="100" w:type="dxa"/>
              <w:start w:w="120" w:type="dxa"/>
              <w:bottom w:w="100" w:type="dxa"/>
              <w:end w:w="120" w:type="dxa"/>
            </w:tcMar>
          </w:tcPr>
          <w:p>
            <w:pPr>
              <w:spacing w:after="0"/>
              <w:jc w:val="center"/>
            </w:pPr>
            <w:r>
              <w:rPr>
                <w:sz w:val="15"/>
              </w:rPr>
              <w:t>1,186.1</w:t>
            </w:r>
          </w:p>
        </w:tc>
        <w:tc>
          <w:tcPr>
            <w:tcW w:type="dxa" w:w="1944"/>
            <w:vAlign w:val="center"/>
            <w:tcMar>
              <w:top w:w="100" w:type="dxa"/>
              <w:start w:w="120" w:type="dxa"/>
              <w:bottom w:w="100" w:type="dxa"/>
              <w:end w:w="120" w:type="dxa"/>
            </w:tcMar>
          </w:tcPr>
          <w:p>
            <w:pPr>
              <w:spacing w:after="0"/>
              <w:jc w:val="center"/>
            </w:pPr>
            <w:r>
              <w:rPr>
                <w:sz w:val="15"/>
              </w:rPr>
              <w:t>1,056 to 1,296</w:t>
            </w:r>
          </w:p>
        </w:tc>
      </w:tr>
    </w:tbl>
    <w:p>
      <w:pPr>
        <w:spacing w:after="20"/>
      </w:pPr>
    </w:p>
    <w:p>
      <w:pPr>
        <w:pStyle w:val="Heading3"/>
      </w:pPr>
      <w:r>
        <w:t>8.3 Labels and stability</w:t>
      </w:r>
    </w:p>
    <w:p>
      <w:r>
        <w:t>For each decision, Stockfish first evaluated the original position and then the child position after the played move. Scores were converted to the player's pre-move perspective. A large error is a loss of at least 100 centipawns; mate-score cases are excluded because mate distance is not a stable centipawn quantity.</w:t>
      </w:r>
    </w:p>
    <w:p>
      <w:r>
        <w:t>The node budget was locked before fitting through a deterministic 500-position stability study. Agreement improved monotonically with more nodes. The chosen 100,000-node budget still contains measurement noise: 12 of 453 jointly eligible labels changed between 50,000 and 100,000 nodes.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cantSplit/>
        </w:trPr>
        <w:tc>
          <w:tcPr>
            <w:tcW w:type="dxa" w:w="2592"/>
            <w:shd w:fill="17365D"/>
            <w:vAlign w:val="center"/>
            <w:tcMar>
              <w:top w:w="100" w:type="dxa"/>
              <w:start w:w="120" w:type="dxa"/>
              <w:bottom w:w="100" w:type="dxa"/>
              <w:end w:w="120" w:type="dxa"/>
            </w:tcMar>
          </w:tcPr>
          <w:p>
            <w:pPr>
              <w:keepNext/>
              <w:jc w:val="center"/>
            </w:pPr>
            <w:r>
              <w:rPr>
                <w:b/>
                <w:color w:val="FFFFFF"/>
                <w:sz w:val="17"/>
              </w:rPr>
              <w:t>Budgets</w:t>
            </w:r>
          </w:p>
        </w:tc>
        <w:tc>
          <w:tcPr>
            <w:tcW w:type="dxa" w:w="1728"/>
            <w:shd w:fill="17365D"/>
            <w:vAlign w:val="center"/>
            <w:tcMar>
              <w:top w:w="100" w:type="dxa"/>
              <w:start w:w="120" w:type="dxa"/>
              <w:bottom w:w="100" w:type="dxa"/>
              <w:end w:w="120" w:type="dxa"/>
            </w:tcMar>
          </w:tcPr>
          <w:p>
            <w:pPr>
              <w:keepNext/>
              <w:jc w:val="center"/>
            </w:pPr>
            <w:r>
              <w:rPr>
                <w:b/>
                <w:color w:val="FFFFFF"/>
                <w:sz w:val="17"/>
              </w:rPr>
              <w:t>Agreement</w:t>
            </w:r>
          </w:p>
        </w:tc>
        <w:tc>
          <w:tcPr>
            <w:tcW w:type="dxa" w:w="1440"/>
            <w:shd w:fill="17365D"/>
            <w:vAlign w:val="center"/>
            <w:tcMar>
              <w:top w:w="100" w:type="dxa"/>
              <w:start w:w="120" w:type="dxa"/>
              <w:bottom w:w="100" w:type="dxa"/>
              <w:end w:w="120" w:type="dxa"/>
            </w:tcMar>
          </w:tcPr>
          <w:p>
            <w:pPr>
              <w:keepNext/>
              <w:jc w:val="center"/>
            </w:pPr>
            <w:r>
              <w:rPr>
                <w:b/>
                <w:color w:val="FFFFFF"/>
                <w:sz w:val="17"/>
              </w:rPr>
              <w:t>Kappa</w:t>
            </w:r>
          </w:p>
        </w:tc>
        <w:tc>
          <w:tcPr>
            <w:tcW w:type="dxa" w:w="1152"/>
            <w:shd w:fill="17365D"/>
            <w:vAlign w:val="center"/>
            <w:tcMar>
              <w:top w:w="100" w:type="dxa"/>
              <w:start w:w="120" w:type="dxa"/>
              <w:bottom w:w="100" w:type="dxa"/>
              <w:end w:w="120" w:type="dxa"/>
            </w:tcMar>
          </w:tcPr>
          <w:p>
            <w:pPr>
              <w:keepNext/>
              <w:jc w:val="center"/>
            </w:pPr>
            <w:r>
              <w:rPr>
                <w:b/>
                <w:color w:val="FFFFFF"/>
                <w:sz w:val="17"/>
              </w:rPr>
              <w:t>Flips</w:t>
            </w:r>
          </w:p>
        </w:tc>
        <w:tc>
          <w:tcPr>
            <w:tcW w:type="dxa" w:w="3168"/>
            <w:shd w:fill="17365D"/>
            <w:vAlign w:val="center"/>
            <w:tcMar>
              <w:top w:w="100" w:type="dxa"/>
              <w:start w:w="120" w:type="dxa"/>
              <w:bottom w:w="100" w:type="dxa"/>
              <w:end w:w="120" w:type="dxa"/>
            </w:tcMar>
          </w:tcPr>
          <w:p>
            <w:pPr>
              <w:keepNext/>
              <w:jc w:val="center"/>
            </w:pPr>
            <w:r>
              <w:rPr>
                <w:b/>
                <w:color w:val="FFFFFF"/>
                <w:sz w:val="17"/>
              </w:rPr>
              <w:t>CPL correlation</w:t>
            </w:r>
          </w:p>
        </w:tc>
      </w:tr>
      <w:tr>
        <w:trPr>
          <w:cantSplit/>
        </w:trPr>
        <w:tc>
          <w:tcPr>
            <w:tcW w:type="dxa" w:w="2592"/>
            <w:vAlign w:val="center"/>
            <w:tcMar>
              <w:top w:w="100" w:type="dxa"/>
              <w:start w:w="120" w:type="dxa"/>
              <w:bottom w:w="100" w:type="dxa"/>
              <w:end w:w="120" w:type="dxa"/>
            </w:tcMar>
          </w:tcPr>
          <w:p>
            <w:pPr>
              <w:spacing w:after="0"/>
              <w:jc w:val="left"/>
            </w:pPr>
            <w:r>
              <w:rPr>
                <w:sz w:val="17"/>
              </w:rPr>
              <w:t>5k versus 20k</w:t>
            </w:r>
          </w:p>
        </w:tc>
        <w:tc>
          <w:tcPr>
            <w:tcW w:type="dxa" w:w="1728"/>
            <w:vAlign w:val="center"/>
            <w:tcMar>
              <w:top w:w="100" w:type="dxa"/>
              <w:start w:w="120" w:type="dxa"/>
              <w:bottom w:w="100" w:type="dxa"/>
              <w:end w:w="120" w:type="dxa"/>
            </w:tcMar>
          </w:tcPr>
          <w:p>
            <w:pPr>
              <w:spacing w:after="0"/>
              <w:jc w:val="center"/>
            </w:pPr>
            <w:r>
              <w:rPr>
                <w:sz w:val="17"/>
              </w:rPr>
              <w:t>94.44%</w:t>
            </w:r>
          </w:p>
        </w:tc>
        <w:tc>
          <w:tcPr>
            <w:tcW w:type="dxa" w:w="1440"/>
            <w:vAlign w:val="center"/>
            <w:tcMar>
              <w:top w:w="100" w:type="dxa"/>
              <w:start w:w="120" w:type="dxa"/>
              <w:bottom w:w="100" w:type="dxa"/>
              <w:end w:w="120" w:type="dxa"/>
            </w:tcMar>
          </w:tcPr>
          <w:p>
            <w:pPr>
              <w:spacing w:after="0"/>
              <w:jc w:val="center"/>
            </w:pPr>
            <w:r>
              <w:rPr>
                <w:sz w:val="17"/>
              </w:rPr>
              <w:t>0.7980</w:t>
            </w:r>
          </w:p>
        </w:tc>
        <w:tc>
          <w:tcPr>
            <w:tcW w:type="dxa" w:w="1152"/>
            <w:vAlign w:val="center"/>
            <w:tcMar>
              <w:top w:w="100" w:type="dxa"/>
              <w:start w:w="120" w:type="dxa"/>
              <w:bottom w:w="100" w:type="dxa"/>
              <w:end w:w="120" w:type="dxa"/>
            </w:tcMar>
          </w:tcPr>
          <w:p>
            <w:pPr>
              <w:spacing w:after="0"/>
              <w:jc w:val="center"/>
            </w:pPr>
            <w:r>
              <w:rPr>
                <w:sz w:val="17"/>
              </w:rPr>
              <w:t>26</w:t>
            </w:r>
          </w:p>
        </w:tc>
        <w:tc>
          <w:tcPr>
            <w:tcW w:type="dxa" w:w="3168"/>
            <w:vAlign w:val="center"/>
            <w:tcMar>
              <w:top w:w="100" w:type="dxa"/>
              <w:start w:w="120" w:type="dxa"/>
              <w:bottom w:w="100" w:type="dxa"/>
              <w:end w:w="120" w:type="dxa"/>
            </w:tcMar>
          </w:tcPr>
          <w:p>
            <w:pPr>
              <w:spacing w:after="0"/>
              <w:jc w:val="center"/>
            </w:pPr>
            <w:r>
              <w:rPr>
                <w:sz w:val="17"/>
              </w:rPr>
              <w:t>0.9549</w:t>
            </w:r>
          </w:p>
        </w:tc>
      </w:tr>
      <w:tr>
        <w:trPr>
          <w:cantSplit/>
        </w:trPr>
        <w:tc>
          <w:tcPr>
            <w:tcW w:type="dxa" w:w="2592"/>
            <w:vAlign w:val="center"/>
            <w:tcMar>
              <w:top w:w="100" w:type="dxa"/>
              <w:start w:w="120" w:type="dxa"/>
              <w:bottom w:w="100" w:type="dxa"/>
              <w:end w:w="120" w:type="dxa"/>
            </w:tcMar>
            <w:shd w:fill="F3F7FB"/>
          </w:tcPr>
          <w:p>
            <w:pPr>
              <w:spacing w:after="0"/>
              <w:jc w:val="left"/>
            </w:pPr>
            <w:r>
              <w:rPr>
                <w:sz w:val="17"/>
              </w:rPr>
              <w:t>20k versus 50k</w:t>
            </w:r>
          </w:p>
        </w:tc>
        <w:tc>
          <w:tcPr>
            <w:tcW w:type="dxa" w:w="1728"/>
            <w:vAlign w:val="center"/>
            <w:tcMar>
              <w:top w:w="100" w:type="dxa"/>
              <w:start w:w="120" w:type="dxa"/>
              <w:bottom w:w="100" w:type="dxa"/>
              <w:end w:w="120" w:type="dxa"/>
            </w:tcMar>
            <w:shd w:fill="F3F7FB"/>
          </w:tcPr>
          <w:p>
            <w:pPr>
              <w:spacing w:after="0"/>
              <w:jc w:val="center"/>
            </w:pPr>
            <w:r>
              <w:rPr>
                <w:sz w:val="17"/>
              </w:rPr>
              <w:t>96.73%</w:t>
            </w:r>
          </w:p>
        </w:tc>
        <w:tc>
          <w:tcPr>
            <w:tcW w:type="dxa" w:w="1440"/>
            <w:vAlign w:val="center"/>
            <w:tcMar>
              <w:top w:w="100" w:type="dxa"/>
              <w:start w:w="120" w:type="dxa"/>
              <w:bottom w:w="100" w:type="dxa"/>
              <w:end w:w="120" w:type="dxa"/>
            </w:tcMar>
            <w:shd w:fill="F3F7FB"/>
          </w:tcPr>
          <w:p>
            <w:pPr>
              <w:spacing w:after="0"/>
              <w:jc w:val="center"/>
            </w:pPr>
            <w:r>
              <w:rPr>
                <w:sz w:val="17"/>
              </w:rPr>
              <w:t>0.8859</w:t>
            </w:r>
          </w:p>
        </w:tc>
        <w:tc>
          <w:tcPr>
            <w:tcW w:type="dxa" w:w="1152"/>
            <w:vAlign w:val="center"/>
            <w:tcMar>
              <w:top w:w="100" w:type="dxa"/>
              <w:start w:w="120" w:type="dxa"/>
              <w:bottom w:w="100" w:type="dxa"/>
              <w:end w:w="120" w:type="dxa"/>
            </w:tcMar>
            <w:shd w:fill="F3F7FB"/>
          </w:tcPr>
          <w:p>
            <w:pPr>
              <w:spacing w:after="0"/>
              <w:jc w:val="center"/>
            </w:pPr>
            <w:r>
              <w:rPr>
                <w:sz w:val="17"/>
              </w:rPr>
              <w:t>15</w:t>
            </w:r>
          </w:p>
        </w:tc>
        <w:tc>
          <w:tcPr>
            <w:tcW w:type="dxa" w:w="3168"/>
            <w:vAlign w:val="center"/>
            <w:tcMar>
              <w:top w:w="100" w:type="dxa"/>
              <w:start w:w="120" w:type="dxa"/>
              <w:bottom w:w="100" w:type="dxa"/>
              <w:end w:w="120" w:type="dxa"/>
            </w:tcMar>
            <w:shd w:fill="F3F7FB"/>
          </w:tcPr>
          <w:p>
            <w:pPr>
              <w:spacing w:after="0"/>
              <w:jc w:val="center"/>
            </w:pPr>
            <w:r>
              <w:rPr>
                <w:sz w:val="17"/>
              </w:rPr>
              <w:t>0.9745</w:t>
            </w:r>
          </w:p>
        </w:tc>
      </w:tr>
      <w:tr>
        <w:trPr>
          <w:cantSplit/>
        </w:trPr>
        <w:tc>
          <w:tcPr>
            <w:tcW w:type="dxa" w:w="2592"/>
            <w:vAlign w:val="center"/>
            <w:tcMar>
              <w:top w:w="100" w:type="dxa"/>
              <w:start w:w="120" w:type="dxa"/>
              <w:bottom w:w="100" w:type="dxa"/>
              <w:end w:w="120" w:type="dxa"/>
            </w:tcMar>
          </w:tcPr>
          <w:p>
            <w:pPr>
              <w:spacing w:after="0"/>
              <w:jc w:val="left"/>
            </w:pPr>
            <w:r>
              <w:rPr>
                <w:sz w:val="17"/>
              </w:rPr>
              <w:t>50k versus 100k</w:t>
            </w:r>
          </w:p>
        </w:tc>
        <w:tc>
          <w:tcPr>
            <w:tcW w:type="dxa" w:w="1728"/>
            <w:vAlign w:val="center"/>
            <w:tcMar>
              <w:top w:w="100" w:type="dxa"/>
              <w:start w:w="120" w:type="dxa"/>
              <w:bottom w:w="100" w:type="dxa"/>
              <w:end w:w="120" w:type="dxa"/>
            </w:tcMar>
          </w:tcPr>
          <w:p>
            <w:pPr>
              <w:spacing w:after="0"/>
              <w:jc w:val="center"/>
            </w:pPr>
            <w:r>
              <w:rPr>
                <w:sz w:val="17"/>
              </w:rPr>
              <w:t>97.35%</w:t>
            </w:r>
          </w:p>
        </w:tc>
        <w:tc>
          <w:tcPr>
            <w:tcW w:type="dxa" w:w="1440"/>
            <w:vAlign w:val="center"/>
            <w:tcMar>
              <w:top w:w="100" w:type="dxa"/>
              <w:start w:w="120" w:type="dxa"/>
              <w:bottom w:w="100" w:type="dxa"/>
              <w:end w:w="120" w:type="dxa"/>
            </w:tcMar>
          </w:tcPr>
          <w:p>
            <w:pPr>
              <w:spacing w:after="0"/>
              <w:jc w:val="center"/>
            </w:pPr>
            <w:r>
              <w:rPr>
                <w:sz w:val="17"/>
              </w:rPr>
              <w:t>0.9071</w:t>
            </w:r>
          </w:p>
        </w:tc>
        <w:tc>
          <w:tcPr>
            <w:tcW w:type="dxa" w:w="1152"/>
            <w:vAlign w:val="center"/>
            <w:tcMar>
              <w:top w:w="100" w:type="dxa"/>
              <w:start w:w="120" w:type="dxa"/>
              <w:bottom w:w="100" w:type="dxa"/>
              <w:end w:w="120" w:type="dxa"/>
            </w:tcMar>
          </w:tcPr>
          <w:p>
            <w:pPr>
              <w:spacing w:after="0"/>
              <w:jc w:val="center"/>
            </w:pPr>
            <w:r>
              <w:rPr>
                <w:sz w:val="17"/>
              </w:rPr>
              <w:t>12</w:t>
            </w:r>
          </w:p>
        </w:tc>
        <w:tc>
          <w:tcPr>
            <w:tcW w:type="dxa" w:w="3168"/>
            <w:vAlign w:val="center"/>
            <w:tcMar>
              <w:top w:w="100" w:type="dxa"/>
              <w:start w:w="120" w:type="dxa"/>
              <w:bottom w:w="100" w:type="dxa"/>
              <w:end w:w="120" w:type="dxa"/>
            </w:tcMar>
          </w:tcPr>
          <w:p>
            <w:pPr>
              <w:spacing w:after="0"/>
              <w:jc w:val="center"/>
            </w:pPr>
            <w:r>
              <w:rPr>
                <w:sz w:val="17"/>
              </w:rPr>
              <w:t>0.9827</w:t>
            </w:r>
          </w:p>
        </w:tc>
      </w:tr>
    </w:tbl>
    <w:p>
      <w:pPr>
        <w:spacing w:after="20"/>
      </w:pPr>
    </w:p>
    <w:p>
      <w:pPr>
        <w:pStyle w:val="Heading3"/>
      </w:pPr>
      <w:r>
        <w:t>8.4 Leakage-resistant model features</w:t>
      </w:r>
    </w:p>
    <w:p>
      <w:r>
        <w:t>The model sees only information available before the player's decision: check state, legal moves and captures, material, remaining material, pawns, open files, mobility, king safety, pawn structure, center control, tension, move number, color, player rating, and rating difference. It does not receive Stockfish evaluation, the played move's outcome, centipawn loss, game result, or future information.</w:t>
      </w:r>
    </w:p>
    <w:p>
      <w:pPr>
        <w:pStyle w:val="Heading2"/>
      </w:pPr>
      <w:r>
        <w:t>9  Three-model comparison</w:t>
      </w:r>
    </w:p>
    <w:p>
      <w:r>
        <w:t>Three model families were compared because they represent increasing flexibility and different assumptions about personalization.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2880"/>
            <w:shd w:fill="17365D"/>
            <w:vAlign w:val="center"/>
            <w:tcMar>
              <w:top w:w="100" w:type="dxa"/>
              <w:start w:w="120" w:type="dxa"/>
              <w:bottom w:w="100" w:type="dxa"/>
              <w:end w:w="120" w:type="dxa"/>
            </w:tcMar>
          </w:tcPr>
          <w:p>
            <w:pPr>
              <w:keepNext/>
              <w:jc w:val="center"/>
            </w:pPr>
            <w:r>
              <w:rPr>
                <w:b/>
                <w:color w:val="FFFFFF"/>
                <w:sz w:val="17"/>
              </w:rPr>
              <w:t>Model</w:t>
            </w:r>
          </w:p>
        </w:tc>
        <w:tc>
          <w:tcPr>
            <w:tcW w:type="dxa" w:w="4031"/>
            <w:shd w:fill="17365D"/>
            <w:vAlign w:val="center"/>
            <w:tcMar>
              <w:top w:w="100" w:type="dxa"/>
              <w:start w:w="120" w:type="dxa"/>
              <w:bottom w:w="100" w:type="dxa"/>
              <w:end w:w="120" w:type="dxa"/>
            </w:tcMar>
          </w:tcPr>
          <w:p>
            <w:pPr>
              <w:keepNext/>
              <w:jc w:val="center"/>
            </w:pPr>
            <w:r>
              <w:rPr>
                <w:b/>
                <w:color w:val="FFFFFF"/>
                <w:sz w:val="17"/>
              </w:rPr>
              <w:t>What it assumes</w:t>
            </w:r>
          </w:p>
        </w:tc>
        <w:tc>
          <w:tcPr>
            <w:tcW w:type="dxa" w:w="3168"/>
            <w:shd w:fill="17365D"/>
            <w:vAlign w:val="center"/>
            <w:tcMar>
              <w:top w:w="100" w:type="dxa"/>
              <w:start w:w="120" w:type="dxa"/>
              <w:bottom w:w="100" w:type="dxa"/>
              <w:end w:w="120" w:type="dxa"/>
            </w:tcMar>
          </w:tcPr>
          <w:p>
            <w:pPr>
              <w:keepNext/>
              <w:jc w:val="center"/>
            </w:pPr>
            <w:r>
              <w:rPr>
                <w:b/>
                <w:color w:val="FFFFFF"/>
                <w:sz w:val="17"/>
              </w:rPr>
              <w:t>Role in the study</w:t>
            </w:r>
          </w:p>
        </w:tc>
      </w:tr>
      <w:tr>
        <w:trPr>
          <w:cantSplit/>
        </w:trPr>
        <w:tc>
          <w:tcPr>
            <w:tcW w:type="dxa" w:w="2880"/>
            <w:vAlign w:val="center"/>
            <w:tcMar>
              <w:top w:w="100" w:type="dxa"/>
              <w:start w:w="120" w:type="dxa"/>
              <w:bottom w:w="100" w:type="dxa"/>
              <w:end w:w="120" w:type="dxa"/>
            </w:tcMar>
          </w:tcPr>
          <w:p>
            <w:pPr>
              <w:spacing w:after="0"/>
              <w:jc w:val="left"/>
            </w:pPr>
            <w:r>
              <w:rPr>
                <w:sz w:val="17"/>
              </w:rPr>
              <w:t>Regularized logistic regression</w:t>
            </w:r>
          </w:p>
        </w:tc>
        <w:tc>
          <w:tcPr>
            <w:tcW w:type="dxa" w:w="4031"/>
            <w:vAlign w:val="center"/>
            <w:tcMar>
              <w:top w:w="100" w:type="dxa"/>
              <w:start w:w="120" w:type="dxa"/>
              <w:bottom w:w="100" w:type="dxa"/>
              <w:end w:w="120" w:type="dxa"/>
            </w:tcMar>
          </w:tcPr>
          <w:p>
            <w:pPr>
              <w:spacing w:after="0"/>
              <w:jc w:val="center"/>
            </w:pPr>
            <w:r>
              <w:rPr>
                <w:sz w:val="17"/>
              </w:rPr>
              <w:t>One mostly additive relationship between features and error probability</w:t>
            </w:r>
          </w:p>
        </w:tc>
        <w:tc>
          <w:tcPr>
            <w:tcW w:type="dxa" w:w="3168"/>
            <w:vAlign w:val="center"/>
            <w:tcMar>
              <w:top w:w="100" w:type="dxa"/>
              <w:start w:w="120" w:type="dxa"/>
              <w:bottom w:w="100" w:type="dxa"/>
              <w:end w:w="120" w:type="dxa"/>
            </w:tcMar>
          </w:tcPr>
          <w:p>
            <w:pPr>
              <w:spacing w:after="0"/>
              <w:jc w:val="center"/>
            </w:pPr>
            <w:r>
              <w:rPr>
                <w:sz w:val="17"/>
              </w:rPr>
              <w:t>Transparent, calibrated linear baseline</w:t>
            </w:r>
          </w:p>
        </w:tc>
      </w:tr>
      <w:tr>
        <w:trPr>
          <w:cantSplit/>
        </w:trPr>
        <w:tc>
          <w:tcPr>
            <w:tcW w:type="dxa" w:w="2880"/>
            <w:vAlign w:val="center"/>
            <w:tcMar>
              <w:top w:w="100" w:type="dxa"/>
              <w:start w:w="120" w:type="dxa"/>
              <w:bottom w:w="100" w:type="dxa"/>
              <w:end w:w="120" w:type="dxa"/>
            </w:tcMar>
            <w:shd w:fill="F3F7FB"/>
          </w:tcPr>
          <w:p>
            <w:pPr>
              <w:spacing w:after="0"/>
              <w:jc w:val="left"/>
            </w:pPr>
            <w:r>
              <w:rPr>
                <w:sz w:val="17"/>
              </w:rPr>
              <w:t>Hierarchical Bayesian logistic</w:t>
            </w:r>
          </w:p>
        </w:tc>
        <w:tc>
          <w:tcPr>
            <w:tcW w:type="dxa" w:w="4031"/>
            <w:vAlign w:val="center"/>
            <w:tcMar>
              <w:top w:w="100" w:type="dxa"/>
              <w:start w:w="120" w:type="dxa"/>
              <w:bottom w:w="100" w:type="dxa"/>
              <w:end w:w="120" w:type="dxa"/>
            </w:tcMar>
            <w:shd w:fill="F3F7FB"/>
          </w:tcPr>
          <w:p>
            <w:pPr>
              <w:spacing w:after="0"/>
              <w:jc w:val="center"/>
            </w:pPr>
            <w:r>
              <w:rPr>
                <w:sz w:val="17"/>
              </w:rPr>
              <w:t>Population coefficients plus a cautious player-specific deviation</w:t>
            </w:r>
          </w:p>
        </w:tc>
        <w:tc>
          <w:tcPr>
            <w:tcW w:type="dxa" w:w="3168"/>
            <w:vAlign w:val="center"/>
            <w:tcMar>
              <w:top w:w="100" w:type="dxa"/>
              <w:start w:w="120" w:type="dxa"/>
              <w:bottom w:w="100" w:type="dxa"/>
              <w:end w:w="120" w:type="dxa"/>
            </w:tcMar>
            <w:shd w:fill="F3F7FB"/>
          </w:tcPr>
          <w:p>
            <w:pPr>
              <w:spacing w:after="0"/>
              <w:jc w:val="center"/>
            </w:pPr>
            <w:r>
              <w:rPr>
                <w:sz w:val="17"/>
              </w:rPr>
              <w:t>Partial pooling and uncertainty, implemented with a Laplace approximation</w:t>
            </w:r>
          </w:p>
        </w:tc>
      </w:tr>
      <w:tr>
        <w:trPr>
          <w:cantSplit/>
        </w:trPr>
        <w:tc>
          <w:tcPr>
            <w:tcW w:type="dxa" w:w="2880"/>
            <w:vAlign w:val="center"/>
            <w:tcMar>
              <w:top w:w="100" w:type="dxa"/>
              <w:start w:w="120" w:type="dxa"/>
              <w:bottom w:w="100" w:type="dxa"/>
              <w:end w:w="120" w:type="dxa"/>
            </w:tcMar>
          </w:tcPr>
          <w:p>
            <w:pPr>
              <w:spacing w:after="0"/>
              <w:jc w:val="left"/>
            </w:pPr>
            <w:r>
              <w:rPr>
                <w:sz w:val="17"/>
              </w:rPr>
              <w:t>Histogram gradient boosting</w:t>
            </w:r>
          </w:p>
        </w:tc>
        <w:tc>
          <w:tcPr>
            <w:tcW w:type="dxa" w:w="4031"/>
            <w:vAlign w:val="center"/>
            <w:tcMar>
              <w:top w:w="100" w:type="dxa"/>
              <w:start w:w="120" w:type="dxa"/>
              <w:bottom w:w="100" w:type="dxa"/>
              <w:end w:w="120" w:type="dxa"/>
            </w:tcMar>
          </w:tcPr>
          <w:p>
            <w:pPr>
              <w:spacing w:after="0"/>
              <w:jc w:val="center"/>
            </w:pPr>
            <w:r>
              <w:rPr>
                <w:sz w:val="17"/>
              </w:rPr>
              <w:t>Conditional thresholds and interactions among position features</w:t>
            </w:r>
          </w:p>
        </w:tc>
        <w:tc>
          <w:tcPr>
            <w:tcW w:type="dxa" w:w="3168"/>
            <w:vAlign w:val="center"/>
            <w:tcMar>
              <w:top w:w="100" w:type="dxa"/>
              <w:start w:w="120" w:type="dxa"/>
              <w:bottom w:w="100" w:type="dxa"/>
              <w:end w:w="120" w:type="dxa"/>
            </w:tcMar>
          </w:tcPr>
          <w:p>
            <w:pPr>
              <w:spacing w:after="0"/>
              <w:jc w:val="center"/>
            </w:pPr>
            <w:r>
              <w:rPr>
                <w:sz w:val="17"/>
              </w:rPr>
              <w:t>Nonlinear challenger able to represent different regimes</w:t>
            </w:r>
          </w:p>
        </w:tc>
      </w:tr>
    </w:tbl>
    <w:p>
      <w:pPr>
        <w:spacing w:after="20"/>
      </w:pPr>
    </w:p>
    <w:p>
      <w:pPr>
        <w:keepNext/>
        <w:jc w:val="center"/>
      </w:pPr>
      <w:r>
        <w:drawing>
          <wp:inline xmlns:a="http://schemas.openxmlformats.org/drawingml/2006/main" xmlns:pic="http://schemas.openxmlformats.org/drawingml/2006/picture">
            <wp:extent cx="6126480" cy="2844437"/>
            <wp:docPr id="4" name="Picture 4" descr="Figure 4  Personalized model test log loss on untouched chronological games"/>
            <wp:cNvGraphicFramePr>
              <a:graphicFrameLocks noChangeAspect="1"/>
            </wp:cNvGraphicFramePr>
            <a:graphic>
              <a:graphicData uri="http://schemas.openxmlformats.org/drawingml/2006/picture">
                <pic:pic>
                  <pic:nvPicPr>
                    <pic:cNvPr id="0" name="model_log_loss.png"/>
                    <pic:cNvPicPr/>
                  </pic:nvPicPr>
                  <pic:blipFill>
                    <a:blip r:embed="rId13"/>
                    <a:stretch>
                      <a:fillRect/>
                    </a:stretch>
                  </pic:blipFill>
                  <pic:spPr>
                    <a:xfrm>
                      <a:off x="0" y="0"/>
                      <a:ext cx="6126480" cy="2844437"/>
                    </a:xfrm>
                    <a:prstGeom prst="rect"/>
                  </pic:spPr>
                </pic:pic>
              </a:graphicData>
            </a:graphic>
          </wp:inline>
        </w:drawing>
      </w:r>
    </w:p>
    <w:p>
      <w:pPr>
        <w:keepNext w:val="0"/>
        <w:jc w:val="center"/>
      </w:pPr>
      <w:r>
        <w:rPr>
          <w:i/>
          <w:color w:val="595959"/>
          <w:sz w:val="17"/>
        </w:rPr>
        <w:t>Figure 4  Personalized model test log loss on untouched chronological games</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2880"/>
            <w:shd w:fill="17365D"/>
            <w:vAlign w:val="center"/>
            <w:tcMar>
              <w:top w:w="100" w:type="dxa"/>
              <w:start w:w="120" w:type="dxa"/>
              <w:bottom w:w="100" w:type="dxa"/>
              <w:end w:w="120" w:type="dxa"/>
            </w:tcMar>
          </w:tcPr>
          <w:p>
            <w:pPr>
              <w:keepNext/>
              <w:jc w:val="center"/>
            </w:pPr>
            <w:r>
              <w:rPr>
                <w:b/>
                <w:color w:val="FFFFFF"/>
                <w:sz w:val="16"/>
              </w:rPr>
              <w:t>Personalized model</w:t>
            </w:r>
          </w:p>
        </w:tc>
        <w:tc>
          <w:tcPr>
            <w:tcW w:type="dxa" w:w="1440"/>
            <w:shd w:fill="17365D"/>
            <w:vAlign w:val="center"/>
            <w:tcMar>
              <w:top w:w="100" w:type="dxa"/>
              <w:start w:w="120" w:type="dxa"/>
              <w:bottom w:w="100" w:type="dxa"/>
              <w:end w:w="120" w:type="dxa"/>
            </w:tcMar>
          </w:tcPr>
          <w:p>
            <w:pPr>
              <w:keepNext/>
              <w:jc w:val="center"/>
            </w:pPr>
            <w:r>
              <w:rPr>
                <w:b/>
                <w:color w:val="FFFFFF"/>
                <w:sz w:val="16"/>
              </w:rPr>
              <w:t>Log loss</w:t>
            </w:r>
          </w:p>
        </w:tc>
        <w:tc>
          <w:tcPr>
            <w:tcW w:type="dxa" w:w="1440"/>
            <w:shd w:fill="17365D"/>
            <w:vAlign w:val="center"/>
            <w:tcMar>
              <w:top w:w="100" w:type="dxa"/>
              <w:start w:w="120" w:type="dxa"/>
              <w:bottom w:w="100" w:type="dxa"/>
              <w:end w:w="120" w:type="dxa"/>
            </w:tcMar>
          </w:tcPr>
          <w:p>
            <w:pPr>
              <w:keepNext/>
              <w:jc w:val="center"/>
            </w:pPr>
            <w:r>
              <w:rPr>
                <w:b/>
                <w:color w:val="FFFFFF"/>
                <w:sz w:val="16"/>
              </w:rPr>
              <w:t>Brier</w:t>
            </w:r>
          </w:p>
        </w:tc>
        <w:tc>
          <w:tcPr>
            <w:tcW w:type="dxa" w:w="1440"/>
            <w:shd w:fill="17365D"/>
            <w:vAlign w:val="center"/>
            <w:tcMar>
              <w:top w:w="100" w:type="dxa"/>
              <w:start w:w="120" w:type="dxa"/>
              <w:bottom w:w="100" w:type="dxa"/>
              <w:end w:w="120" w:type="dxa"/>
            </w:tcMar>
          </w:tcPr>
          <w:p>
            <w:pPr>
              <w:keepNext/>
              <w:jc w:val="center"/>
            </w:pPr>
            <w:r>
              <w:rPr>
                <w:b/>
                <w:color w:val="FFFFFF"/>
                <w:sz w:val="16"/>
              </w:rPr>
              <w:t>ROC AUC</w:t>
            </w:r>
          </w:p>
        </w:tc>
        <w:tc>
          <w:tcPr>
            <w:tcW w:type="dxa" w:w="1584"/>
            <w:shd w:fill="17365D"/>
            <w:vAlign w:val="center"/>
            <w:tcMar>
              <w:top w:w="100" w:type="dxa"/>
              <w:start w:w="120" w:type="dxa"/>
              <w:bottom w:w="100" w:type="dxa"/>
              <w:end w:w="120" w:type="dxa"/>
            </w:tcMar>
          </w:tcPr>
          <w:p>
            <w:pPr>
              <w:keepNext/>
              <w:jc w:val="center"/>
            </w:pPr>
            <w:r>
              <w:rPr>
                <w:b/>
                <w:color w:val="FFFFFF"/>
                <w:sz w:val="16"/>
              </w:rPr>
              <w:t>Avg precision</w:t>
            </w:r>
          </w:p>
        </w:tc>
        <w:tc>
          <w:tcPr>
            <w:tcW w:type="dxa" w:w="1296"/>
            <w:shd w:fill="17365D"/>
            <w:vAlign w:val="center"/>
            <w:tcMar>
              <w:top w:w="100" w:type="dxa"/>
              <w:start w:w="120" w:type="dxa"/>
              <w:bottom w:w="100" w:type="dxa"/>
              <w:end w:w="120" w:type="dxa"/>
            </w:tcMar>
          </w:tcPr>
          <w:p>
            <w:pPr>
              <w:keepNext/>
              <w:jc w:val="center"/>
            </w:pPr>
            <w:r>
              <w:rPr>
                <w:b/>
                <w:color w:val="FFFFFF"/>
                <w:sz w:val="16"/>
              </w:rPr>
              <w:t>ECE 10</w:t>
            </w:r>
          </w:p>
        </w:tc>
      </w:tr>
      <w:tr>
        <w:trPr>
          <w:cantSplit/>
        </w:trPr>
        <w:tc>
          <w:tcPr>
            <w:tcW w:type="dxa" w:w="2880"/>
            <w:vAlign w:val="center"/>
            <w:tcMar>
              <w:top w:w="100" w:type="dxa"/>
              <w:start w:w="120" w:type="dxa"/>
              <w:bottom w:w="100" w:type="dxa"/>
              <w:end w:w="120" w:type="dxa"/>
            </w:tcMar>
          </w:tcPr>
          <w:p>
            <w:pPr>
              <w:spacing w:after="0"/>
              <w:jc w:val="left"/>
            </w:pPr>
            <w:r>
              <w:rPr>
                <w:sz w:val="16"/>
              </w:rPr>
              <w:t>Logistic</w:t>
            </w:r>
          </w:p>
        </w:tc>
        <w:tc>
          <w:tcPr>
            <w:tcW w:type="dxa" w:w="1440"/>
            <w:vAlign w:val="center"/>
            <w:tcMar>
              <w:top w:w="100" w:type="dxa"/>
              <w:start w:w="120" w:type="dxa"/>
              <w:bottom w:w="100" w:type="dxa"/>
              <w:end w:w="120" w:type="dxa"/>
            </w:tcMar>
          </w:tcPr>
          <w:p>
            <w:pPr>
              <w:spacing w:after="0"/>
              <w:jc w:val="center"/>
            </w:pPr>
            <w:r>
              <w:rPr>
                <w:sz w:val="16"/>
              </w:rPr>
              <w:t>0.40499</w:t>
            </w:r>
          </w:p>
        </w:tc>
        <w:tc>
          <w:tcPr>
            <w:tcW w:type="dxa" w:w="1440"/>
            <w:vAlign w:val="center"/>
            <w:tcMar>
              <w:top w:w="100" w:type="dxa"/>
              <w:start w:w="120" w:type="dxa"/>
              <w:bottom w:w="100" w:type="dxa"/>
              <w:end w:w="120" w:type="dxa"/>
            </w:tcMar>
          </w:tcPr>
          <w:p>
            <w:pPr>
              <w:spacing w:after="0"/>
              <w:jc w:val="center"/>
            </w:pPr>
            <w:r>
              <w:rPr>
                <w:sz w:val="16"/>
              </w:rPr>
              <w:t>0.12157</w:t>
            </w:r>
          </w:p>
        </w:tc>
        <w:tc>
          <w:tcPr>
            <w:tcW w:type="dxa" w:w="1440"/>
            <w:vAlign w:val="center"/>
            <w:tcMar>
              <w:top w:w="100" w:type="dxa"/>
              <w:start w:w="120" w:type="dxa"/>
              <w:bottom w:w="100" w:type="dxa"/>
              <w:end w:w="120" w:type="dxa"/>
            </w:tcMar>
          </w:tcPr>
          <w:p>
            <w:pPr>
              <w:spacing w:after="0"/>
              <w:jc w:val="center"/>
            </w:pPr>
            <w:r>
              <w:rPr>
                <w:sz w:val="16"/>
              </w:rPr>
              <w:t>0.62550</w:t>
            </w:r>
          </w:p>
        </w:tc>
        <w:tc>
          <w:tcPr>
            <w:tcW w:type="dxa" w:w="1584"/>
            <w:vAlign w:val="center"/>
            <w:tcMar>
              <w:top w:w="100" w:type="dxa"/>
              <w:start w:w="120" w:type="dxa"/>
              <w:bottom w:w="100" w:type="dxa"/>
              <w:end w:w="120" w:type="dxa"/>
            </w:tcMar>
          </w:tcPr>
          <w:p>
            <w:pPr>
              <w:spacing w:after="0"/>
              <w:jc w:val="center"/>
            </w:pPr>
            <w:r>
              <w:rPr>
                <w:sz w:val="16"/>
              </w:rPr>
              <w:t>0.21108</w:t>
            </w:r>
          </w:p>
        </w:tc>
        <w:tc>
          <w:tcPr>
            <w:tcW w:type="dxa" w:w="1296"/>
            <w:vAlign w:val="center"/>
            <w:tcMar>
              <w:top w:w="100" w:type="dxa"/>
              <w:start w:w="120" w:type="dxa"/>
              <w:bottom w:w="100" w:type="dxa"/>
              <w:end w:w="120" w:type="dxa"/>
            </w:tcMar>
          </w:tcPr>
          <w:p>
            <w:pPr>
              <w:spacing w:after="0"/>
              <w:jc w:val="center"/>
            </w:pPr>
            <w:r>
              <w:rPr>
                <w:sz w:val="16"/>
              </w:rPr>
              <w:t>0.03020</w:t>
            </w:r>
          </w:p>
        </w:tc>
      </w:tr>
      <w:tr>
        <w:trPr>
          <w:cantSplit/>
        </w:trPr>
        <w:tc>
          <w:tcPr>
            <w:tcW w:type="dxa" w:w="2880"/>
            <w:vAlign w:val="center"/>
            <w:tcMar>
              <w:top w:w="100" w:type="dxa"/>
              <w:start w:w="120" w:type="dxa"/>
              <w:bottom w:w="100" w:type="dxa"/>
              <w:end w:w="120" w:type="dxa"/>
            </w:tcMar>
            <w:shd w:fill="F3F7FB"/>
          </w:tcPr>
          <w:p>
            <w:pPr>
              <w:spacing w:after="0"/>
              <w:jc w:val="left"/>
            </w:pPr>
            <w:r>
              <w:rPr>
                <w:sz w:val="16"/>
              </w:rPr>
              <w:t>Hierarchical logistic</w:t>
            </w:r>
          </w:p>
        </w:tc>
        <w:tc>
          <w:tcPr>
            <w:tcW w:type="dxa" w:w="1440"/>
            <w:vAlign w:val="center"/>
            <w:tcMar>
              <w:top w:w="100" w:type="dxa"/>
              <w:start w:w="120" w:type="dxa"/>
              <w:bottom w:w="100" w:type="dxa"/>
              <w:end w:w="120" w:type="dxa"/>
            </w:tcMar>
            <w:shd w:fill="F3F7FB"/>
          </w:tcPr>
          <w:p>
            <w:pPr>
              <w:spacing w:after="0"/>
              <w:jc w:val="center"/>
            </w:pPr>
            <w:r>
              <w:rPr>
                <w:sz w:val="16"/>
              </w:rPr>
              <w:t>0.40471</w:t>
            </w:r>
          </w:p>
        </w:tc>
        <w:tc>
          <w:tcPr>
            <w:tcW w:type="dxa" w:w="1440"/>
            <w:vAlign w:val="center"/>
            <w:tcMar>
              <w:top w:w="100" w:type="dxa"/>
              <w:start w:w="120" w:type="dxa"/>
              <w:bottom w:w="100" w:type="dxa"/>
              <w:end w:w="120" w:type="dxa"/>
            </w:tcMar>
            <w:shd w:fill="F3F7FB"/>
          </w:tcPr>
          <w:p>
            <w:pPr>
              <w:spacing w:after="0"/>
              <w:jc w:val="center"/>
            </w:pPr>
            <w:r>
              <w:rPr>
                <w:sz w:val="16"/>
              </w:rPr>
              <w:t>0.12152</w:t>
            </w:r>
          </w:p>
        </w:tc>
        <w:tc>
          <w:tcPr>
            <w:tcW w:type="dxa" w:w="1440"/>
            <w:vAlign w:val="center"/>
            <w:tcMar>
              <w:top w:w="100" w:type="dxa"/>
              <w:start w:w="120" w:type="dxa"/>
              <w:bottom w:w="100" w:type="dxa"/>
              <w:end w:w="120" w:type="dxa"/>
            </w:tcMar>
            <w:shd w:fill="F3F7FB"/>
          </w:tcPr>
          <w:p>
            <w:pPr>
              <w:spacing w:after="0"/>
              <w:jc w:val="center"/>
            </w:pPr>
            <w:r>
              <w:rPr>
                <w:sz w:val="16"/>
              </w:rPr>
              <w:t>0.62584</w:t>
            </w:r>
          </w:p>
        </w:tc>
        <w:tc>
          <w:tcPr>
            <w:tcW w:type="dxa" w:w="1584"/>
            <w:vAlign w:val="center"/>
            <w:tcMar>
              <w:top w:w="100" w:type="dxa"/>
              <w:start w:w="120" w:type="dxa"/>
              <w:bottom w:w="100" w:type="dxa"/>
              <w:end w:w="120" w:type="dxa"/>
            </w:tcMar>
            <w:shd w:fill="F3F7FB"/>
          </w:tcPr>
          <w:p>
            <w:pPr>
              <w:spacing w:after="0"/>
              <w:jc w:val="center"/>
            </w:pPr>
            <w:r>
              <w:rPr>
                <w:sz w:val="16"/>
              </w:rPr>
              <w:t>0.21121</w:t>
            </w:r>
          </w:p>
        </w:tc>
        <w:tc>
          <w:tcPr>
            <w:tcW w:type="dxa" w:w="1296"/>
            <w:vAlign w:val="center"/>
            <w:tcMar>
              <w:top w:w="100" w:type="dxa"/>
              <w:start w:w="120" w:type="dxa"/>
              <w:bottom w:w="100" w:type="dxa"/>
              <w:end w:w="120" w:type="dxa"/>
            </w:tcMar>
            <w:shd w:fill="F3F7FB"/>
          </w:tcPr>
          <w:p>
            <w:pPr>
              <w:spacing w:after="0"/>
              <w:jc w:val="center"/>
            </w:pPr>
            <w:r>
              <w:rPr>
                <w:sz w:val="16"/>
              </w:rPr>
              <w:t>0.02968</w:t>
            </w:r>
          </w:p>
        </w:tc>
      </w:tr>
      <w:tr>
        <w:trPr>
          <w:cantSplit/>
        </w:trPr>
        <w:tc>
          <w:tcPr>
            <w:tcW w:type="dxa" w:w="2880"/>
            <w:vAlign w:val="center"/>
            <w:tcMar>
              <w:top w:w="100" w:type="dxa"/>
              <w:start w:w="120" w:type="dxa"/>
              <w:bottom w:w="100" w:type="dxa"/>
              <w:end w:w="120" w:type="dxa"/>
            </w:tcMar>
          </w:tcPr>
          <w:p>
            <w:pPr>
              <w:spacing w:after="0"/>
              <w:jc w:val="left"/>
            </w:pPr>
            <w:r>
              <w:rPr>
                <w:sz w:val="16"/>
              </w:rPr>
              <w:t>Gradient boosting</w:t>
            </w:r>
          </w:p>
        </w:tc>
        <w:tc>
          <w:tcPr>
            <w:tcW w:type="dxa" w:w="1440"/>
            <w:vAlign w:val="center"/>
            <w:tcMar>
              <w:top w:w="100" w:type="dxa"/>
              <w:start w:w="120" w:type="dxa"/>
              <w:bottom w:w="100" w:type="dxa"/>
              <w:end w:w="120" w:type="dxa"/>
            </w:tcMar>
          </w:tcPr>
          <w:p>
            <w:pPr>
              <w:spacing w:after="0"/>
              <w:jc w:val="center"/>
            </w:pPr>
            <w:r>
              <w:rPr>
                <w:sz w:val="16"/>
              </w:rPr>
              <w:t>0.39348</w:t>
            </w:r>
          </w:p>
        </w:tc>
        <w:tc>
          <w:tcPr>
            <w:tcW w:type="dxa" w:w="1440"/>
            <w:vAlign w:val="center"/>
            <w:tcMar>
              <w:top w:w="100" w:type="dxa"/>
              <w:start w:w="120" w:type="dxa"/>
              <w:bottom w:w="100" w:type="dxa"/>
              <w:end w:w="120" w:type="dxa"/>
            </w:tcMar>
          </w:tcPr>
          <w:p>
            <w:pPr>
              <w:spacing w:after="0"/>
              <w:jc w:val="center"/>
            </w:pPr>
            <w:r>
              <w:rPr>
                <w:sz w:val="16"/>
              </w:rPr>
              <w:t>0.11958</w:t>
            </w:r>
          </w:p>
        </w:tc>
        <w:tc>
          <w:tcPr>
            <w:tcW w:type="dxa" w:w="1440"/>
            <w:vAlign w:val="center"/>
            <w:tcMar>
              <w:top w:w="100" w:type="dxa"/>
              <w:start w:w="120" w:type="dxa"/>
              <w:bottom w:w="100" w:type="dxa"/>
              <w:end w:w="120" w:type="dxa"/>
            </w:tcMar>
          </w:tcPr>
          <w:p>
            <w:pPr>
              <w:spacing w:after="0"/>
              <w:jc w:val="center"/>
            </w:pPr>
            <w:r>
              <w:rPr>
                <w:sz w:val="16"/>
              </w:rPr>
              <w:t>0.64934</w:t>
            </w:r>
          </w:p>
        </w:tc>
        <w:tc>
          <w:tcPr>
            <w:tcW w:type="dxa" w:w="1584"/>
            <w:vAlign w:val="center"/>
            <w:tcMar>
              <w:top w:w="100" w:type="dxa"/>
              <w:start w:w="120" w:type="dxa"/>
              <w:bottom w:w="100" w:type="dxa"/>
              <w:end w:w="120" w:type="dxa"/>
            </w:tcMar>
          </w:tcPr>
          <w:p>
            <w:pPr>
              <w:spacing w:after="0"/>
              <w:jc w:val="center"/>
            </w:pPr>
            <w:r>
              <w:rPr>
                <w:sz w:val="16"/>
              </w:rPr>
              <w:t>0.22044</w:t>
            </w:r>
          </w:p>
        </w:tc>
        <w:tc>
          <w:tcPr>
            <w:tcW w:type="dxa" w:w="1296"/>
            <w:vAlign w:val="center"/>
            <w:tcMar>
              <w:top w:w="100" w:type="dxa"/>
              <w:start w:w="120" w:type="dxa"/>
              <w:bottom w:w="100" w:type="dxa"/>
              <w:end w:w="120" w:type="dxa"/>
            </w:tcMar>
          </w:tcPr>
          <w:p>
            <w:pPr>
              <w:spacing w:after="0"/>
              <w:jc w:val="center"/>
            </w:pPr>
            <w:r>
              <w:rPr>
                <w:sz w:val="16"/>
              </w:rPr>
              <w:t>0.01608</w:t>
            </w:r>
          </w:p>
        </w:tc>
      </w:tr>
    </w:tbl>
    <w:p>
      <w:pPr>
        <w:spacing w:after="20"/>
      </w:pPr>
    </w:p>
    <w:p>
      <w:r>
        <w:t>Lower log loss and Brier score mean better probability predictions. ROC AUC measures ranking ability: the boosting value of 0.649 means that, for a randomly selected error and non-error example, the model ranks the error as more likely about 65 percent of the time. Average precision focuses on the rarer positive class, while ECE summarizes calibration error across probability bins.</w:t>
      </w:r>
    </w:p>
    <w:tbl>
      <w:tblPr>
        <w:tblStyle w:val="TableGrid"/>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cantSplit/>
        </w:trPr>
        <w:tc>
          <w:tcPr>
            <w:tcW w:type="dxa" w:w="1800"/>
            <w:shd w:fill="17365D"/>
            <w:vAlign w:val="center"/>
            <w:tcMar>
              <w:top w:w="100" w:type="dxa"/>
              <w:start w:w="120" w:type="dxa"/>
              <w:bottom w:w="100" w:type="dxa"/>
              <w:end w:w="120" w:type="dxa"/>
            </w:tcMar>
          </w:tcPr>
          <w:p>
            <w:pPr>
              <w:keepNext/>
              <w:jc w:val="center"/>
            </w:pPr>
            <w:r>
              <w:rPr>
                <w:b/>
                <w:color w:val="FFFFFF"/>
                <w:sz w:val="14"/>
              </w:rPr>
              <w:t>Model class</w:t>
            </w:r>
          </w:p>
        </w:tc>
        <w:tc>
          <w:tcPr>
            <w:tcW w:type="dxa" w:w="1152"/>
            <w:shd w:fill="17365D"/>
            <w:vAlign w:val="center"/>
            <w:tcMar>
              <w:top w:w="100" w:type="dxa"/>
              <w:start w:w="120" w:type="dxa"/>
              <w:bottom w:w="100" w:type="dxa"/>
              <w:end w:w="120" w:type="dxa"/>
            </w:tcMar>
          </w:tcPr>
          <w:p>
            <w:pPr>
              <w:keepNext/>
              <w:jc w:val="center"/>
            </w:pPr>
            <w:r>
              <w:rPr>
                <w:b/>
                <w:color w:val="FFFFFF"/>
                <w:sz w:val="14"/>
              </w:rPr>
              <w:t>Personal</w:t>
            </w:r>
          </w:p>
        </w:tc>
        <w:tc>
          <w:tcPr>
            <w:tcW w:type="dxa" w:w="1224"/>
            <w:shd w:fill="17365D"/>
            <w:vAlign w:val="center"/>
            <w:tcMar>
              <w:top w:w="100" w:type="dxa"/>
              <w:start w:w="120" w:type="dxa"/>
              <w:bottom w:w="100" w:type="dxa"/>
              <w:end w:w="120" w:type="dxa"/>
            </w:tcMar>
          </w:tcPr>
          <w:p>
            <w:pPr>
              <w:keepNext/>
              <w:jc w:val="center"/>
            </w:pPr>
            <w:r>
              <w:rPr>
                <w:b/>
                <w:color w:val="FFFFFF"/>
                <w:sz w:val="14"/>
              </w:rPr>
              <w:t>Population</w:t>
            </w:r>
          </w:p>
        </w:tc>
        <w:tc>
          <w:tcPr>
            <w:tcW w:type="dxa" w:w="1655"/>
            <w:shd w:fill="17365D"/>
            <w:vAlign w:val="center"/>
            <w:tcMar>
              <w:top w:w="100" w:type="dxa"/>
              <w:start w:w="120" w:type="dxa"/>
              <w:bottom w:w="100" w:type="dxa"/>
              <w:end w:w="120" w:type="dxa"/>
            </w:tcMar>
          </w:tcPr>
          <w:p>
            <w:pPr>
              <w:keepNext/>
              <w:jc w:val="center"/>
            </w:pPr>
            <w:r>
              <w:rPr>
                <w:b/>
                <w:color w:val="FFFFFF"/>
                <w:sz w:val="14"/>
              </w:rPr>
              <w:t>Personal minus population</w:t>
            </w:r>
          </w:p>
        </w:tc>
        <w:tc>
          <w:tcPr>
            <w:tcW w:type="dxa" w:w="2664"/>
            <w:shd w:fill="17365D"/>
            <w:vAlign w:val="center"/>
            <w:tcMar>
              <w:top w:w="100" w:type="dxa"/>
              <w:start w:w="120" w:type="dxa"/>
              <w:bottom w:w="100" w:type="dxa"/>
              <w:end w:w="120" w:type="dxa"/>
            </w:tcMar>
          </w:tcPr>
          <w:p>
            <w:pPr>
              <w:keepNext/>
              <w:jc w:val="center"/>
            </w:pPr>
            <w:r>
              <w:rPr>
                <w:b/>
                <w:color w:val="FFFFFF"/>
                <w:sz w:val="14"/>
              </w:rPr>
              <w:t>95% game-bootstrap interval</w:t>
            </w:r>
          </w:p>
        </w:tc>
        <w:tc>
          <w:tcPr>
            <w:tcW w:type="dxa" w:w="1584"/>
            <w:shd w:fill="17365D"/>
            <w:vAlign w:val="center"/>
            <w:tcMar>
              <w:top w:w="100" w:type="dxa"/>
              <w:start w:w="120" w:type="dxa"/>
              <w:bottom w:w="100" w:type="dxa"/>
              <w:end w:w="120" w:type="dxa"/>
            </w:tcMar>
          </w:tcPr>
          <w:p>
            <w:pPr>
              <w:keepNext/>
              <w:jc w:val="center"/>
            </w:pPr>
            <w:r>
              <w:rPr>
                <w:b/>
                <w:color w:val="FFFFFF"/>
                <w:sz w:val="14"/>
              </w:rPr>
              <w:t>Finding</w:t>
            </w:r>
          </w:p>
        </w:tc>
      </w:tr>
      <w:tr>
        <w:trPr>
          <w:cantSplit/>
        </w:trPr>
        <w:tc>
          <w:tcPr>
            <w:tcW w:type="dxa" w:w="1800"/>
            <w:vAlign w:val="center"/>
            <w:tcMar>
              <w:top w:w="100" w:type="dxa"/>
              <w:start w:w="120" w:type="dxa"/>
              <w:bottom w:w="100" w:type="dxa"/>
              <w:end w:w="120" w:type="dxa"/>
            </w:tcMar>
          </w:tcPr>
          <w:p>
            <w:pPr>
              <w:spacing w:after="0"/>
              <w:jc w:val="left"/>
            </w:pPr>
            <w:r>
              <w:rPr>
                <w:sz w:val="14"/>
              </w:rPr>
              <w:t>Logistic</w:t>
            </w:r>
          </w:p>
        </w:tc>
        <w:tc>
          <w:tcPr>
            <w:tcW w:type="dxa" w:w="1152"/>
            <w:vAlign w:val="center"/>
            <w:tcMar>
              <w:top w:w="100" w:type="dxa"/>
              <w:start w:w="120" w:type="dxa"/>
              <w:bottom w:w="100" w:type="dxa"/>
              <w:end w:w="120" w:type="dxa"/>
            </w:tcMar>
          </w:tcPr>
          <w:p>
            <w:pPr>
              <w:spacing w:after="0"/>
              <w:jc w:val="center"/>
            </w:pPr>
            <w:r>
              <w:rPr>
                <w:sz w:val="14"/>
              </w:rPr>
              <w:t>0.40499</w:t>
            </w:r>
          </w:p>
        </w:tc>
        <w:tc>
          <w:tcPr>
            <w:tcW w:type="dxa" w:w="1224"/>
            <w:vAlign w:val="center"/>
            <w:tcMar>
              <w:top w:w="100" w:type="dxa"/>
              <w:start w:w="120" w:type="dxa"/>
              <w:bottom w:w="100" w:type="dxa"/>
              <w:end w:w="120" w:type="dxa"/>
            </w:tcMar>
          </w:tcPr>
          <w:p>
            <w:pPr>
              <w:spacing w:after="0"/>
              <w:jc w:val="center"/>
            </w:pPr>
            <w:r>
              <w:rPr>
                <w:sz w:val="14"/>
              </w:rPr>
              <w:t>0.40299</w:t>
            </w:r>
          </w:p>
        </w:tc>
        <w:tc>
          <w:tcPr>
            <w:tcW w:type="dxa" w:w="1655"/>
            <w:vAlign w:val="center"/>
            <w:tcMar>
              <w:top w:w="100" w:type="dxa"/>
              <w:start w:w="120" w:type="dxa"/>
              <w:bottom w:w="100" w:type="dxa"/>
              <w:end w:w="120" w:type="dxa"/>
            </w:tcMar>
          </w:tcPr>
          <w:p>
            <w:pPr>
              <w:spacing w:after="0"/>
              <w:jc w:val="center"/>
            </w:pPr>
            <w:r>
              <w:rPr>
                <w:sz w:val="14"/>
              </w:rPr>
              <w:t>+0.00200</w:t>
            </w:r>
          </w:p>
        </w:tc>
        <w:tc>
          <w:tcPr>
            <w:tcW w:type="dxa" w:w="2664"/>
            <w:vAlign w:val="center"/>
            <w:tcMar>
              <w:top w:w="100" w:type="dxa"/>
              <w:start w:w="120" w:type="dxa"/>
              <w:bottom w:w="100" w:type="dxa"/>
              <w:end w:w="120" w:type="dxa"/>
            </w:tcMar>
          </w:tcPr>
          <w:p>
            <w:pPr>
              <w:spacing w:after="0"/>
              <w:jc w:val="center"/>
            </w:pPr>
            <w:r>
              <w:rPr>
                <w:sz w:val="14"/>
              </w:rPr>
              <w:t>+0.00025 to +0.00368</w:t>
            </w:r>
          </w:p>
        </w:tc>
        <w:tc>
          <w:tcPr>
            <w:tcW w:type="dxa" w:w="1584"/>
            <w:vAlign w:val="center"/>
            <w:tcMar>
              <w:top w:w="100" w:type="dxa"/>
              <w:start w:w="120" w:type="dxa"/>
              <w:bottom w:w="100" w:type="dxa"/>
              <w:end w:w="120" w:type="dxa"/>
            </w:tcMar>
          </w:tcPr>
          <w:p>
            <w:pPr>
              <w:spacing w:after="0"/>
              <w:jc w:val="center"/>
            </w:pPr>
            <w:r>
              <w:rPr>
                <w:sz w:val="14"/>
              </w:rPr>
              <w:t>Population better</w:t>
            </w:r>
          </w:p>
        </w:tc>
      </w:tr>
      <w:tr>
        <w:trPr>
          <w:cantSplit/>
        </w:trPr>
        <w:tc>
          <w:tcPr>
            <w:tcW w:type="dxa" w:w="1800"/>
            <w:vAlign w:val="center"/>
            <w:tcMar>
              <w:top w:w="100" w:type="dxa"/>
              <w:start w:w="120" w:type="dxa"/>
              <w:bottom w:w="100" w:type="dxa"/>
              <w:end w:w="120" w:type="dxa"/>
            </w:tcMar>
            <w:shd w:fill="F3F7FB"/>
          </w:tcPr>
          <w:p>
            <w:pPr>
              <w:spacing w:after="0"/>
              <w:jc w:val="left"/>
            </w:pPr>
            <w:r>
              <w:rPr>
                <w:sz w:val="14"/>
              </w:rPr>
              <w:t>Hierarchical</w:t>
            </w:r>
          </w:p>
        </w:tc>
        <w:tc>
          <w:tcPr>
            <w:tcW w:type="dxa" w:w="1152"/>
            <w:vAlign w:val="center"/>
            <w:tcMar>
              <w:top w:w="100" w:type="dxa"/>
              <w:start w:w="120" w:type="dxa"/>
              <w:bottom w:w="100" w:type="dxa"/>
              <w:end w:w="120" w:type="dxa"/>
            </w:tcMar>
            <w:shd w:fill="F3F7FB"/>
          </w:tcPr>
          <w:p>
            <w:pPr>
              <w:spacing w:after="0"/>
              <w:jc w:val="center"/>
            </w:pPr>
            <w:r>
              <w:rPr>
                <w:sz w:val="14"/>
              </w:rPr>
              <w:t>0.40471</w:t>
            </w:r>
          </w:p>
        </w:tc>
        <w:tc>
          <w:tcPr>
            <w:tcW w:type="dxa" w:w="1224"/>
            <w:vAlign w:val="center"/>
            <w:tcMar>
              <w:top w:w="100" w:type="dxa"/>
              <w:start w:w="120" w:type="dxa"/>
              <w:bottom w:w="100" w:type="dxa"/>
              <w:end w:w="120" w:type="dxa"/>
            </w:tcMar>
            <w:shd w:fill="F3F7FB"/>
          </w:tcPr>
          <w:p>
            <w:pPr>
              <w:spacing w:after="0"/>
              <w:jc w:val="center"/>
            </w:pPr>
            <w:r>
              <w:rPr>
                <w:sz w:val="14"/>
              </w:rPr>
              <w:t>0.40291</w:t>
            </w:r>
          </w:p>
        </w:tc>
        <w:tc>
          <w:tcPr>
            <w:tcW w:type="dxa" w:w="1655"/>
            <w:vAlign w:val="center"/>
            <w:tcMar>
              <w:top w:w="100" w:type="dxa"/>
              <w:start w:w="120" w:type="dxa"/>
              <w:bottom w:w="100" w:type="dxa"/>
              <w:end w:w="120" w:type="dxa"/>
            </w:tcMar>
            <w:shd w:fill="F3F7FB"/>
          </w:tcPr>
          <w:p>
            <w:pPr>
              <w:spacing w:after="0"/>
              <w:jc w:val="center"/>
            </w:pPr>
            <w:r>
              <w:rPr>
                <w:sz w:val="14"/>
              </w:rPr>
              <w:t>+0.00180</w:t>
            </w:r>
          </w:p>
        </w:tc>
        <w:tc>
          <w:tcPr>
            <w:tcW w:type="dxa" w:w="2664"/>
            <w:vAlign w:val="center"/>
            <w:tcMar>
              <w:top w:w="100" w:type="dxa"/>
              <w:start w:w="120" w:type="dxa"/>
              <w:bottom w:w="100" w:type="dxa"/>
              <w:end w:w="120" w:type="dxa"/>
            </w:tcMar>
            <w:shd w:fill="F3F7FB"/>
          </w:tcPr>
          <w:p>
            <w:pPr>
              <w:spacing w:after="0"/>
              <w:jc w:val="center"/>
            </w:pPr>
            <w:r>
              <w:rPr>
                <w:sz w:val="14"/>
              </w:rPr>
              <w:t>+0.00038 to +0.00313</w:t>
            </w:r>
          </w:p>
        </w:tc>
        <w:tc>
          <w:tcPr>
            <w:tcW w:type="dxa" w:w="1584"/>
            <w:vAlign w:val="center"/>
            <w:tcMar>
              <w:top w:w="100" w:type="dxa"/>
              <w:start w:w="120" w:type="dxa"/>
              <w:bottom w:w="100" w:type="dxa"/>
              <w:end w:w="120" w:type="dxa"/>
            </w:tcMar>
            <w:shd w:fill="F3F7FB"/>
          </w:tcPr>
          <w:p>
            <w:pPr>
              <w:spacing w:after="0"/>
              <w:jc w:val="center"/>
            </w:pPr>
            <w:r>
              <w:rPr>
                <w:sz w:val="14"/>
              </w:rPr>
              <w:t>Population better</w:t>
            </w:r>
          </w:p>
        </w:tc>
      </w:tr>
      <w:tr>
        <w:trPr>
          <w:cantSplit/>
        </w:trPr>
        <w:tc>
          <w:tcPr>
            <w:tcW w:type="dxa" w:w="1800"/>
            <w:vAlign w:val="center"/>
            <w:tcMar>
              <w:top w:w="100" w:type="dxa"/>
              <w:start w:w="120" w:type="dxa"/>
              <w:bottom w:w="100" w:type="dxa"/>
              <w:end w:w="120" w:type="dxa"/>
            </w:tcMar>
          </w:tcPr>
          <w:p>
            <w:pPr>
              <w:spacing w:after="0"/>
              <w:jc w:val="left"/>
            </w:pPr>
            <w:r>
              <w:rPr>
                <w:sz w:val="14"/>
              </w:rPr>
              <w:t>Gradient boosting</w:t>
            </w:r>
          </w:p>
        </w:tc>
        <w:tc>
          <w:tcPr>
            <w:tcW w:type="dxa" w:w="1152"/>
            <w:vAlign w:val="center"/>
            <w:tcMar>
              <w:top w:w="100" w:type="dxa"/>
              <w:start w:w="120" w:type="dxa"/>
              <w:bottom w:w="100" w:type="dxa"/>
              <w:end w:w="120" w:type="dxa"/>
            </w:tcMar>
          </w:tcPr>
          <w:p>
            <w:pPr>
              <w:spacing w:after="0"/>
              <w:jc w:val="center"/>
            </w:pPr>
            <w:r>
              <w:rPr>
                <w:sz w:val="14"/>
              </w:rPr>
              <w:t>0.39348</w:t>
            </w:r>
          </w:p>
        </w:tc>
        <w:tc>
          <w:tcPr>
            <w:tcW w:type="dxa" w:w="1224"/>
            <w:vAlign w:val="center"/>
            <w:tcMar>
              <w:top w:w="100" w:type="dxa"/>
              <w:start w:w="120" w:type="dxa"/>
              <w:bottom w:w="100" w:type="dxa"/>
              <w:end w:w="120" w:type="dxa"/>
            </w:tcMar>
          </w:tcPr>
          <w:p>
            <w:pPr>
              <w:spacing w:after="0"/>
              <w:jc w:val="center"/>
            </w:pPr>
            <w:r>
              <w:rPr>
                <w:sz w:val="14"/>
              </w:rPr>
              <w:t>0.40004</w:t>
            </w:r>
          </w:p>
        </w:tc>
        <w:tc>
          <w:tcPr>
            <w:tcW w:type="dxa" w:w="1655"/>
            <w:vAlign w:val="center"/>
            <w:tcMar>
              <w:top w:w="100" w:type="dxa"/>
              <w:start w:w="120" w:type="dxa"/>
              <w:bottom w:w="100" w:type="dxa"/>
              <w:end w:w="120" w:type="dxa"/>
            </w:tcMar>
          </w:tcPr>
          <w:p>
            <w:pPr>
              <w:spacing w:after="0"/>
              <w:jc w:val="center"/>
            </w:pPr>
            <w:r>
              <w:rPr>
                <w:sz w:val="14"/>
              </w:rPr>
              <w:t>-0.00656</w:t>
            </w:r>
          </w:p>
        </w:tc>
        <w:tc>
          <w:tcPr>
            <w:tcW w:type="dxa" w:w="2664"/>
            <w:vAlign w:val="center"/>
            <w:tcMar>
              <w:top w:w="100" w:type="dxa"/>
              <w:start w:w="120" w:type="dxa"/>
              <w:bottom w:w="100" w:type="dxa"/>
              <w:end w:w="120" w:type="dxa"/>
            </w:tcMar>
          </w:tcPr>
          <w:p>
            <w:pPr>
              <w:spacing w:after="0"/>
              <w:jc w:val="center"/>
            </w:pPr>
            <w:r>
              <w:rPr>
                <w:sz w:val="14"/>
              </w:rPr>
              <w:t>-0.01081 to -0.00198</w:t>
            </w:r>
          </w:p>
        </w:tc>
        <w:tc>
          <w:tcPr>
            <w:tcW w:type="dxa" w:w="1584"/>
            <w:vAlign w:val="center"/>
            <w:tcMar>
              <w:top w:w="100" w:type="dxa"/>
              <w:start w:w="120" w:type="dxa"/>
              <w:bottom w:w="100" w:type="dxa"/>
              <w:end w:w="120" w:type="dxa"/>
            </w:tcMar>
          </w:tcPr>
          <w:p>
            <w:pPr>
              <w:spacing w:after="0"/>
              <w:jc w:val="center"/>
            </w:pPr>
            <w:r>
              <w:rPr>
                <w:sz w:val="14"/>
              </w:rPr>
              <w:t>Personal better</w:t>
            </w:r>
          </w:p>
        </w:tc>
      </w:tr>
    </w:tbl>
    <w:p>
      <w:pPr>
        <w:spacing w:after="20"/>
      </w:pPr>
    </w:p>
    <w:p>
      <w:r>
        <w:t>The central result is nuanced. Personal history did not automatically help. Both linear personal models were slightly worse than population versions on the same future Yash positions. Only nonlinear gradient boosting converted the personal history into a statistically supported improvement. A 2,000-replicate paired bootstrap over whole games estimated a 99.9 percent probability that personalized boosting was better than population boosting on this test.</w:t>
      </w:r>
    </w:p>
    <w:p>
      <w:r>
        <w:t>Post-hoc ablations removed rating and time proxies. The personal boosting advantage persisted without player rating and rating difference, and also without rating plus fullmove number. These checks are consistent with nonlinear position-dependent personal tendencies, but they are exploratory because they were run after inspecting the primary result.</w:t>
      </w:r>
    </w:p>
    <w:p>
      <w:pPr>
        <w:pStyle w:val="Heading2"/>
      </w:pPr>
      <w:r>
        <w:t>10  Player growth and concept drift</w:t>
      </w:r>
    </w:p>
    <w:p>
      <w:pPr>
        <w:keepNext/>
        <w:jc w:val="center"/>
      </w:pPr>
      <w:r>
        <w:drawing>
          <wp:inline xmlns:a="http://schemas.openxmlformats.org/drawingml/2006/main" xmlns:pic="http://schemas.openxmlformats.org/drawingml/2006/picture">
            <wp:extent cx="6035040" cy="2801983"/>
            <wp:docPr id="5" name="Picture 5" descr="Figure 5  Rating drift across chronological partitions; vertical lines show observed ranges"/>
            <wp:cNvGraphicFramePr>
              <a:graphicFrameLocks noChangeAspect="1"/>
            </wp:cNvGraphicFramePr>
            <a:graphic>
              <a:graphicData uri="http://schemas.openxmlformats.org/drawingml/2006/picture">
                <pic:pic>
                  <pic:nvPicPr>
                    <pic:cNvPr id="0" name="rating_drift.png"/>
                    <pic:cNvPicPr/>
                  </pic:nvPicPr>
                  <pic:blipFill>
                    <a:blip r:embed="rId14"/>
                    <a:stretch>
                      <a:fillRect/>
                    </a:stretch>
                  </pic:blipFill>
                  <pic:spPr>
                    <a:xfrm>
                      <a:off x="0" y="0"/>
                      <a:ext cx="6035040" cy="2801983"/>
                    </a:xfrm>
                    <a:prstGeom prst="rect"/>
                  </pic:spPr>
                </pic:pic>
              </a:graphicData>
            </a:graphic>
          </wp:inline>
        </w:drawing>
      </w:r>
    </w:p>
    <w:p>
      <w:pPr>
        <w:keepNext w:val="0"/>
        <w:jc w:val="center"/>
      </w:pPr>
      <w:r>
        <w:rPr>
          <w:i/>
          <w:color w:val="595959"/>
          <w:sz w:val="17"/>
        </w:rPr>
        <w:t>Figure 5  Rating drift across chronological partitions; vertical lines show observed ranges</w:t>
      </w:r>
    </w:p>
    <w:p>
      <w:r>
        <w:t>The training and test periods do not describe a stationary player. Mean rating increased by about 414 points, and the maximum training rating of 950 is below the minimum test rating of 1,056. A lifetime profile therefore combines early, intermediate, and later versions of the player.</w:t>
      </w:r>
    </w:p>
    <w:p>
      <w:r>
        <w:t>Chronological testing was still the correct primary choice because a random split would leak later-strength behavior into training and answer an easier question. The cost is that the experiment tests forward personalization under improvement rather than interpolation within a stable player state.</w:t>
      </w:r>
    </w:p>
    <w:p>
      <w:r>
        <w:t>The nonlinear model did not eliminate growth. It handled the mixture better by learning conditional regimes: a feature can matter differently in a tense middlegame than in a quiet ending, or at different ratings and material structures. Tree models still cannot smoothly extrapolate beyond observed rating thresholds, and the selected model probably retains obsolete information.</w:t>
      </w:r>
    </w:p>
    <w:p>
      <w:r>
        <w:t>The population data are also heterogeneous, but the population model estimates general relationships between position types and human error rather than one fictional combined person. Variation can average into a stable baseline. Personalization must learn tendencies that are specific to the player and remain present in future play, which is a stricter requirement.</w:t>
      </w:r>
    </w:p>
    <w:p>
      <w:pPr>
        <w:pStyle w:val="Heading3"/>
      </w:pPr>
      <w:r>
        <w:t>10.1 Lifetime, recent, decayed, and online comparison</w:t>
      </w:r>
    </w:p>
    <w:p>
      <w:r>
        <w:t>A follow-up experiment compared five history strategies with the same boosting model. Window sizes and decay rates were selected on validation only. Recent training used the latest 200 games, time decay used a 400-game half-life, and the online arm predicted 20-game batches before adding each completed batch to its history.</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2880"/>
            <w:shd w:fill="17365D"/>
            <w:vAlign w:val="center"/>
            <w:tcMar>
              <w:top w:w="100" w:type="dxa"/>
              <w:start w:w="120" w:type="dxa"/>
              <w:bottom w:w="100" w:type="dxa"/>
              <w:end w:w="120" w:type="dxa"/>
            </w:tcMar>
          </w:tcPr>
          <w:p>
            <w:pPr>
              <w:keepNext/>
              <w:jc w:val="center"/>
            </w:pPr>
            <w:r>
              <w:rPr>
                <w:b/>
                <w:color w:val="FFFFFF"/>
                <w:sz w:val="16"/>
              </w:rPr>
              <w:t>History strategy</w:t>
            </w:r>
          </w:p>
        </w:tc>
        <w:tc>
          <w:tcPr>
            <w:tcW w:type="dxa" w:w="1440"/>
            <w:shd w:fill="17365D"/>
            <w:vAlign w:val="center"/>
            <w:tcMar>
              <w:top w:w="100" w:type="dxa"/>
              <w:start w:w="120" w:type="dxa"/>
              <w:bottom w:w="100" w:type="dxa"/>
              <w:end w:w="120" w:type="dxa"/>
            </w:tcMar>
          </w:tcPr>
          <w:p>
            <w:pPr>
              <w:keepNext/>
              <w:jc w:val="center"/>
            </w:pPr>
            <w:r>
              <w:rPr>
                <w:b/>
                <w:color w:val="FFFFFF"/>
                <w:sz w:val="16"/>
              </w:rPr>
              <w:t>Log loss</w:t>
            </w:r>
          </w:p>
        </w:tc>
        <w:tc>
          <w:tcPr>
            <w:tcW w:type="dxa" w:w="1440"/>
            <w:shd w:fill="17365D"/>
            <w:vAlign w:val="center"/>
            <w:tcMar>
              <w:top w:w="100" w:type="dxa"/>
              <w:start w:w="120" w:type="dxa"/>
              <w:bottom w:w="100" w:type="dxa"/>
              <w:end w:w="120" w:type="dxa"/>
            </w:tcMar>
          </w:tcPr>
          <w:p>
            <w:pPr>
              <w:keepNext/>
              <w:jc w:val="center"/>
            </w:pPr>
            <w:r>
              <w:rPr>
                <w:b/>
                <w:color w:val="FFFFFF"/>
                <w:sz w:val="16"/>
              </w:rPr>
              <w:t>ROC AUC</w:t>
            </w:r>
          </w:p>
        </w:tc>
        <w:tc>
          <w:tcPr>
            <w:tcW w:type="dxa" w:w="4320"/>
            <w:shd w:fill="17365D"/>
            <w:vAlign w:val="center"/>
            <w:tcMar>
              <w:top w:w="100" w:type="dxa"/>
              <w:start w:w="120" w:type="dxa"/>
              <w:bottom w:w="100" w:type="dxa"/>
              <w:end w:w="120" w:type="dxa"/>
            </w:tcMar>
          </w:tcPr>
          <w:p>
            <w:pPr>
              <w:keepNext/>
              <w:jc w:val="center"/>
            </w:pPr>
            <w:r>
              <w:rPr>
                <w:b/>
                <w:color w:val="FFFFFF"/>
                <w:sz w:val="16"/>
              </w:rPr>
              <w:t>Meaning</w:t>
            </w:r>
          </w:p>
        </w:tc>
      </w:tr>
      <w:tr>
        <w:trPr>
          <w:cantSplit/>
        </w:trPr>
        <w:tc>
          <w:tcPr>
            <w:tcW w:type="dxa" w:w="2880"/>
            <w:vAlign w:val="center"/>
            <w:tcMar>
              <w:top w:w="100" w:type="dxa"/>
              <w:start w:w="120" w:type="dxa"/>
              <w:bottom w:w="100" w:type="dxa"/>
              <w:end w:w="120" w:type="dxa"/>
            </w:tcMar>
          </w:tcPr>
          <w:p>
            <w:pPr>
              <w:spacing w:after="0"/>
              <w:jc w:val="left"/>
            </w:pPr>
            <w:r>
              <w:rPr>
                <w:sz w:val="16"/>
              </w:rPr>
              <w:t>Population</w:t>
            </w:r>
          </w:p>
        </w:tc>
        <w:tc>
          <w:tcPr>
            <w:tcW w:type="dxa" w:w="1440"/>
            <w:vAlign w:val="center"/>
            <w:tcMar>
              <w:top w:w="100" w:type="dxa"/>
              <w:start w:w="120" w:type="dxa"/>
              <w:bottom w:w="100" w:type="dxa"/>
              <w:end w:w="120" w:type="dxa"/>
            </w:tcMar>
          </w:tcPr>
          <w:p>
            <w:pPr>
              <w:spacing w:after="0"/>
              <w:jc w:val="center"/>
            </w:pPr>
            <w:r>
              <w:rPr>
                <w:sz w:val="16"/>
              </w:rPr>
              <w:t>0.40004</w:t>
            </w:r>
          </w:p>
        </w:tc>
        <w:tc>
          <w:tcPr>
            <w:tcW w:type="dxa" w:w="1440"/>
            <w:vAlign w:val="center"/>
            <w:tcMar>
              <w:top w:w="100" w:type="dxa"/>
              <w:start w:w="120" w:type="dxa"/>
              <w:bottom w:w="100" w:type="dxa"/>
              <w:end w:w="120" w:type="dxa"/>
            </w:tcMar>
          </w:tcPr>
          <w:p>
            <w:pPr>
              <w:spacing w:after="0"/>
              <w:jc w:val="center"/>
            </w:pPr>
            <w:r>
              <w:rPr>
                <w:sz w:val="16"/>
              </w:rPr>
              <w:t>0.62223</w:t>
            </w:r>
          </w:p>
        </w:tc>
        <w:tc>
          <w:tcPr>
            <w:tcW w:type="dxa" w:w="4320"/>
            <w:vAlign w:val="center"/>
            <w:tcMar>
              <w:top w:w="100" w:type="dxa"/>
              <w:start w:w="120" w:type="dxa"/>
              <w:bottom w:w="100" w:type="dxa"/>
              <w:end w:w="120" w:type="dxa"/>
            </w:tcMar>
          </w:tcPr>
          <w:p>
            <w:pPr>
              <w:spacing w:after="0"/>
              <w:jc w:val="center"/>
            </w:pPr>
            <w:r>
              <w:rPr>
                <w:sz w:val="16"/>
              </w:rPr>
              <w:t>General human-position baseline</w:t>
            </w:r>
          </w:p>
        </w:tc>
      </w:tr>
      <w:tr>
        <w:trPr>
          <w:cantSplit/>
        </w:trPr>
        <w:tc>
          <w:tcPr>
            <w:tcW w:type="dxa" w:w="2880"/>
            <w:vAlign w:val="center"/>
            <w:tcMar>
              <w:top w:w="100" w:type="dxa"/>
              <w:start w:w="120" w:type="dxa"/>
              <w:bottom w:w="100" w:type="dxa"/>
              <w:end w:w="120" w:type="dxa"/>
            </w:tcMar>
            <w:shd w:fill="F3F7FB"/>
          </w:tcPr>
          <w:p>
            <w:pPr>
              <w:spacing w:after="0"/>
              <w:jc w:val="left"/>
            </w:pPr>
            <w:r>
              <w:rPr>
                <w:sz w:val="16"/>
              </w:rPr>
              <w:t>Lifetime personal</w:t>
            </w:r>
          </w:p>
        </w:tc>
        <w:tc>
          <w:tcPr>
            <w:tcW w:type="dxa" w:w="1440"/>
            <w:vAlign w:val="center"/>
            <w:tcMar>
              <w:top w:w="100" w:type="dxa"/>
              <w:start w:w="120" w:type="dxa"/>
              <w:bottom w:w="100" w:type="dxa"/>
              <w:end w:w="120" w:type="dxa"/>
            </w:tcMar>
            <w:shd w:fill="F3F7FB"/>
          </w:tcPr>
          <w:p>
            <w:pPr>
              <w:spacing w:after="0"/>
              <w:jc w:val="center"/>
            </w:pPr>
            <w:r>
              <w:rPr>
                <w:sz w:val="16"/>
              </w:rPr>
              <w:t>0.39348</w:t>
            </w:r>
          </w:p>
        </w:tc>
        <w:tc>
          <w:tcPr>
            <w:tcW w:type="dxa" w:w="1440"/>
            <w:vAlign w:val="center"/>
            <w:tcMar>
              <w:top w:w="100" w:type="dxa"/>
              <w:start w:w="120" w:type="dxa"/>
              <w:bottom w:w="100" w:type="dxa"/>
              <w:end w:w="120" w:type="dxa"/>
            </w:tcMar>
            <w:shd w:fill="F3F7FB"/>
          </w:tcPr>
          <w:p>
            <w:pPr>
              <w:spacing w:after="0"/>
              <w:jc w:val="center"/>
            </w:pPr>
            <w:r>
              <w:rPr>
                <w:sz w:val="16"/>
              </w:rPr>
              <w:t>0.64934</w:t>
            </w:r>
          </w:p>
        </w:tc>
        <w:tc>
          <w:tcPr>
            <w:tcW w:type="dxa" w:w="4320"/>
            <w:vAlign w:val="center"/>
            <w:tcMar>
              <w:top w:w="100" w:type="dxa"/>
              <w:start w:w="120" w:type="dxa"/>
              <w:bottom w:w="100" w:type="dxa"/>
              <w:end w:w="120" w:type="dxa"/>
            </w:tcMar>
            <w:shd w:fill="F3F7FB"/>
          </w:tcPr>
          <w:p>
            <w:pPr>
              <w:spacing w:after="0"/>
              <w:jc w:val="center"/>
            </w:pPr>
            <w:r>
              <w:rPr>
                <w:sz w:val="16"/>
              </w:rPr>
              <w:t>Best validation-selected frozen model</w:t>
            </w:r>
          </w:p>
        </w:tc>
      </w:tr>
      <w:tr>
        <w:trPr>
          <w:cantSplit/>
        </w:trPr>
        <w:tc>
          <w:tcPr>
            <w:tcW w:type="dxa" w:w="2880"/>
            <w:vAlign w:val="center"/>
            <w:tcMar>
              <w:top w:w="100" w:type="dxa"/>
              <w:start w:w="120" w:type="dxa"/>
              <w:bottom w:w="100" w:type="dxa"/>
              <w:end w:w="120" w:type="dxa"/>
            </w:tcMar>
          </w:tcPr>
          <w:p>
            <w:pPr>
              <w:spacing w:after="0"/>
              <w:jc w:val="left"/>
            </w:pPr>
            <w:r>
              <w:rPr>
                <w:sz w:val="16"/>
              </w:rPr>
              <w:t>Recent 200 games</w:t>
            </w:r>
          </w:p>
        </w:tc>
        <w:tc>
          <w:tcPr>
            <w:tcW w:type="dxa" w:w="1440"/>
            <w:vAlign w:val="center"/>
            <w:tcMar>
              <w:top w:w="100" w:type="dxa"/>
              <w:start w:w="120" w:type="dxa"/>
              <w:bottom w:w="100" w:type="dxa"/>
              <w:end w:w="120" w:type="dxa"/>
            </w:tcMar>
          </w:tcPr>
          <w:p>
            <w:pPr>
              <w:spacing w:after="0"/>
              <w:jc w:val="center"/>
            </w:pPr>
            <w:r>
              <w:rPr>
                <w:sz w:val="16"/>
              </w:rPr>
              <w:t>0.40185</w:t>
            </w:r>
          </w:p>
        </w:tc>
        <w:tc>
          <w:tcPr>
            <w:tcW w:type="dxa" w:w="1440"/>
            <w:vAlign w:val="center"/>
            <w:tcMar>
              <w:top w:w="100" w:type="dxa"/>
              <w:start w:w="120" w:type="dxa"/>
              <w:bottom w:w="100" w:type="dxa"/>
              <w:end w:w="120" w:type="dxa"/>
            </w:tcMar>
          </w:tcPr>
          <w:p>
            <w:pPr>
              <w:spacing w:after="0"/>
              <w:jc w:val="center"/>
            </w:pPr>
            <w:r>
              <w:rPr>
                <w:sz w:val="16"/>
              </w:rPr>
              <w:t>0.64797</w:t>
            </w:r>
          </w:p>
        </w:tc>
        <w:tc>
          <w:tcPr>
            <w:tcW w:type="dxa" w:w="4320"/>
            <w:vAlign w:val="center"/>
            <w:tcMar>
              <w:top w:w="100" w:type="dxa"/>
              <w:start w:w="120" w:type="dxa"/>
              <w:bottom w:w="100" w:type="dxa"/>
              <w:end w:w="120" w:type="dxa"/>
            </w:tcMar>
          </w:tcPr>
          <w:p>
            <w:pPr>
              <w:spacing w:after="0"/>
              <w:jc w:val="center"/>
            </w:pPr>
            <w:r>
              <w:rPr>
                <w:sz w:val="16"/>
              </w:rPr>
              <w:t>Hard cutoff lost calibration and sample strength</w:t>
            </w:r>
          </w:p>
        </w:tc>
      </w:tr>
      <w:tr>
        <w:trPr>
          <w:cantSplit/>
        </w:trPr>
        <w:tc>
          <w:tcPr>
            <w:tcW w:type="dxa" w:w="2880"/>
            <w:vAlign w:val="center"/>
            <w:tcMar>
              <w:top w:w="100" w:type="dxa"/>
              <w:start w:w="120" w:type="dxa"/>
              <w:bottom w:w="100" w:type="dxa"/>
              <w:end w:w="120" w:type="dxa"/>
            </w:tcMar>
            <w:shd w:fill="F3F7FB"/>
          </w:tcPr>
          <w:p>
            <w:pPr>
              <w:spacing w:after="0"/>
              <w:jc w:val="left"/>
            </w:pPr>
            <w:r>
              <w:rPr>
                <w:sz w:val="16"/>
              </w:rPr>
              <w:t>Time-decayed</w:t>
            </w:r>
          </w:p>
        </w:tc>
        <w:tc>
          <w:tcPr>
            <w:tcW w:type="dxa" w:w="1440"/>
            <w:vAlign w:val="center"/>
            <w:tcMar>
              <w:top w:w="100" w:type="dxa"/>
              <w:start w:w="120" w:type="dxa"/>
              <w:bottom w:w="100" w:type="dxa"/>
              <w:end w:w="120" w:type="dxa"/>
            </w:tcMar>
            <w:shd w:fill="F3F7FB"/>
          </w:tcPr>
          <w:p>
            <w:pPr>
              <w:spacing w:after="0"/>
              <w:jc w:val="center"/>
            </w:pPr>
            <w:r>
              <w:rPr>
                <w:sz w:val="16"/>
              </w:rPr>
              <w:t>0.39768</w:t>
            </w:r>
          </w:p>
        </w:tc>
        <w:tc>
          <w:tcPr>
            <w:tcW w:type="dxa" w:w="1440"/>
            <w:vAlign w:val="center"/>
            <w:tcMar>
              <w:top w:w="100" w:type="dxa"/>
              <w:start w:w="120" w:type="dxa"/>
              <w:bottom w:w="100" w:type="dxa"/>
              <w:end w:w="120" w:type="dxa"/>
            </w:tcMar>
            <w:shd w:fill="F3F7FB"/>
          </w:tcPr>
          <w:p>
            <w:pPr>
              <w:spacing w:after="0"/>
              <w:jc w:val="center"/>
            </w:pPr>
            <w:r>
              <w:rPr>
                <w:sz w:val="16"/>
              </w:rPr>
              <w:t>0.64526</w:t>
            </w:r>
          </w:p>
        </w:tc>
        <w:tc>
          <w:tcPr>
            <w:tcW w:type="dxa" w:w="4320"/>
            <w:vAlign w:val="center"/>
            <w:tcMar>
              <w:top w:w="100" w:type="dxa"/>
              <w:start w:w="120" w:type="dxa"/>
              <w:bottom w:w="100" w:type="dxa"/>
              <w:end w:w="120" w:type="dxa"/>
            </w:tcMar>
            <w:shd w:fill="F3F7FB"/>
          </w:tcPr>
          <w:p>
            <w:pPr>
              <w:spacing w:after="0"/>
              <w:jc w:val="center"/>
            </w:pPr>
            <w:r>
              <w:rPr>
                <w:sz w:val="16"/>
              </w:rPr>
              <w:t>Gentler than a cutoff, but below lifetime</w:t>
            </w:r>
          </w:p>
        </w:tc>
      </w:tr>
      <w:tr>
        <w:trPr>
          <w:cantSplit/>
        </w:trPr>
        <w:tc>
          <w:tcPr>
            <w:tcW w:type="dxa" w:w="2880"/>
            <w:vAlign w:val="center"/>
            <w:tcMar>
              <w:top w:w="100" w:type="dxa"/>
              <w:start w:w="120" w:type="dxa"/>
              <w:bottom w:w="100" w:type="dxa"/>
              <w:end w:w="120" w:type="dxa"/>
            </w:tcMar>
          </w:tcPr>
          <w:p>
            <w:pPr>
              <w:spacing w:after="0"/>
              <w:jc w:val="left"/>
            </w:pPr>
            <w:r>
              <w:rPr>
                <w:sz w:val="16"/>
              </w:rPr>
              <w:t>Online 20-game updates</w:t>
            </w:r>
          </w:p>
        </w:tc>
        <w:tc>
          <w:tcPr>
            <w:tcW w:type="dxa" w:w="1440"/>
            <w:vAlign w:val="center"/>
            <w:tcMar>
              <w:top w:w="100" w:type="dxa"/>
              <w:start w:w="120" w:type="dxa"/>
              <w:bottom w:w="100" w:type="dxa"/>
              <w:end w:w="120" w:type="dxa"/>
            </w:tcMar>
          </w:tcPr>
          <w:p>
            <w:pPr>
              <w:spacing w:after="0"/>
              <w:jc w:val="center"/>
            </w:pPr>
            <w:r>
              <w:rPr>
                <w:sz w:val="16"/>
              </w:rPr>
              <w:t>0.39048</w:t>
            </w:r>
          </w:p>
        </w:tc>
        <w:tc>
          <w:tcPr>
            <w:tcW w:type="dxa" w:w="1440"/>
            <w:vAlign w:val="center"/>
            <w:tcMar>
              <w:top w:w="100" w:type="dxa"/>
              <w:start w:w="120" w:type="dxa"/>
              <w:bottom w:w="100" w:type="dxa"/>
              <w:end w:w="120" w:type="dxa"/>
            </w:tcMar>
          </w:tcPr>
          <w:p>
            <w:pPr>
              <w:spacing w:after="0"/>
              <w:jc w:val="center"/>
            </w:pPr>
            <w:r>
              <w:rPr>
                <w:sz w:val="16"/>
              </w:rPr>
              <w:t>0.66229</w:t>
            </w:r>
          </w:p>
        </w:tc>
        <w:tc>
          <w:tcPr>
            <w:tcW w:type="dxa" w:w="4320"/>
            <w:vAlign w:val="center"/>
            <w:tcMar>
              <w:top w:w="100" w:type="dxa"/>
              <w:start w:w="120" w:type="dxa"/>
              <w:bottom w:w="100" w:type="dxa"/>
              <w:end w:w="120" w:type="dxa"/>
            </w:tcMar>
          </w:tcPr>
          <w:p>
            <w:pPr>
              <w:spacing w:after="0"/>
              <w:jc w:val="center"/>
            </w:pPr>
            <w:r>
              <w:rPr>
                <w:sz w:val="16"/>
              </w:rPr>
              <w:t>Best forward prediction; retrains after completed batches</w:t>
            </w:r>
          </w:p>
        </w:tc>
      </w:tr>
    </w:tbl>
    <w:p>
      <w:pPr>
        <w:spacing w:after="20"/>
      </w:pPr>
    </w:p>
    <w:p>
      <w:r>
        <w:t>The data do not support discarding older history for this corpus. Lifetime boosting beat the recent and decayed frozen variants, while online updating was best overall and beat population by -0.00956 log loss with a 95 percent game-bootstrap interval from -0.01343 to -0.00543. The practical interpretation is to retain broad lifetime signal and refresh it as newly labeled games arrive. Because online updating is a process rather than one frozen artifact, lifetime boosting remains the fair fixed model for the causal playing experiment.</w:t>
      </w:r>
    </w:p>
    <w:p>
      <w:pPr>
        <w:pStyle w:val="Heading3"/>
      </w:pPr>
      <w:r>
        <w:t>10.2 Frozen learned selector and safety experiment</w:t>
      </w:r>
    </w:p>
    <w:p>
      <w:r>
        <w:t>The lifetime personal and population boosting models were exported as deterministic C++ tree data with source hashes, exact feature order, thresholds, missing-value directions, and leaf values. C++ probabilities match sklearn to within 1e-12 on a parity corpus, and a board fixture matches all 17 Python position features. The fixed exploitation adjustment is 100 centipawns per unit probability difference, capped at plus or minus 20 cp; the existing 35 cp eligibility bound and mate protections remain authoritative.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3024"/>
            <w:shd w:fill="17365D"/>
            <w:vAlign w:val="center"/>
            <w:tcMar>
              <w:top w:w="100" w:type="dxa"/>
              <w:start w:w="120" w:type="dxa"/>
              <w:bottom w:w="100" w:type="dxa"/>
              <w:end w:w="120" w:type="dxa"/>
            </w:tcMar>
          </w:tcPr>
          <w:p>
            <w:pPr>
              <w:keepNext/>
              <w:jc w:val="center"/>
            </w:pPr>
            <w:r>
              <w:rPr>
                <w:b/>
                <w:color w:val="FFFFFF"/>
                <w:sz w:val="16"/>
              </w:rPr>
              <w:t>Policy</w:t>
            </w:r>
          </w:p>
        </w:tc>
        <w:tc>
          <w:tcPr>
            <w:tcW w:type="dxa" w:w="3168"/>
            <w:shd w:fill="17365D"/>
            <w:vAlign w:val="center"/>
            <w:tcMar>
              <w:top w:w="100" w:type="dxa"/>
              <w:start w:w="120" w:type="dxa"/>
              <w:bottom w:w="100" w:type="dxa"/>
              <w:end w:w="120" w:type="dxa"/>
            </w:tcMar>
          </w:tcPr>
          <w:p>
            <w:pPr>
              <w:keepNext/>
              <w:jc w:val="center"/>
            </w:pPr>
            <w:r>
              <w:rPr>
                <w:b/>
                <w:color w:val="FFFFFF"/>
                <w:sz w:val="16"/>
              </w:rPr>
              <w:t>Changes on 32 identical positions</w:t>
            </w:r>
          </w:p>
        </w:tc>
        <w:tc>
          <w:tcPr>
            <w:tcW w:type="dxa" w:w="1944"/>
            <w:shd w:fill="17365D"/>
            <w:vAlign w:val="center"/>
            <w:tcMar>
              <w:top w:w="100" w:type="dxa"/>
              <w:start w:w="120" w:type="dxa"/>
              <w:bottom w:w="100" w:type="dxa"/>
              <w:end w:w="120" w:type="dxa"/>
            </w:tcMar>
          </w:tcPr>
          <w:p>
            <w:pPr>
              <w:keepNext/>
              <w:jc w:val="center"/>
            </w:pPr>
            <w:r>
              <w:rPr>
                <w:b/>
                <w:color w:val="FFFFFF"/>
                <w:sz w:val="16"/>
              </w:rPr>
              <w:t>Mean score loss</w:t>
            </w:r>
          </w:p>
        </w:tc>
        <w:tc>
          <w:tcPr>
            <w:tcW w:type="dxa" w:w="1944"/>
            <w:shd w:fill="17365D"/>
            <w:vAlign w:val="center"/>
            <w:tcMar>
              <w:top w:w="100" w:type="dxa"/>
              <w:start w:w="120" w:type="dxa"/>
              <w:bottom w:w="100" w:type="dxa"/>
              <w:end w:w="120" w:type="dxa"/>
            </w:tcMar>
          </w:tcPr>
          <w:p>
            <w:pPr>
              <w:keepNext/>
              <w:jc w:val="center"/>
            </w:pPr>
            <w:r>
              <w:rPr>
                <w:b/>
                <w:color w:val="FFFFFF"/>
                <w:sz w:val="16"/>
              </w:rPr>
              <w:t>Maximum score loss</w:t>
            </w:r>
          </w:p>
        </w:tc>
      </w:tr>
      <w:tr>
        <w:trPr>
          <w:cantSplit/>
        </w:trPr>
        <w:tc>
          <w:tcPr>
            <w:tcW w:type="dxa" w:w="3024"/>
            <w:vAlign w:val="center"/>
            <w:tcMar>
              <w:top w:w="100" w:type="dxa"/>
              <w:start w:w="120" w:type="dxa"/>
              <w:bottom w:w="100" w:type="dxa"/>
              <w:end w:w="120" w:type="dxa"/>
            </w:tcMar>
          </w:tcPr>
          <w:p>
            <w:pPr>
              <w:spacing w:after="0"/>
              <w:jc w:val="left"/>
            </w:pPr>
            <w:r>
              <w:rPr>
                <w:sz w:val="16"/>
              </w:rPr>
              <w:t>Neutral rank 1</w:t>
            </w:r>
          </w:p>
        </w:tc>
        <w:tc>
          <w:tcPr>
            <w:tcW w:type="dxa" w:w="3168"/>
            <w:vAlign w:val="center"/>
            <w:tcMar>
              <w:top w:w="100" w:type="dxa"/>
              <w:start w:w="120" w:type="dxa"/>
              <w:bottom w:w="100" w:type="dxa"/>
              <w:end w:w="120" w:type="dxa"/>
            </w:tcMar>
          </w:tcPr>
          <w:p>
            <w:pPr>
              <w:spacing w:after="0"/>
              <w:jc w:val="center"/>
            </w:pPr>
            <w:r>
              <w:rPr>
                <w:sz w:val="16"/>
              </w:rPr>
              <w:t>0 (0.0%)</w:t>
            </w:r>
          </w:p>
        </w:tc>
        <w:tc>
          <w:tcPr>
            <w:tcW w:type="dxa" w:w="1944"/>
            <w:vAlign w:val="center"/>
            <w:tcMar>
              <w:top w:w="100" w:type="dxa"/>
              <w:start w:w="120" w:type="dxa"/>
              <w:bottom w:w="100" w:type="dxa"/>
              <w:end w:w="120" w:type="dxa"/>
            </w:tcMar>
          </w:tcPr>
          <w:p>
            <w:pPr>
              <w:spacing w:after="0"/>
              <w:jc w:val="center"/>
            </w:pPr>
            <w:r>
              <w:rPr>
                <w:sz w:val="16"/>
              </w:rPr>
              <w:t>0.00 cp</w:t>
            </w:r>
          </w:p>
        </w:tc>
        <w:tc>
          <w:tcPr>
            <w:tcW w:type="dxa" w:w="1944"/>
            <w:vAlign w:val="center"/>
            <w:tcMar>
              <w:top w:w="100" w:type="dxa"/>
              <w:start w:w="120" w:type="dxa"/>
              <w:bottom w:w="100" w:type="dxa"/>
              <w:end w:w="120" w:type="dxa"/>
            </w:tcMar>
          </w:tcPr>
          <w:p>
            <w:pPr>
              <w:spacing w:after="0"/>
              <w:jc w:val="center"/>
            </w:pPr>
            <w:r>
              <w:rPr>
                <w:sz w:val="16"/>
              </w:rPr>
              <w:t>0 cp</w:t>
            </w:r>
          </w:p>
        </w:tc>
      </w:tr>
      <w:tr>
        <w:trPr>
          <w:cantSplit/>
        </w:trPr>
        <w:tc>
          <w:tcPr>
            <w:tcW w:type="dxa" w:w="3024"/>
            <w:vAlign w:val="center"/>
            <w:tcMar>
              <w:top w:w="100" w:type="dxa"/>
              <w:start w:w="120" w:type="dxa"/>
              <w:bottom w:w="100" w:type="dxa"/>
              <w:end w:w="120" w:type="dxa"/>
            </w:tcMar>
            <w:shd w:fill="F3F7FB"/>
          </w:tcPr>
          <w:p>
            <w:pPr>
              <w:spacing w:after="0"/>
              <w:jc w:val="left"/>
            </w:pPr>
            <w:r>
              <w:rPr>
                <w:sz w:val="16"/>
              </w:rPr>
              <w:t>Population boosting</w:t>
            </w:r>
          </w:p>
        </w:tc>
        <w:tc>
          <w:tcPr>
            <w:tcW w:type="dxa" w:w="3168"/>
            <w:vAlign w:val="center"/>
            <w:tcMar>
              <w:top w:w="100" w:type="dxa"/>
              <w:start w:w="120" w:type="dxa"/>
              <w:bottom w:w="100" w:type="dxa"/>
              <w:end w:w="120" w:type="dxa"/>
            </w:tcMar>
            <w:shd w:fill="F3F7FB"/>
          </w:tcPr>
          <w:p>
            <w:pPr>
              <w:spacing w:after="0"/>
              <w:jc w:val="center"/>
            </w:pPr>
            <w:r>
              <w:rPr>
                <w:sz w:val="16"/>
              </w:rPr>
              <w:t>2 (6.25%)</w:t>
            </w:r>
          </w:p>
        </w:tc>
        <w:tc>
          <w:tcPr>
            <w:tcW w:type="dxa" w:w="1944"/>
            <w:vAlign w:val="center"/>
            <w:tcMar>
              <w:top w:w="100" w:type="dxa"/>
              <w:start w:w="120" w:type="dxa"/>
              <w:bottom w:w="100" w:type="dxa"/>
              <w:end w:w="120" w:type="dxa"/>
            </w:tcMar>
            <w:shd w:fill="F3F7FB"/>
          </w:tcPr>
          <w:p>
            <w:pPr>
              <w:spacing w:after="0"/>
              <w:jc w:val="center"/>
            </w:pPr>
            <w:r>
              <w:rPr>
                <w:sz w:val="16"/>
              </w:rPr>
              <w:t>0.25 cp</w:t>
            </w:r>
          </w:p>
        </w:tc>
        <w:tc>
          <w:tcPr>
            <w:tcW w:type="dxa" w:w="1944"/>
            <w:vAlign w:val="center"/>
            <w:tcMar>
              <w:top w:w="100" w:type="dxa"/>
              <w:start w:w="120" w:type="dxa"/>
              <w:bottom w:w="100" w:type="dxa"/>
              <w:end w:w="120" w:type="dxa"/>
            </w:tcMar>
            <w:shd w:fill="F3F7FB"/>
          </w:tcPr>
          <w:p>
            <w:pPr>
              <w:spacing w:after="0"/>
              <w:jc w:val="center"/>
            </w:pPr>
            <w:r>
              <w:rPr>
                <w:sz w:val="16"/>
              </w:rPr>
              <w:t>8 cp</w:t>
            </w:r>
          </w:p>
        </w:tc>
      </w:tr>
      <w:tr>
        <w:trPr>
          <w:cantSplit/>
        </w:trPr>
        <w:tc>
          <w:tcPr>
            <w:tcW w:type="dxa" w:w="3024"/>
            <w:vAlign w:val="center"/>
            <w:tcMar>
              <w:top w:w="100" w:type="dxa"/>
              <w:start w:w="120" w:type="dxa"/>
              <w:bottom w:w="100" w:type="dxa"/>
              <w:end w:w="120" w:type="dxa"/>
            </w:tcMar>
          </w:tcPr>
          <w:p>
            <w:pPr>
              <w:spacing w:after="0"/>
              <w:jc w:val="left"/>
            </w:pPr>
            <w:r>
              <w:rPr>
                <w:sz w:val="16"/>
              </w:rPr>
              <w:t>Personal lifetime boosting</w:t>
            </w:r>
          </w:p>
        </w:tc>
        <w:tc>
          <w:tcPr>
            <w:tcW w:type="dxa" w:w="3168"/>
            <w:vAlign w:val="center"/>
            <w:tcMar>
              <w:top w:w="100" w:type="dxa"/>
              <w:start w:w="120" w:type="dxa"/>
              <w:bottom w:w="100" w:type="dxa"/>
              <w:end w:w="120" w:type="dxa"/>
            </w:tcMar>
          </w:tcPr>
          <w:p>
            <w:pPr>
              <w:spacing w:after="0"/>
              <w:jc w:val="center"/>
            </w:pPr>
            <w:r>
              <w:rPr>
                <w:sz w:val="16"/>
              </w:rPr>
              <w:t>1 (3.13%)</w:t>
            </w:r>
          </w:p>
        </w:tc>
        <w:tc>
          <w:tcPr>
            <w:tcW w:type="dxa" w:w="1944"/>
            <w:vAlign w:val="center"/>
            <w:tcMar>
              <w:top w:w="100" w:type="dxa"/>
              <w:start w:w="120" w:type="dxa"/>
              <w:bottom w:w="100" w:type="dxa"/>
              <w:end w:w="120" w:type="dxa"/>
            </w:tcMar>
          </w:tcPr>
          <w:p>
            <w:pPr>
              <w:spacing w:after="0"/>
              <w:jc w:val="center"/>
            </w:pPr>
            <w:r>
              <w:rPr>
                <w:sz w:val="16"/>
              </w:rPr>
              <w:t>0.03 cp</w:t>
            </w:r>
          </w:p>
        </w:tc>
        <w:tc>
          <w:tcPr>
            <w:tcW w:type="dxa" w:w="1944"/>
            <w:vAlign w:val="center"/>
            <w:tcMar>
              <w:top w:w="100" w:type="dxa"/>
              <w:start w:w="120" w:type="dxa"/>
              <w:bottom w:w="100" w:type="dxa"/>
              <w:end w:w="120" w:type="dxa"/>
            </w:tcMar>
          </w:tcPr>
          <w:p>
            <w:pPr>
              <w:spacing w:after="0"/>
              <w:jc w:val="center"/>
            </w:pPr>
            <w:r>
              <w:rPr>
                <w:sz w:val="16"/>
              </w:rPr>
              <w:t>1 cp</w:t>
            </w:r>
          </w:p>
        </w:tc>
      </w:tr>
      <w:tr>
        <w:trPr>
          <w:cantSplit/>
        </w:trPr>
        <w:tc>
          <w:tcPr>
            <w:tcW w:type="dxa" w:w="3024"/>
            <w:vAlign w:val="center"/>
            <w:tcMar>
              <w:top w:w="100" w:type="dxa"/>
              <w:start w:w="120" w:type="dxa"/>
              <w:bottom w:w="100" w:type="dxa"/>
              <w:end w:w="120" w:type="dxa"/>
            </w:tcMar>
            <w:shd w:fill="F3F7FB"/>
          </w:tcPr>
          <w:p>
            <w:pPr>
              <w:spacing w:after="0"/>
              <w:jc w:val="left"/>
            </w:pPr>
            <w:r>
              <w:rPr>
                <w:sz w:val="16"/>
              </w:rPr>
              <w:t>Deterministic random-safe</w:t>
            </w:r>
          </w:p>
        </w:tc>
        <w:tc>
          <w:tcPr>
            <w:tcW w:type="dxa" w:w="3168"/>
            <w:vAlign w:val="center"/>
            <w:tcMar>
              <w:top w:w="100" w:type="dxa"/>
              <w:start w:w="120" w:type="dxa"/>
              <w:bottom w:w="100" w:type="dxa"/>
              <w:end w:w="120" w:type="dxa"/>
            </w:tcMar>
            <w:shd w:fill="F3F7FB"/>
          </w:tcPr>
          <w:p>
            <w:pPr>
              <w:spacing w:after="0"/>
              <w:jc w:val="center"/>
            </w:pPr>
            <w:r>
              <w:rPr>
                <w:sz w:val="16"/>
              </w:rPr>
              <w:t>11 (34.38%)</w:t>
            </w:r>
          </w:p>
        </w:tc>
        <w:tc>
          <w:tcPr>
            <w:tcW w:type="dxa" w:w="1944"/>
            <w:vAlign w:val="center"/>
            <w:tcMar>
              <w:top w:w="100" w:type="dxa"/>
              <w:start w:w="120" w:type="dxa"/>
              <w:bottom w:w="100" w:type="dxa"/>
              <w:end w:w="120" w:type="dxa"/>
            </w:tcMar>
            <w:shd w:fill="F3F7FB"/>
          </w:tcPr>
          <w:p>
            <w:pPr>
              <w:spacing w:after="0"/>
              <w:jc w:val="center"/>
            </w:pPr>
            <w:r>
              <w:rPr>
                <w:sz w:val="16"/>
              </w:rPr>
              <w:t>1.47 cp</w:t>
            </w:r>
          </w:p>
        </w:tc>
        <w:tc>
          <w:tcPr>
            <w:tcW w:type="dxa" w:w="1944"/>
            <w:vAlign w:val="center"/>
            <w:tcMar>
              <w:top w:w="100" w:type="dxa"/>
              <w:start w:w="120" w:type="dxa"/>
              <w:bottom w:w="100" w:type="dxa"/>
              <w:end w:w="120" w:type="dxa"/>
            </w:tcMar>
            <w:shd w:fill="F3F7FB"/>
          </w:tcPr>
          <w:p>
            <w:pPr>
              <w:spacing w:after="0"/>
              <w:jc w:val="center"/>
            </w:pPr>
            <w:r>
              <w:rPr>
                <w:sz w:val="16"/>
              </w:rPr>
              <w:t>15 cp</w:t>
            </w:r>
          </w:p>
        </w:tc>
      </w:tr>
    </w:tbl>
    <w:p>
      <w:pPr>
        <w:spacing w:after="20"/>
      </w:pPr>
    </w:p>
    <w:p>
      <w:r>
        <w:t>All four arms consumed identical candidates and scores at 20,000 nodes, with zero mismatches. The personal policy is operational but conservative: only one of 32 held-out historical opponent-turn positions changed, at a one-centipawn search cost.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cantSplit/>
        </w:trPr>
        <w:tc>
          <w:tcPr>
            <w:tcW w:type="dxa" w:w="1944"/>
            <w:shd w:fill="17365D"/>
            <w:vAlign w:val="center"/>
            <w:tcMar>
              <w:top w:w="100" w:type="dxa"/>
              <w:start w:w="120" w:type="dxa"/>
              <w:bottom w:w="100" w:type="dxa"/>
              <w:end w:w="120" w:type="dxa"/>
            </w:tcMar>
          </w:tcPr>
          <w:p>
            <w:pPr>
              <w:keepNext/>
              <w:jc w:val="center"/>
            </w:pPr>
            <w:r>
              <w:rPr>
                <w:b/>
                <w:color w:val="FFFFFF"/>
                <w:sz w:val="15"/>
              </w:rPr>
              <w:t>Policy</w:t>
            </w:r>
          </w:p>
        </w:tc>
        <w:tc>
          <w:tcPr>
            <w:tcW w:type="dxa" w:w="3096"/>
            <w:shd w:fill="17365D"/>
            <w:vAlign w:val="center"/>
            <w:tcMar>
              <w:top w:w="100" w:type="dxa"/>
              <w:start w:w="120" w:type="dxa"/>
              <w:bottom w:w="100" w:type="dxa"/>
              <w:end w:w="120" w:type="dxa"/>
            </w:tcMar>
          </w:tcPr>
          <w:p>
            <w:pPr>
              <w:keepNext/>
              <w:jc w:val="center"/>
            </w:pPr>
            <w:r>
              <w:rPr>
                <w:b/>
                <w:color w:val="FFFFFF"/>
                <w:sz w:val="15"/>
              </w:rPr>
              <w:t>W-D-L versus 1164-limited Stockfish</w:t>
            </w:r>
          </w:p>
        </w:tc>
        <w:tc>
          <w:tcPr>
            <w:tcW w:type="dxa" w:w="1440"/>
            <w:shd w:fill="17365D"/>
            <w:vAlign w:val="center"/>
            <w:tcMar>
              <w:top w:w="100" w:type="dxa"/>
              <w:start w:w="120" w:type="dxa"/>
              <w:bottom w:w="100" w:type="dxa"/>
              <w:end w:w="120" w:type="dxa"/>
            </w:tcMar>
          </w:tcPr>
          <w:p>
            <w:pPr>
              <w:keepNext/>
              <w:jc w:val="center"/>
            </w:pPr>
            <w:r>
              <w:rPr>
                <w:b/>
                <w:color w:val="FFFFFF"/>
                <w:sz w:val="15"/>
              </w:rPr>
              <w:t>Score</w:t>
            </w:r>
          </w:p>
        </w:tc>
        <w:tc>
          <w:tcPr>
            <w:tcW w:type="dxa" w:w="3600"/>
            <w:shd w:fill="17365D"/>
            <w:vAlign w:val="center"/>
            <w:tcMar>
              <w:top w:w="100" w:type="dxa"/>
              <w:start w:w="120" w:type="dxa"/>
              <w:bottom w:w="100" w:type="dxa"/>
              <w:end w:w="120" w:type="dxa"/>
            </w:tcMar>
          </w:tcPr>
          <w:p>
            <w:pPr>
              <w:keepNext/>
              <w:jc w:val="center"/>
            </w:pPr>
            <w:r>
              <w:rPr>
                <w:b/>
                <w:color w:val="FFFFFF"/>
                <w:sz w:val="15"/>
              </w:rPr>
              <w:t>Difference versus neutral (95% interval)</w:t>
            </w:r>
          </w:p>
        </w:tc>
      </w:tr>
      <w:tr>
        <w:trPr>
          <w:cantSplit/>
        </w:trPr>
        <w:tc>
          <w:tcPr>
            <w:tcW w:type="dxa" w:w="1944"/>
            <w:vAlign w:val="center"/>
            <w:tcMar>
              <w:top w:w="100" w:type="dxa"/>
              <w:start w:w="120" w:type="dxa"/>
              <w:bottom w:w="100" w:type="dxa"/>
              <w:end w:w="120" w:type="dxa"/>
            </w:tcMar>
          </w:tcPr>
          <w:p>
            <w:pPr>
              <w:spacing w:after="0"/>
              <w:jc w:val="left"/>
            </w:pPr>
            <w:r>
              <w:rPr>
                <w:sz w:val="15"/>
              </w:rPr>
              <w:t>Neutral</w:t>
            </w:r>
          </w:p>
        </w:tc>
        <w:tc>
          <w:tcPr>
            <w:tcW w:type="dxa" w:w="3096"/>
            <w:vAlign w:val="center"/>
            <w:tcMar>
              <w:top w:w="100" w:type="dxa"/>
              <w:start w:w="120" w:type="dxa"/>
              <w:bottom w:w="100" w:type="dxa"/>
              <w:end w:w="120" w:type="dxa"/>
            </w:tcMar>
          </w:tcPr>
          <w:p>
            <w:pPr>
              <w:spacing w:after="0"/>
              <w:jc w:val="center"/>
            </w:pPr>
            <w:r>
              <w:rPr>
                <w:sz w:val="15"/>
              </w:rPr>
              <w:t>11-5-0</w:t>
            </w:r>
          </w:p>
        </w:tc>
        <w:tc>
          <w:tcPr>
            <w:tcW w:type="dxa" w:w="1440"/>
            <w:vAlign w:val="center"/>
            <w:tcMar>
              <w:top w:w="100" w:type="dxa"/>
              <w:start w:w="120" w:type="dxa"/>
              <w:bottom w:w="100" w:type="dxa"/>
              <w:end w:w="120" w:type="dxa"/>
            </w:tcMar>
          </w:tcPr>
          <w:p>
            <w:pPr>
              <w:spacing w:after="0"/>
              <w:jc w:val="center"/>
            </w:pPr>
            <w:r>
              <w:rPr>
                <w:sz w:val="15"/>
              </w:rPr>
              <w:t>84.38%</w:t>
            </w:r>
          </w:p>
        </w:tc>
        <w:tc>
          <w:tcPr>
            <w:tcW w:type="dxa" w:w="3600"/>
            <w:vAlign w:val="center"/>
            <w:tcMar>
              <w:top w:w="100" w:type="dxa"/>
              <w:start w:w="120" w:type="dxa"/>
              <w:bottom w:w="100" w:type="dxa"/>
              <w:end w:w="120" w:type="dxa"/>
            </w:tcMar>
          </w:tcPr>
          <w:p>
            <w:pPr>
              <w:spacing w:after="0"/>
              <w:jc w:val="center"/>
            </w:pPr>
            <w:r>
              <w:rPr>
                <w:sz w:val="15"/>
              </w:rPr>
              <w:t>reference</w:t>
            </w:r>
          </w:p>
        </w:tc>
      </w:tr>
      <w:tr>
        <w:trPr>
          <w:cantSplit/>
        </w:trPr>
        <w:tc>
          <w:tcPr>
            <w:tcW w:type="dxa" w:w="1944"/>
            <w:vAlign w:val="center"/>
            <w:tcMar>
              <w:top w:w="100" w:type="dxa"/>
              <w:start w:w="120" w:type="dxa"/>
              <w:bottom w:w="100" w:type="dxa"/>
              <w:end w:w="120" w:type="dxa"/>
            </w:tcMar>
            <w:shd w:fill="F3F7FB"/>
          </w:tcPr>
          <w:p>
            <w:pPr>
              <w:spacing w:after="0"/>
              <w:jc w:val="left"/>
            </w:pPr>
            <w:r>
              <w:rPr>
                <w:sz w:val="15"/>
              </w:rPr>
              <w:t>Population</w:t>
            </w:r>
          </w:p>
        </w:tc>
        <w:tc>
          <w:tcPr>
            <w:tcW w:type="dxa" w:w="3096"/>
            <w:vAlign w:val="center"/>
            <w:tcMar>
              <w:top w:w="100" w:type="dxa"/>
              <w:start w:w="120" w:type="dxa"/>
              <w:bottom w:w="100" w:type="dxa"/>
              <w:end w:w="120" w:type="dxa"/>
            </w:tcMar>
            <w:shd w:fill="F3F7FB"/>
          </w:tcPr>
          <w:p>
            <w:pPr>
              <w:spacing w:after="0"/>
              <w:jc w:val="center"/>
            </w:pPr>
            <w:r>
              <w:rPr>
                <w:sz w:val="15"/>
              </w:rPr>
              <w:t>11-4-1</w:t>
            </w:r>
          </w:p>
        </w:tc>
        <w:tc>
          <w:tcPr>
            <w:tcW w:type="dxa" w:w="1440"/>
            <w:vAlign w:val="center"/>
            <w:tcMar>
              <w:top w:w="100" w:type="dxa"/>
              <w:start w:w="120" w:type="dxa"/>
              <w:bottom w:w="100" w:type="dxa"/>
              <w:end w:w="120" w:type="dxa"/>
            </w:tcMar>
            <w:shd w:fill="F3F7FB"/>
          </w:tcPr>
          <w:p>
            <w:pPr>
              <w:spacing w:after="0"/>
              <w:jc w:val="center"/>
            </w:pPr>
            <w:r>
              <w:rPr>
                <w:sz w:val="15"/>
              </w:rPr>
              <w:t>81.25%</w:t>
            </w:r>
          </w:p>
        </w:tc>
        <w:tc>
          <w:tcPr>
            <w:tcW w:type="dxa" w:w="3600"/>
            <w:vAlign w:val="center"/>
            <w:tcMar>
              <w:top w:w="100" w:type="dxa"/>
              <w:start w:w="120" w:type="dxa"/>
              <w:bottom w:w="100" w:type="dxa"/>
              <w:end w:w="120" w:type="dxa"/>
            </w:tcMar>
            <w:shd w:fill="F3F7FB"/>
          </w:tcPr>
          <w:p>
            <w:pPr>
              <w:spacing w:after="0"/>
              <w:jc w:val="center"/>
            </w:pPr>
            <w:r>
              <w:rPr>
                <w:sz w:val="15"/>
              </w:rPr>
              <w:t>-3.13 pp (-21.88, +15.63)</w:t>
            </w:r>
          </w:p>
        </w:tc>
      </w:tr>
      <w:tr>
        <w:trPr>
          <w:cantSplit/>
        </w:trPr>
        <w:tc>
          <w:tcPr>
            <w:tcW w:type="dxa" w:w="1944"/>
            <w:vAlign w:val="center"/>
            <w:tcMar>
              <w:top w:w="100" w:type="dxa"/>
              <w:start w:w="120" w:type="dxa"/>
              <w:bottom w:w="100" w:type="dxa"/>
              <w:end w:w="120" w:type="dxa"/>
            </w:tcMar>
          </w:tcPr>
          <w:p>
            <w:pPr>
              <w:spacing w:after="0"/>
              <w:jc w:val="left"/>
            </w:pPr>
            <w:r>
              <w:rPr>
                <w:sz w:val="15"/>
              </w:rPr>
              <w:t>Personal</w:t>
            </w:r>
          </w:p>
        </w:tc>
        <w:tc>
          <w:tcPr>
            <w:tcW w:type="dxa" w:w="3096"/>
            <w:vAlign w:val="center"/>
            <w:tcMar>
              <w:top w:w="100" w:type="dxa"/>
              <w:start w:w="120" w:type="dxa"/>
              <w:bottom w:w="100" w:type="dxa"/>
              <w:end w:w="120" w:type="dxa"/>
            </w:tcMar>
          </w:tcPr>
          <w:p>
            <w:pPr>
              <w:spacing w:after="0"/>
              <w:jc w:val="center"/>
            </w:pPr>
            <w:r>
              <w:rPr>
                <w:sz w:val="15"/>
              </w:rPr>
              <w:t>12-4-0</w:t>
            </w:r>
          </w:p>
        </w:tc>
        <w:tc>
          <w:tcPr>
            <w:tcW w:type="dxa" w:w="1440"/>
            <w:vAlign w:val="center"/>
            <w:tcMar>
              <w:top w:w="100" w:type="dxa"/>
              <w:start w:w="120" w:type="dxa"/>
              <w:bottom w:w="100" w:type="dxa"/>
              <w:end w:w="120" w:type="dxa"/>
            </w:tcMar>
          </w:tcPr>
          <w:p>
            <w:pPr>
              <w:spacing w:after="0"/>
              <w:jc w:val="center"/>
            </w:pPr>
            <w:r>
              <w:rPr>
                <w:sz w:val="15"/>
              </w:rPr>
              <w:t>87.50%</w:t>
            </w:r>
          </w:p>
        </w:tc>
        <w:tc>
          <w:tcPr>
            <w:tcW w:type="dxa" w:w="3600"/>
            <w:vAlign w:val="center"/>
            <w:tcMar>
              <w:top w:w="100" w:type="dxa"/>
              <w:start w:w="120" w:type="dxa"/>
              <w:bottom w:w="100" w:type="dxa"/>
              <w:end w:w="120" w:type="dxa"/>
            </w:tcMar>
          </w:tcPr>
          <w:p>
            <w:pPr>
              <w:spacing w:after="0"/>
              <w:jc w:val="center"/>
            </w:pPr>
            <w:r>
              <w:rPr>
                <w:sz w:val="15"/>
              </w:rPr>
              <w:t>+3.13 pp (-12.50, +18.75)</w:t>
            </w:r>
          </w:p>
        </w:tc>
      </w:tr>
      <w:tr>
        <w:trPr>
          <w:cantSplit/>
        </w:trPr>
        <w:tc>
          <w:tcPr>
            <w:tcW w:type="dxa" w:w="1944"/>
            <w:vAlign w:val="center"/>
            <w:tcMar>
              <w:top w:w="100" w:type="dxa"/>
              <w:start w:w="120" w:type="dxa"/>
              <w:bottom w:w="100" w:type="dxa"/>
              <w:end w:w="120" w:type="dxa"/>
            </w:tcMar>
            <w:shd w:fill="F3F7FB"/>
          </w:tcPr>
          <w:p>
            <w:pPr>
              <w:spacing w:after="0"/>
              <w:jc w:val="left"/>
            </w:pPr>
            <w:r>
              <w:rPr>
                <w:sz w:val="15"/>
              </w:rPr>
              <w:t>Random-safe</w:t>
            </w:r>
          </w:p>
        </w:tc>
        <w:tc>
          <w:tcPr>
            <w:tcW w:type="dxa" w:w="3096"/>
            <w:vAlign w:val="center"/>
            <w:tcMar>
              <w:top w:w="100" w:type="dxa"/>
              <w:start w:w="120" w:type="dxa"/>
              <w:bottom w:w="100" w:type="dxa"/>
              <w:end w:w="120" w:type="dxa"/>
            </w:tcMar>
            <w:shd w:fill="F3F7FB"/>
          </w:tcPr>
          <w:p>
            <w:pPr>
              <w:spacing w:after="0"/>
              <w:jc w:val="center"/>
            </w:pPr>
            <w:r>
              <w:rPr>
                <w:sz w:val="15"/>
              </w:rPr>
              <w:t>9-6-1</w:t>
            </w:r>
          </w:p>
        </w:tc>
        <w:tc>
          <w:tcPr>
            <w:tcW w:type="dxa" w:w="1440"/>
            <w:vAlign w:val="center"/>
            <w:tcMar>
              <w:top w:w="100" w:type="dxa"/>
              <w:start w:w="120" w:type="dxa"/>
              <w:bottom w:w="100" w:type="dxa"/>
              <w:end w:w="120" w:type="dxa"/>
            </w:tcMar>
            <w:shd w:fill="F3F7FB"/>
          </w:tcPr>
          <w:p>
            <w:pPr>
              <w:spacing w:after="0"/>
              <w:jc w:val="center"/>
            </w:pPr>
            <w:r>
              <w:rPr>
                <w:sz w:val="15"/>
              </w:rPr>
              <w:t>75.00%</w:t>
            </w:r>
          </w:p>
        </w:tc>
        <w:tc>
          <w:tcPr>
            <w:tcW w:type="dxa" w:w="3600"/>
            <w:vAlign w:val="center"/>
            <w:tcMar>
              <w:top w:w="100" w:type="dxa"/>
              <w:start w:w="120" w:type="dxa"/>
              <w:bottom w:w="100" w:type="dxa"/>
              <w:end w:w="120" w:type="dxa"/>
            </w:tcMar>
            <w:shd w:fill="F3F7FB"/>
          </w:tcPr>
          <w:p>
            <w:pPr>
              <w:spacing w:after="0"/>
              <w:jc w:val="center"/>
            </w:pPr>
            <w:r>
              <w:rPr>
                <w:sz w:val="15"/>
              </w:rPr>
              <w:t>-9.38 pp (-28.13, +6.25)</w:t>
            </w:r>
          </w:p>
        </w:tc>
      </w:tr>
    </w:tbl>
    <w:p>
      <w:pPr>
        <w:spacing w:after="20"/>
      </w:pPr>
    </w:p>
    <w:p>
      <w:r>
        <w:t>This 64-game safety run found no detectable arm difference; every interval includes zero. It verifies stable, legal, bounded play at equal target nodes. It is not a causal personalization test because limited-strength Stockfish is not Yash and does not express the learned tendencies. Historical replay also cannot reveal how Yash would respond after the engine chooses a counterfactual move.</w:t>
      </w:r>
    </w:p>
    <w:p>
      <w:pPr>
        <w:pStyle w:val="Heading2"/>
      </w:pPr>
      <w:r>
        <w:t>11  What is established</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5040"/>
            <w:shd w:fill="17365D"/>
            <w:vAlign w:val="center"/>
            <w:tcMar>
              <w:top w:w="100" w:type="dxa"/>
              <w:start w:w="120" w:type="dxa"/>
              <w:bottom w:w="100" w:type="dxa"/>
              <w:end w:w="120" w:type="dxa"/>
            </w:tcMar>
          </w:tcPr>
          <w:p>
            <w:pPr>
              <w:keepNext/>
              <w:jc w:val="center"/>
            </w:pPr>
            <w:r>
              <w:rPr>
                <w:b/>
                <w:color w:val="FFFFFF"/>
                <w:sz w:val="17"/>
              </w:rPr>
              <w:t>Established by current evidence</w:t>
            </w:r>
          </w:p>
        </w:tc>
        <w:tc>
          <w:tcPr>
            <w:tcW w:type="dxa" w:w="5040"/>
            <w:shd w:fill="17365D"/>
            <w:vAlign w:val="center"/>
            <w:tcMar>
              <w:top w:w="100" w:type="dxa"/>
              <w:start w:w="120" w:type="dxa"/>
              <w:bottom w:w="100" w:type="dxa"/>
              <w:end w:w="120" w:type="dxa"/>
            </w:tcMar>
          </w:tcPr>
          <w:p>
            <w:pPr>
              <w:keepNext/>
              <w:jc w:val="center"/>
            </w:pPr>
            <w:r>
              <w:rPr>
                <w:b/>
                <w:color w:val="FFFFFF"/>
                <w:sz w:val="17"/>
              </w:rPr>
              <w:t>Not yet established</w:t>
            </w:r>
          </w:p>
        </w:tc>
      </w:tr>
      <w:tr>
        <w:trPr>
          <w:cantSplit/>
        </w:trPr>
        <w:tc>
          <w:tcPr>
            <w:tcW w:type="dxa" w:w="5040"/>
            <w:vAlign w:val="center"/>
            <w:tcMar>
              <w:top w:w="100" w:type="dxa"/>
              <w:start w:w="120" w:type="dxa"/>
              <w:bottom w:w="100" w:type="dxa"/>
              <w:end w:w="120" w:type="dxa"/>
            </w:tcMar>
          </w:tcPr>
          <w:p>
            <w:pPr>
              <w:spacing w:after="0"/>
              <w:jc w:val="left"/>
            </w:pPr>
            <w:r>
              <w:rPr>
                <w:sz w:val="17"/>
              </w:rPr>
              <w:t>The production engine is legal, testable, GUI-compatible, and locally measured</w:t>
            </w:r>
          </w:p>
        </w:tc>
        <w:tc>
          <w:tcPr>
            <w:tcW w:type="dxa" w:w="5040"/>
            <w:vAlign w:val="center"/>
            <w:tcMar>
              <w:top w:w="100" w:type="dxa"/>
              <w:start w:w="120" w:type="dxa"/>
              <w:bottom w:w="100" w:type="dxa"/>
              <w:end w:w="120" w:type="dxa"/>
            </w:tcMar>
          </w:tcPr>
          <w:p>
            <w:pPr>
              <w:spacing w:after="0"/>
              <w:jc w:val="center"/>
            </w:pPr>
            <w:r>
              <w:rPr>
                <w:sz w:val="17"/>
              </w:rPr>
              <w:t>The 1996 estimate transfers to human or public rating pools</w:t>
            </w:r>
          </w:p>
        </w:tc>
      </w:tr>
      <w:tr>
        <w:trPr>
          <w:cantSplit/>
        </w:trPr>
        <w:tc>
          <w:tcPr>
            <w:tcW w:type="dxa" w:w="5040"/>
            <w:vAlign w:val="center"/>
            <w:tcMar>
              <w:top w:w="100" w:type="dxa"/>
              <w:start w:w="120" w:type="dxa"/>
              <w:bottom w:w="100" w:type="dxa"/>
              <w:end w:w="120" w:type="dxa"/>
            </w:tcMar>
            <w:shd w:fill="F3F7FB"/>
          </w:tcPr>
          <w:p>
            <w:pPr>
              <w:spacing w:after="0"/>
              <w:jc w:val="left"/>
            </w:pPr>
            <w:r>
              <w:rPr>
                <w:sz w:val="17"/>
              </w:rPr>
              <w:t>Position features predict future large errors better than a constant rate</w:t>
            </w:r>
          </w:p>
        </w:tc>
        <w:tc>
          <w:tcPr>
            <w:tcW w:type="dxa" w:w="5040"/>
            <w:vAlign w:val="center"/>
            <w:tcMar>
              <w:top w:w="100" w:type="dxa"/>
              <w:start w:w="120" w:type="dxa"/>
              <w:bottom w:w="100" w:type="dxa"/>
              <w:end w:w="120" w:type="dxa"/>
            </w:tcMar>
            <w:shd w:fill="F3F7FB"/>
          </w:tcPr>
          <w:p>
            <w:pPr>
              <w:spacing w:after="0"/>
              <w:jc w:val="center"/>
            </w:pPr>
            <w:r>
              <w:rPr>
                <w:sz w:val="17"/>
              </w:rPr>
              <w:t>The model explains causal psychological weaknesses</w:t>
            </w:r>
          </w:p>
        </w:tc>
      </w:tr>
      <w:tr>
        <w:trPr>
          <w:cantSplit/>
        </w:trPr>
        <w:tc>
          <w:tcPr>
            <w:tcW w:type="dxa" w:w="5040"/>
            <w:vAlign w:val="center"/>
            <w:tcMar>
              <w:top w:w="100" w:type="dxa"/>
              <w:start w:w="120" w:type="dxa"/>
              <w:bottom w:w="100" w:type="dxa"/>
              <w:end w:w="120" w:type="dxa"/>
            </w:tcMar>
          </w:tcPr>
          <w:p>
            <w:pPr>
              <w:spacing w:after="0"/>
              <w:jc w:val="left"/>
            </w:pPr>
            <w:r>
              <w:rPr>
                <w:sz w:val="17"/>
              </w:rPr>
              <w:t>Boosting outperforms both linear alternatives on future games</w:t>
            </w:r>
          </w:p>
        </w:tc>
        <w:tc>
          <w:tcPr>
            <w:tcW w:type="dxa" w:w="5040"/>
            <w:vAlign w:val="center"/>
            <w:tcMar>
              <w:top w:w="100" w:type="dxa"/>
              <w:start w:w="120" w:type="dxa"/>
              <w:bottom w:w="100" w:type="dxa"/>
              <w:end w:w="120" w:type="dxa"/>
            </w:tcMar>
          </w:tcPr>
          <w:p>
            <w:pPr>
              <w:spacing w:after="0"/>
              <w:jc w:val="center"/>
            </w:pPr>
            <w:r>
              <w:rPr>
                <w:sz w:val="17"/>
              </w:rPr>
              <w:t>The result transfers to other players or time controls</w:t>
            </w:r>
          </w:p>
        </w:tc>
      </w:tr>
      <w:tr>
        <w:trPr>
          <w:cantSplit/>
        </w:trPr>
        <w:tc>
          <w:tcPr>
            <w:tcW w:type="dxa" w:w="5040"/>
            <w:vAlign w:val="center"/>
            <w:tcMar>
              <w:top w:w="100" w:type="dxa"/>
              <w:start w:w="120" w:type="dxa"/>
              <w:bottom w:w="100" w:type="dxa"/>
              <w:end w:w="120" w:type="dxa"/>
            </w:tcMar>
            <w:shd w:fill="F3F7FB"/>
          </w:tcPr>
          <w:p>
            <w:pPr>
              <w:spacing w:after="0"/>
              <w:jc w:val="left"/>
            </w:pPr>
            <w:r>
              <w:rPr>
                <w:sz w:val="17"/>
              </w:rPr>
              <w:t>Personal boosting beats same-class population boosting on Yash test games</w:t>
            </w:r>
          </w:p>
        </w:tc>
        <w:tc>
          <w:tcPr>
            <w:tcW w:type="dxa" w:w="5040"/>
            <w:vAlign w:val="center"/>
            <w:tcMar>
              <w:top w:w="100" w:type="dxa"/>
              <w:start w:w="120" w:type="dxa"/>
              <w:bottom w:w="100" w:type="dxa"/>
              <w:end w:w="120" w:type="dxa"/>
            </w:tcMar>
            <w:shd w:fill="F3F7FB"/>
          </w:tcPr>
          <w:p>
            <w:pPr>
              <w:spacing w:after="0"/>
              <w:jc w:val="center"/>
            </w:pPr>
            <w:r>
              <w:rPr>
                <w:sz w:val="17"/>
              </w:rPr>
              <w:t>Personalized root selection wins more games against Yash at equal compute</w:t>
            </w:r>
          </w:p>
        </w:tc>
      </w:tr>
      <w:tr>
        <w:trPr>
          <w:cantSplit/>
        </w:trPr>
        <w:tc>
          <w:tcPr>
            <w:tcW w:type="dxa" w:w="5040"/>
            <w:vAlign w:val="center"/>
            <w:tcMar>
              <w:top w:w="100" w:type="dxa"/>
              <w:start w:w="120" w:type="dxa"/>
              <w:bottom w:w="100" w:type="dxa"/>
              <w:end w:w="120" w:type="dxa"/>
            </w:tcMar>
          </w:tcPr>
          <w:p>
            <w:pPr>
              <w:spacing w:after="0"/>
              <w:jc w:val="left"/>
            </w:pPr>
            <w:r>
              <w:rPr>
                <w:sz w:val="17"/>
              </w:rPr>
              <w:t>Frozen C++ learned selection is parity-tested, bounded, and conservative</w:t>
            </w:r>
          </w:p>
        </w:tc>
        <w:tc>
          <w:tcPr>
            <w:tcW w:type="dxa" w:w="5040"/>
            <w:vAlign w:val="center"/>
            <w:tcMar>
              <w:top w:w="100" w:type="dxa"/>
              <w:start w:w="120" w:type="dxa"/>
              <w:bottom w:w="100" w:type="dxa"/>
              <w:end w:w="120" w:type="dxa"/>
            </w:tcMar>
          </w:tcPr>
          <w:p>
            <w:pPr>
              <w:spacing w:after="0"/>
              <w:jc w:val="center"/>
            </w:pPr>
            <w:r>
              <w:rPr>
                <w:sz w:val="17"/>
              </w:rPr>
              <w:t>Online refresh improves real match outcomes</w:t>
            </w:r>
          </w:p>
        </w:tc>
      </w:tr>
    </w:tbl>
    <w:p>
      <w:pPr>
        <w:spacing w:after="20"/>
      </w:pPr>
    </w:p>
    <w:p>
      <w:pPr>
        <w:pStyle w:val="Heading2"/>
      </w:pPr>
      <w:r>
        <w:t>12  Next confirmatory work</w:t>
      </w:r>
    </w:p>
    <w:p>
      <w:r>
        <w:t>The probability model and playing policy are now frozen and parity-tested. The remaining confirmatory phase must measure their effect against the profiled human without tuning on that final match set.</w:t>
      </w:r>
    </w:p>
    <w:p>
      <w:pPr>
        <w:ind w:left="317" w:hanging="317"/>
      </w:pPr>
      <w:r>
        <w:rPr>
          <w:b/>
        </w:rPr>
        <w:t xml:space="preserve">1. </w:t>
      </w:r>
      <w:r>
        <w:t>Preregister the prospective match sample size, stopping rule, random arm order, color balance, opening policy, time control, and primary score comparison.</w:t>
      </w:r>
    </w:p>
    <w:p>
      <w:pPr>
        <w:ind w:left="317" w:hanging="317"/>
      </w:pPr>
      <w:r>
        <w:rPr>
          <w:b/>
        </w:rPr>
        <w:t xml:space="preserve">2. </w:t>
      </w:r>
      <w:r>
        <w:t>Run blinded games in which Yash faces neutral, population, personal, and random-safe arms without knowing the active policy. Preserve identical MultiPV 4 node limits and hardware.</w:t>
      </w:r>
    </w:p>
    <w:p>
      <w:pPr>
        <w:ind w:left="317" w:hanging="317"/>
      </w:pPr>
      <w:r>
        <w:rPr>
          <w:b/>
        </w:rPr>
        <w:t xml:space="preserve">3. </w:t>
      </w:r>
      <w:r>
        <w:t>Use paired game-level uncertainty or SPRT and report all arms. Do not tune the 100 cp probability scale or 20 cp cap on these games.</w:t>
      </w:r>
    </w:p>
    <w:p>
      <w:pPr>
        <w:ind w:left="317" w:hanging="317"/>
      </w:pPr>
      <w:r>
        <w:rPr>
          <w:b/>
        </w:rPr>
        <w:t xml:space="preserve">4. </w:t>
      </w:r>
      <w:r>
        <w:t>Treat the human result as the causal endpoint. Retrospective prediction and Stockfish safety matches cannot substitute for it.</w:t>
      </w:r>
    </w:p>
    <w:p>
      <w:pPr>
        <w:ind w:left="317" w:hanging="317"/>
      </w:pPr>
      <w:r>
        <w:rPr>
          <w:b/>
        </w:rPr>
        <w:t xml:space="preserve">5. </w:t>
      </w:r>
      <w:r>
        <w:t>Only after the frozen causal match, evaluate a deployment process that periodically relabels completed games and refreshes the lifetime model in preregistered 20-game batches.</w:t>
      </w:r>
    </w:p>
    <w:p>
      <w:r>
        <w:t>The strongest research direction is opponent modelling under concept drift: whether an engine can track an evolving human well enough to improve compute-matched playing outcomes. This framing preserves negative findings and makes player growth part of the scientific problem instead of treating it as inconvenient noise.</w:t>
      </w:r>
    </w:p>
    <w:p>
      <w:pPr>
        <w:pStyle w:val="Heading1"/>
      </w:pPr>
      <w:r>
        <w:t>Appendix  Milestone ledger</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cantSplit/>
        </w:trPr>
        <w:tc>
          <w:tcPr>
            <w:tcW w:type="dxa" w:w="1800"/>
            <w:shd w:fill="17365D"/>
            <w:vAlign w:val="center"/>
            <w:tcMar>
              <w:top w:w="100" w:type="dxa"/>
              <w:start w:w="120" w:type="dxa"/>
              <w:bottom w:w="100" w:type="dxa"/>
              <w:end w:w="120" w:type="dxa"/>
            </w:tcMar>
          </w:tcPr>
          <w:p>
            <w:pPr>
              <w:keepNext/>
              <w:jc w:val="center"/>
            </w:pPr>
            <w:r>
              <w:rPr>
                <w:b/>
                <w:color w:val="FFFFFF"/>
                <w:sz w:val="16"/>
              </w:rPr>
              <w:t>Date</w:t>
            </w:r>
          </w:p>
        </w:tc>
        <w:tc>
          <w:tcPr>
            <w:tcW w:type="dxa" w:w="4752"/>
            <w:shd w:fill="17365D"/>
            <w:vAlign w:val="center"/>
            <w:tcMar>
              <w:top w:w="100" w:type="dxa"/>
              <w:start w:w="120" w:type="dxa"/>
              <w:bottom w:w="100" w:type="dxa"/>
              <w:end w:w="120" w:type="dxa"/>
            </w:tcMar>
          </w:tcPr>
          <w:p>
            <w:pPr>
              <w:keepNext/>
              <w:jc w:val="center"/>
            </w:pPr>
            <w:r>
              <w:rPr>
                <w:b/>
                <w:color w:val="FFFFFF"/>
                <w:sz w:val="16"/>
              </w:rPr>
              <w:t>Milestone</w:t>
            </w:r>
          </w:p>
        </w:tc>
        <w:tc>
          <w:tcPr>
            <w:tcW w:type="dxa" w:w="3528"/>
            <w:shd w:fill="17365D"/>
            <w:vAlign w:val="center"/>
            <w:tcMar>
              <w:top w:w="100" w:type="dxa"/>
              <w:start w:w="120" w:type="dxa"/>
              <w:bottom w:w="100" w:type="dxa"/>
              <w:end w:w="120" w:type="dxa"/>
            </w:tcMar>
          </w:tcPr>
          <w:p>
            <w:pPr>
              <w:keepNext/>
              <w:jc w:val="center"/>
            </w:pPr>
            <w:r>
              <w:rPr>
                <w:b/>
                <w:color w:val="FFFFFF"/>
                <w:sz w:val="16"/>
              </w:rPr>
              <w:t>Evidence retained</w:t>
            </w:r>
          </w:p>
        </w:tc>
      </w:tr>
      <w:tr>
        <w:trPr>
          <w:cantSplit/>
        </w:trPr>
        <w:tc>
          <w:tcPr>
            <w:tcW w:type="dxa" w:w="1800"/>
            <w:vAlign w:val="center"/>
            <w:tcMar>
              <w:top w:w="100" w:type="dxa"/>
              <w:start w:w="120" w:type="dxa"/>
              <w:bottom w:w="100" w:type="dxa"/>
              <w:end w:w="120" w:type="dxa"/>
            </w:tcMar>
          </w:tcPr>
          <w:p>
            <w:pPr>
              <w:spacing w:after="0"/>
              <w:jc w:val="left"/>
            </w:pPr>
            <w:r>
              <w:rPr>
                <w:sz w:val="16"/>
              </w:rPr>
              <w:t>10 Jul 2026</w:t>
            </w:r>
          </w:p>
        </w:tc>
        <w:tc>
          <w:tcPr>
            <w:tcW w:type="dxa" w:w="4752"/>
            <w:vAlign w:val="center"/>
            <w:tcMar>
              <w:top w:w="100" w:type="dxa"/>
              <w:start w:w="120" w:type="dxa"/>
              <w:bottom w:w="100" w:type="dxa"/>
              <w:end w:w="120" w:type="dxa"/>
            </w:tcMar>
          </w:tcPr>
          <w:p>
            <w:pPr>
              <w:spacing w:after="0"/>
              <w:jc w:val="center"/>
            </w:pPr>
            <w:r>
              <w:rPr>
                <w:sz w:val="16"/>
              </w:rPr>
              <w:t>Core board representation and move system</w:t>
            </w:r>
          </w:p>
        </w:tc>
        <w:tc>
          <w:tcPr>
            <w:tcW w:type="dxa" w:w="3528"/>
            <w:vAlign w:val="center"/>
            <w:tcMar>
              <w:top w:w="100" w:type="dxa"/>
              <w:start w:w="120" w:type="dxa"/>
              <w:bottom w:w="100" w:type="dxa"/>
              <w:end w:w="120" w:type="dxa"/>
            </w:tcMar>
          </w:tcPr>
          <w:p>
            <w:pPr>
              <w:spacing w:after="0"/>
              <w:jc w:val="center"/>
            </w:pPr>
            <w:r>
              <w:rPr>
                <w:sz w:val="16"/>
              </w:rPr>
              <w:t>Stage 1 implementation and regression tests</w:t>
            </w:r>
          </w:p>
        </w:tc>
      </w:tr>
      <w:tr>
        <w:trPr>
          <w:cantSplit/>
        </w:trPr>
        <w:tc>
          <w:tcPr>
            <w:tcW w:type="dxa" w:w="1800"/>
            <w:vAlign w:val="center"/>
            <w:tcMar>
              <w:top w:w="100" w:type="dxa"/>
              <w:start w:w="120" w:type="dxa"/>
              <w:bottom w:w="100" w:type="dxa"/>
              <w:end w:w="120" w:type="dxa"/>
            </w:tcMar>
            <w:shd w:fill="F3F7FB"/>
          </w:tcPr>
          <w:p>
            <w:pPr>
              <w:spacing w:after="0"/>
              <w:jc w:val="left"/>
            </w:pPr>
            <w:r>
              <w:rPr>
                <w:sz w:val="16"/>
              </w:rPr>
              <w:t>28 Jul 2026</w:t>
            </w:r>
          </w:p>
        </w:tc>
        <w:tc>
          <w:tcPr>
            <w:tcW w:type="dxa" w:w="4752"/>
            <w:vAlign w:val="center"/>
            <w:tcMar>
              <w:top w:w="100" w:type="dxa"/>
              <w:start w:w="120" w:type="dxa"/>
              <w:bottom w:w="100" w:type="dxa"/>
              <w:end w:w="120" w:type="dxa"/>
            </w:tcMar>
            <w:shd w:fill="F3F7FB"/>
          </w:tcPr>
          <w:p>
            <w:pPr>
              <w:spacing w:after="0"/>
              <w:jc w:val="center"/>
            </w:pPr>
            <w:r>
              <w:rPr>
                <w:sz w:val="16"/>
              </w:rPr>
              <w:t>Legal generation, evaluation, alpha-beta, UCI, TT, ordering</w:t>
            </w:r>
          </w:p>
        </w:tc>
        <w:tc>
          <w:tcPr>
            <w:tcW w:type="dxa" w:w="3528"/>
            <w:vAlign w:val="center"/>
            <w:tcMar>
              <w:top w:w="100" w:type="dxa"/>
              <w:start w:w="120" w:type="dxa"/>
              <w:bottom w:w="100" w:type="dxa"/>
              <w:end w:w="120" w:type="dxa"/>
            </w:tcMar>
            <w:shd w:fill="F3F7FB"/>
          </w:tcPr>
          <w:p>
            <w:pPr>
              <w:spacing w:after="0"/>
              <w:jc w:val="center"/>
            </w:pPr>
            <w:r>
              <w:rPr>
                <w:sz w:val="16"/>
              </w:rPr>
              <w:t>Perft, search and protocol tests</w:t>
            </w:r>
          </w:p>
        </w:tc>
      </w:tr>
      <w:tr>
        <w:trPr>
          <w:cantSplit/>
        </w:trPr>
        <w:tc>
          <w:tcPr>
            <w:tcW w:type="dxa" w:w="1800"/>
            <w:vAlign w:val="center"/>
            <w:tcMar>
              <w:top w:w="100" w:type="dxa"/>
              <w:start w:w="120" w:type="dxa"/>
              <w:bottom w:w="100" w:type="dxa"/>
              <w:end w:w="120" w:type="dxa"/>
            </w:tcMar>
          </w:tcPr>
          <w:p>
            <w:pPr>
              <w:spacing w:after="0"/>
              <w:jc w:val="left"/>
            </w:pPr>
            <w:r>
              <w:rPr>
                <w:sz w:val="16"/>
              </w:rPr>
              <w:t>4 Aug 2026</w:t>
            </w:r>
          </w:p>
        </w:tc>
        <w:tc>
          <w:tcPr>
            <w:tcW w:type="dxa" w:w="4752"/>
            <w:vAlign w:val="center"/>
            <w:tcMar>
              <w:top w:w="100" w:type="dxa"/>
              <w:start w:w="120" w:type="dxa"/>
              <w:bottom w:w="100" w:type="dxa"/>
              <w:end w:w="120" w:type="dxa"/>
            </w:tcMar>
          </w:tcPr>
          <w:p>
            <w:pPr>
              <w:spacing w:after="0"/>
              <w:jc w:val="center"/>
            </w:pPr>
            <w:r>
              <w:rPr>
                <w:sz w:val="16"/>
              </w:rPr>
              <w:t>Python performance work and C++ production migration</w:t>
            </w:r>
          </w:p>
        </w:tc>
        <w:tc>
          <w:tcPr>
            <w:tcW w:type="dxa" w:w="3528"/>
            <w:vAlign w:val="center"/>
            <w:tcMar>
              <w:top w:w="100" w:type="dxa"/>
              <w:start w:w="120" w:type="dxa"/>
              <w:bottom w:w="100" w:type="dxa"/>
              <w:end w:w="120" w:type="dxa"/>
            </w:tcMar>
          </w:tcPr>
          <w:p>
            <w:pPr>
              <w:spacing w:after="0"/>
              <w:jc w:val="center"/>
            </w:pPr>
            <w:r>
              <w:rPr>
                <w:sz w:val="16"/>
              </w:rPr>
              <w:t>Benchmarks, cross-checks, self-play and SPRT tools</w:t>
            </w:r>
          </w:p>
        </w:tc>
      </w:tr>
      <w:tr>
        <w:trPr>
          <w:cantSplit/>
        </w:trPr>
        <w:tc>
          <w:tcPr>
            <w:tcW w:type="dxa" w:w="1800"/>
            <w:vAlign w:val="center"/>
            <w:tcMar>
              <w:top w:w="100" w:type="dxa"/>
              <w:start w:w="120" w:type="dxa"/>
              <w:bottom w:w="100" w:type="dxa"/>
              <w:end w:w="120" w:type="dxa"/>
            </w:tcMar>
            <w:shd w:fill="F3F7FB"/>
          </w:tcPr>
          <w:p>
            <w:pPr>
              <w:spacing w:after="0"/>
              <w:jc w:val="left"/>
            </w:pPr>
            <w:r>
              <w:rPr>
                <w:sz w:val="16"/>
              </w:rPr>
              <w:t>18 Aug 2026</w:t>
            </w:r>
          </w:p>
        </w:tc>
        <w:tc>
          <w:tcPr>
            <w:tcW w:type="dxa" w:w="4752"/>
            <w:vAlign w:val="center"/>
            <w:tcMar>
              <w:top w:w="100" w:type="dxa"/>
              <w:start w:w="120" w:type="dxa"/>
              <w:bottom w:w="100" w:type="dxa"/>
              <w:end w:w="120" w:type="dxa"/>
            </w:tcMar>
            <w:shd w:fill="F3F7FB"/>
          </w:tcPr>
          <w:p>
            <w:pPr>
              <w:spacing w:after="0"/>
              <w:jc w:val="center"/>
            </w:pPr>
            <w:r>
              <w:rPr>
                <w:sz w:val="16"/>
              </w:rPr>
              <w:t>C++ direct legality, sliding lookups, preallocation, incremental evaluation</w:t>
            </w:r>
          </w:p>
        </w:tc>
        <w:tc>
          <w:tcPr>
            <w:tcW w:type="dxa" w:w="3528"/>
            <w:vAlign w:val="center"/>
            <w:tcMar>
              <w:top w:w="100" w:type="dxa"/>
              <w:start w:w="120" w:type="dxa"/>
              <w:bottom w:w="100" w:type="dxa"/>
              <w:end w:w="120" w:type="dxa"/>
            </w:tcMar>
            <w:shd w:fill="F3F7FB"/>
          </w:tcPr>
          <w:p>
            <w:pPr>
              <w:spacing w:after="0"/>
              <w:jc w:val="center"/>
            </w:pPr>
            <w:r>
              <w:rPr>
                <w:sz w:val="16"/>
              </w:rPr>
              <w:t>Architecture sync and 1996 Elo baseline</w:t>
            </w:r>
          </w:p>
        </w:tc>
      </w:tr>
      <w:tr>
        <w:trPr>
          <w:cantSplit/>
        </w:trPr>
        <w:tc>
          <w:tcPr>
            <w:tcW w:type="dxa" w:w="1800"/>
            <w:vAlign w:val="center"/>
            <w:tcMar>
              <w:top w:w="100" w:type="dxa"/>
              <w:start w:w="120" w:type="dxa"/>
              <w:bottom w:w="100" w:type="dxa"/>
              <w:end w:w="120" w:type="dxa"/>
            </w:tcMar>
          </w:tcPr>
          <w:p>
            <w:pPr>
              <w:spacing w:after="0"/>
              <w:jc w:val="left"/>
            </w:pPr>
            <w:r>
              <w:rPr>
                <w:sz w:val="16"/>
              </w:rPr>
              <w:t>18 Aug to 1 Sep 2026</w:t>
            </w:r>
          </w:p>
        </w:tc>
        <w:tc>
          <w:tcPr>
            <w:tcW w:type="dxa" w:w="4752"/>
            <w:vAlign w:val="center"/>
            <w:tcMar>
              <w:top w:w="100" w:type="dxa"/>
              <w:start w:w="120" w:type="dxa"/>
              <w:bottom w:w="100" w:type="dxa"/>
              <w:end w:w="120" w:type="dxa"/>
            </w:tcMar>
          </w:tcPr>
          <w:p>
            <w:pPr>
              <w:spacing w:after="0"/>
              <w:jc w:val="center"/>
            </w:pPr>
            <w:r>
              <w:rPr>
                <w:sz w:val="16"/>
              </w:rPr>
              <w:t>Adaptive contract, MultiPV, features, schema, synthetic profiles, selector</w:t>
            </w:r>
          </w:p>
        </w:tc>
        <w:tc>
          <w:tcPr>
            <w:tcW w:type="dxa" w:w="3528"/>
            <w:vAlign w:val="center"/>
            <w:tcMar>
              <w:top w:w="100" w:type="dxa"/>
              <w:start w:w="120" w:type="dxa"/>
              <w:bottom w:w="100" w:type="dxa"/>
              <w:end w:w="120" w:type="dxa"/>
            </w:tcMar>
          </w:tcPr>
          <w:p>
            <w:pPr>
              <w:spacing w:after="0"/>
              <w:jc w:val="center"/>
            </w:pPr>
            <w:r>
              <w:rPr>
                <w:sz w:val="16"/>
              </w:rPr>
              <w:t>Versioned docs, profiles and C++ tests</w:t>
            </w:r>
          </w:p>
        </w:tc>
      </w:tr>
      <w:tr>
        <w:trPr>
          <w:cantSplit/>
        </w:trPr>
        <w:tc>
          <w:tcPr>
            <w:tcW w:type="dxa" w:w="1800"/>
            <w:vAlign w:val="center"/>
            <w:tcMar>
              <w:top w:w="100" w:type="dxa"/>
              <w:start w:w="120" w:type="dxa"/>
              <w:bottom w:w="100" w:type="dxa"/>
              <w:end w:w="120" w:type="dxa"/>
            </w:tcMar>
            <w:shd w:fill="F3F7FB"/>
          </w:tcPr>
          <w:p>
            <w:pPr>
              <w:spacing w:after="0"/>
              <w:jc w:val="left"/>
            </w:pPr>
            <w:r>
              <w:rPr>
                <w:sz w:val="16"/>
              </w:rPr>
              <w:t>30 Sep 2026</w:t>
            </w:r>
          </w:p>
        </w:tc>
        <w:tc>
          <w:tcPr>
            <w:tcW w:type="dxa" w:w="4752"/>
            <w:vAlign w:val="center"/>
            <w:tcMar>
              <w:top w:w="100" w:type="dxa"/>
              <w:start w:w="120" w:type="dxa"/>
              <w:bottom w:w="100" w:type="dxa"/>
              <w:end w:w="120" w:type="dxa"/>
            </w:tcMar>
            <w:shd w:fill="F3F7FB"/>
          </w:tcPr>
          <w:p>
            <w:pPr>
              <w:spacing w:after="0"/>
              <w:jc w:val="center"/>
            </w:pPr>
            <w:r>
              <w:rPr>
                <w:sz w:val="16"/>
              </w:rPr>
              <w:t>Personal PGN pipeline, reference labels, features and three-model comparison</w:t>
            </w:r>
          </w:p>
        </w:tc>
        <w:tc>
          <w:tcPr>
            <w:tcW w:type="dxa" w:w="3528"/>
            <w:vAlign w:val="center"/>
            <w:tcMar>
              <w:top w:w="100" w:type="dxa"/>
              <w:start w:w="120" w:type="dxa"/>
              <w:bottom w:w="100" w:type="dxa"/>
              <w:end w:w="120" w:type="dxa"/>
            </w:tcMar>
            <w:shd w:fill="F3F7FB"/>
          </w:tcPr>
          <w:p>
            <w:pPr>
              <w:spacing w:after="0"/>
              <w:jc w:val="center"/>
            </w:pPr>
            <w:r>
              <w:rPr>
                <w:sz w:val="16"/>
              </w:rPr>
              <w:t>Dataset hashes, stability report, drift report and held-out results</w:t>
            </w:r>
          </w:p>
        </w:tc>
      </w:tr>
      <w:tr>
        <w:trPr>
          <w:cantSplit/>
        </w:trPr>
        <w:tc>
          <w:tcPr>
            <w:tcW w:type="dxa" w:w="1800"/>
            <w:vAlign w:val="center"/>
            <w:tcMar>
              <w:top w:w="100" w:type="dxa"/>
              <w:start w:w="120" w:type="dxa"/>
              <w:bottom w:w="100" w:type="dxa"/>
              <w:end w:w="120" w:type="dxa"/>
            </w:tcMar>
          </w:tcPr>
          <w:p>
            <w:pPr>
              <w:spacing w:after="0"/>
              <w:jc w:val="left"/>
            </w:pPr>
            <w:r>
              <w:rPr>
                <w:sz w:val="16"/>
              </w:rPr>
              <w:t>30 Sep 2026</w:t>
            </w:r>
          </w:p>
        </w:tc>
        <w:tc>
          <w:tcPr>
            <w:tcW w:type="dxa" w:w="4752"/>
            <w:vAlign w:val="center"/>
            <w:tcMar>
              <w:top w:w="100" w:type="dxa"/>
              <w:start w:w="120" w:type="dxa"/>
              <w:bottom w:w="100" w:type="dxa"/>
              <w:end w:w="120" w:type="dxa"/>
            </w:tcMar>
          </w:tcPr>
          <w:p>
            <w:pPr>
              <w:spacing w:after="0"/>
              <w:jc w:val="center"/>
            </w:pPr>
            <w:r>
              <w:rPr>
                <w:sz w:val="16"/>
              </w:rPr>
              <w:t>Living project report established</w:t>
            </w:r>
          </w:p>
        </w:tc>
        <w:tc>
          <w:tcPr>
            <w:tcW w:type="dxa" w:w="3528"/>
            <w:vAlign w:val="center"/>
            <w:tcMar>
              <w:top w:w="100" w:type="dxa"/>
              <w:start w:w="120" w:type="dxa"/>
              <w:bottom w:w="100" w:type="dxa"/>
              <w:end w:w="120" w:type="dxa"/>
            </w:tcMar>
          </w:tcPr>
          <w:p>
            <w:pPr>
              <w:spacing w:after="0"/>
              <w:jc w:val="center"/>
            </w:pPr>
            <w:r>
              <w:rPr>
                <w:sz w:val="16"/>
              </w:rPr>
              <w:t>This Word report and reproducible builder</w:t>
            </w:r>
          </w:p>
        </w:tc>
      </w:tr>
      <w:tr>
        <w:trPr>
          <w:cantSplit/>
        </w:trPr>
        <w:tc>
          <w:tcPr>
            <w:tcW w:type="dxa" w:w="1800"/>
            <w:vAlign w:val="center"/>
            <w:tcMar>
              <w:top w:w="100" w:type="dxa"/>
              <w:start w:w="120" w:type="dxa"/>
              <w:bottom w:w="100" w:type="dxa"/>
              <w:end w:w="120" w:type="dxa"/>
            </w:tcMar>
            <w:shd w:fill="F3F7FB"/>
          </w:tcPr>
          <w:p>
            <w:pPr>
              <w:spacing w:after="0"/>
              <w:jc w:val="left"/>
            </w:pPr>
            <w:r>
              <w:rPr>
                <w:sz w:val="16"/>
              </w:rPr>
              <w:t>30 Sep 2026</w:t>
            </w:r>
          </w:p>
        </w:tc>
        <w:tc>
          <w:tcPr>
            <w:tcW w:type="dxa" w:w="4752"/>
            <w:vAlign w:val="center"/>
            <w:tcMar>
              <w:top w:w="100" w:type="dxa"/>
              <w:start w:w="120" w:type="dxa"/>
              <w:bottom w:w="100" w:type="dxa"/>
              <w:end w:w="120" w:type="dxa"/>
            </w:tcMar>
            <w:shd w:fill="F3F7FB"/>
          </w:tcPr>
          <w:p>
            <w:pPr>
              <w:spacing w:after="0"/>
              <w:jc w:val="center"/>
            </w:pPr>
            <w:r>
              <w:rPr>
                <w:sz w:val="16"/>
              </w:rPr>
              <w:t>Player-history drift strategies compared</w:t>
            </w:r>
          </w:p>
        </w:tc>
        <w:tc>
          <w:tcPr>
            <w:tcW w:type="dxa" w:w="3528"/>
            <w:vAlign w:val="center"/>
            <w:tcMar>
              <w:top w:w="100" w:type="dxa"/>
              <w:start w:w="120" w:type="dxa"/>
              <w:bottom w:w="100" w:type="dxa"/>
              <w:end w:w="120" w:type="dxa"/>
            </w:tcMar>
            <w:shd w:fill="F3F7FB"/>
          </w:tcPr>
          <w:p>
            <w:pPr>
              <w:spacing w:after="0"/>
              <w:jc w:val="center"/>
            </w:pPr>
            <w:r>
              <w:rPr>
                <w:sz w:val="16"/>
              </w:rPr>
              <w:t>Lifetime frozen model retained; online updating produced the best forward prediction</w:t>
            </w:r>
          </w:p>
        </w:tc>
      </w:tr>
      <w:tr>
        <w:trPr>
          <w:cantSplit/>
        </w:trPr>
        <w:tc>
          <w:tcPr>
            <w:tcW w:type="dxa" w:w="1800"/>
            <w:vAlign w:val="center"/>
            <w:tcMar>
              <w:top w:w="100" w:type="dxa"/>
              <w:start w:w="120" w:type="dxa"/>
              <w:bottom w:w="100" w:type="dxa"/>
              <w:end w:w="120" w:type="dxa"/>
            </w:tcMar>
          </w:tcPr>
          <w:p>
            <w:pPr>
              <w:spacing w:after="0"/>
              <w:jc w:val="left"/>
            </w:pPr>
            <w:r>
              <w:rPr>
                <w:sz w:val="16"/>
              </w:rPr>
              <w:t>30 Sep 2026</w:t>
            </w:r>
          </w:p>
        </w:tc>
        <w:tc>
          <w:tcPr>
            <w:tcW w:type="dxa" w:w="4752"/>
            <w:vAlign w:val="center"/>
            <w:tcMar>
              <w:top w:w="100" w:type="dxa"/>
              <w:start w:w="120" w:type="dxa"/>
              <w:bottom w:w="100" w:type="dxa"/>
              <w:end w:w="120" w:type="dxa"/>
            </w:tcMar>
          </w:tcPr>
          <w:p>
            <w:pPr>
              <w:spacing w:after="0"/>
              <w:jc w:val="center"/>
            </w:pPr>
            <w:r>
              <w:rPr>
                <w:sz w:val="16"/>
              </w:rPr>
              <w:t>Boosting models deployed in bounded C++ selector</w:t>
            </w:r>
          </w:p>
        </w:tc>
        <w:tc>
          <w:tcPr>
            <w:tcW w:type="dxa" w:w="3528"/>
            <w:vAlign w:val="center"/>
            <w:tcMar>
              <w:top w:w="100" w:type="dxa"/>
              <w:start w:w="120" w:type="dxa"/>
              <w:bottom w:w="100" w:type="dxa"/>
              <w:end w:w="120" w:type="dxa"/>
            </w:tcMar>
          </w:tcPr>
          <w:p>
            <w:pPr>
              <w:spacing w:after="0"/>
              <w:jc w:val="center"/>
            </w:pPr>
            <w:r>
              <w:rPr>
                <w:sz w:val="16"/>
              </w:rPr>
              <w:t>Inference and feature parity, 32-position identical-candidate replay, and 64-game safety match</w:t>
            </w:r>
          </w:p>
        </w:tc>
      </w:tr>
    </w:tbl>
    <w:p>
      <w:pPr>
        <w:spacing w:after="20"/>
      </w:pPr>
    </w:p>
    <w:p>
      <w:pPr>
        <w:pStyle w:val="Heading2"/>
      </w:pPr>
      <w:r>
        <w:t>Report maintenance rule</w:t>
      </w:r>
    </w:p>
    <w:p>
      <w:r>
        <w:t>This document is a living project artifact. Every future GitHub push that changes architecture, experimental protocol, data, model behavior, measurements, conclusions, or the roadmap should update the corresponding section of this report in the same work cycle. Small refactors that do not change behavior may be recorded in the milestone ledger rather than expanded into a new section.</w:t>
      </w:r>
    </w:p>
    <w:p>
      <w:pPr>
        <w:pStyle w:val="ListBullet"/>
      </w:pPr>
      <w:r>
        <w:t>Record the commit or milestone, date, purpose, implementation change, validation performed, result, and remaining uncertainty.</w:t>
      </w:r>
    </w:p>
    <w:p>
      <w:pPr>
        <w:pStyle w:val="ListBullet"/>
      </w:pPr>
      <w:r>
        <w:t>Separate measured facts from interpretations and proposed next steps.</w:t>
      </w:r>
    </w:p>
    <w:p>
      <w:pPr>
        <w:pStyle w:val="ListBullet"/>
      </w:pPr>
      <w:r>
        <w:t>Preserve negative results and failed hypotheses; do not rewrite history around the winning model.</w:t>
      </w:r>
    </w:p>
    <w:p>
      <w:pPr>
        <w:pStyle w:val="ListBullet"/>
      </w:pPr>
      <w:r>
        <w:t>Update charts and sample counts when a newer experiment supersedes them, while retaining the older value in the milestone narrative.</w:t>
      </w:r>
    </w:p>
    <w:p>
      <w:pPr>
        <w:pStyle w:val="ListBullet"/>
      </w:pPr>
      <w:r>
        <w:t>Regenerate this Word file with tools/build_project_report.py, render it, inspect every page, then commit the report with the related project change.</w:t>
      </w:r>
    </w:p>
    <w:p>
      <w:pPr>
        <w:pStyle w:val="Heading2"/>
      </w:pPr>
      <w:r>
        <w:t>Source record</w:t>
      </w:r>
    </w:p>
    <w:p>
      <w:r>
        <w:t>This version was assembled from the Git history through commit 2dbeaf0 plus the learned-selector milestone documented here, the repository roadmap and architecture notes, the Elo benchmark, the adaptive experiment contract, the profile and feature specifications, the reference-label stability study, the player-drift report, and the YashDutt7 model-results report. Personal raw games remain outside version control; frozen derived tree parameters are checked in with source hashes for reproducibility.</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46464"/>
        <w:sz w:val="16"/>
      </w:rPr>
      <w:t>Adaptive Chess Engine  Living Project Report</w:t>
    </w:r>
  </w:p>
  <w:p>
    <w:pP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jc w:val="left"/>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Chess Engine Project Development and Research Report</dc:title>
  <dc:subject>Living technical report covering engine performance and adaptive opponent modelling</dc:subject>
  <dc:creator>Yash Dutt</dc:creator>
  <cp:keywords>chess engine, adaptive engine, opponent modelling, gradient boosting, C++, research</cp:keywords>
  <dc:description>generated by python-docx</dc:description>
  <cp:lastModifiedBy/>
  <cp:revision>1</cp:revision>
  <dcterms:created xsi:type="dcterms:W3CDTF">2013-12-23T23:15:00Z</dcterms:created>
  <dcterms:modified xsi:type="dcterms:W3CDTF">2013-12-23T23:15:00Z</dcterms:modified>
  <cp:category/>
</cp:coreProperties>
</file>