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5F74" w14:textId="77777777" w:rsidR="00AE2DF3" w:rsidRDefault="00000000">
      <w:pPr>
        <w:spacing w:after="40"/>
      </w:pPr>
      <w:r>
        <w:rPr>
          <w:b/>
          <w:sz w:val="36"/>
        </w:rPr>
        <w:t>Course of Independent Study: Proposal</w:t>
      </w:r>
    </w:p>
    <w:p w14:paraId="28E6CCC5" w14:textId="77777777" w:rsidR="00AE2DF3" w:rsidRDefault="00000000">
      <w:pPr>
        <w:spacing w:after="40"/>
      </w:pPr>
      <w:r>
        <w:rPr>
          <w:b/>
          <w:sz w:val="24"/>
        </w:rPr>
        <w:t>AI across the Indian retail and MSME lending workflow: what is deployed, what is disclosed, and where it can improve</w:t>
      </w:r>
    </w:p>
    <w:p w14:paraId="394A5D23" w14:textId="6A7275CE" w:rsidR="00AE2DF3" w:rsidRDefault="00000000">
      <w:pPr>
        <w:spacing w:after="160"/>
      </w:pPr>
      <w:r>
        <w:rPr>
          <w:i/>
          <w:sz w:val="19"/>
        </w:rPr>
        <w:t xml:space="preserve">Yash </w:t>
      </w:r>
      <w:r w:rsidR="00486D57">
        <w:rPr>
          <w:i/>
          <w:sz w:val="19"/>
        </w:rPr>
        <w:t>Goyal -PPM-022-159</w:t>
      </w:r>
      <w:r>
        <w:rPr>
          <w:i/>
          <w:sz w:val="19"/>
        </w:rPr>
        <w:t xml:space="preserve"> | Faculty mentor: Prof. Abhishek </w:t>
      </w:r>
      <w:r w:rsidR="00486D57">
        <w:rPr>
          <w:i/>
          <w:sz w:val="19"/>
        </w:rPr>
        <w:t>Jha</w:t>
      </w:r>
      <w:r>
        <w:rPr>
          <w:i/>
          <w:sz w:val="19"/>
        </w:rPr>
        <w:t xml:space="preserve"> | Status: topic proposal for approval, 7 Oct 2026</w:t>
      </w:r>
    </w:p>
    <w:p w14:paraId="74E3CAB3" w14:textId="77777777" w:rsidR="00AE2DF3" w:rsidRDefault="00000000">
      <w:pPr>
        <w:pStyle w:val="Heading1"/>
      </w:pPr>
      <w:r>
        <w:t>1. Topic and what the study will do</w:t>
      </w:r>
    </w:p>
    <w:p w14:paraId="61E41DB3" w14:textId="37E8CB16" w:rsidR="00AE2DF3" w:rsidRDefault="00000000">
      <w:r>
        <w:t xml:space="preserve">Industry chosen: retail and MSME lending (banks and NBFCs) in India. </w:t>
      </w:r>
    </w:p>
    <w:p w14:paraId="075452CB" w14:textId="77777777" w:rsidR="00AE2DF3" w:rsidRDefault="00000000">
      <w:pPr>
        <w:pStyle w:val="ListBullet"/>
        <w:spacing w:after="40"/>
      </w:pPr>
      <w:r>
        <w:t>Map the existing end-to-end lending workflow into stages and sub-steps.</w:t>
      </w:r>
    </w:p>
    <w:p w14:paraId="48F8E566" w14:textId="77777777" w:rsidR="00AE2DF3" w:rsidRDefault="00000000">
      <w:pPr>
        <w:pStyle w:val="ListBullet"/>
        <w:spacing w:after="40"/>
      </w:pPr>
      <w:r>
        <w:t>Research, from official and credible sources, which AI is used in each stage, for what, and how much.</w:t>
      </w:r>
    </w:p>
    <w:p w14:paraId="0F8567FA" w14:textId="77777777" w:rsidR="00AE2DF3" w:rsidRDefault="00000000">
      <w:pPr>
        <w:pStyle w:val="ListBullet"/>
        <w:spacing w:after="40"/>
      </w:pPr>
      <w:r>
        <w:t>In each smaller component of the workflow, identify where AI is missing, partial or unmeasured, and propose how AI could improve it.</w:t>
      </w:r>
    </w:p>
    <w:p w14:paraId="0BF2A735" w14:textId="77777777" w:rsidR="00AE2DF3" w:rsidRDefault="00000000">
      <w:r>
        <w:t>Why lending: it has a clear multi-stage workflow, the most public disclosure of any of the three industries compared (e-commerce, lending, insurance claims), a regulator that has published an AI framework and a sector survey (RBI FREE-AI, Aug 2025), and direct relevance to banking and NBFC roles.</w:t>
      </w:r>
    </w:p>
    <w:p w14:paraId="7705575F" w14:textId="77777777" w:rsidR="00AE2DF3" w:rsidRDefault="00000000">
      <w:pPr>
        <w:pStyle w:val="Heading1"/>
      </w:pPr>
      <w:r>
        <w:t>2. End-to-end lending workflow (working framework)</w:t>
      </w:r>
    </w:p>
    <w:p w14:paraId="22F5BD6B" w14:textId="77777777" w:rsidR="00AE2DF3" w:rsidRDefault="00000000">
      <w:r>
        <w:t>Flow: Acquisition and marketing &gt; Onboarding and KYC &gt; Underwriting and scoring &gt; Sanction and disbursal &gt; Servicing and support &gt; Collections and recovery &gt; Portfolio monitoring and early warning. Fraud detection and Compliance/AML run across all stages.</w:t>
      </w:r>
    </w:p>
    <w:tbl>
      <w:tblPr>
        <w:tblStyle w:val="TableGrid"/>
        <w:tblW w:w="0" w:type="auto"/>
        <w:jc w:val="center"/>
        <w:tblLayout w:type="fixed"/>
        <w:tblLook w:val="04A0" w:firstRow="1" w:lastRow="0" w:firstColumn="1" w:lastColumn="0" w:noHBand="0" w:noVBand="1"/>
      </w:tblPr>
      <w:tblGrid>
        <w:gridCol w:w="454"/>
        <w:gridCol w:w="2608"/>
        <w:gridCol w:w="6690"/>
      </w:tblGrid>
      <w:tr w:rsidR="00AE2DF3" w14:paraId="78ACC194" w14:textId="77777777">
        <w:trPr>
          <w:tblHeader/>
          <w:jc w:val="center"/>
        </w:trPr>
        <w:tc>
          <w:tcPr>
            <w:tcW w:w="454" w:type="dxa"/>
            <w:shd w:val="clear" w:color="auto" w:fill="1F3A5F"/>
          </w:tcPr>
          <w:p w14:paraId="4870668C" w14:textId="77777777" w:rsidR="00AE2DF3" w:rsidRDefault="00000000">
            <w:r>
              <w:rPr>
                <w:b/>
                <w:color w:val="FFFFFF"/>
                <w:sz w:val="18"/>
              </w:rPr>
              <w:t>#</w:t>
            </w:r>
          </w:p>
        </w:tc>
        <w:tc>
          <w:tcPr>
            <w:tcW w:w="2608" w:type="dxa"/>
            <w:shd w:val="clear" w:color="auto" w:fill="1F3A5F"/>
          </w:tcPr>
          <w:p w14:paraId="1B1AD6F0" w14:textId="77777777" w:rsidR="00AE2DF3" w:rsidRDefault="00000000">
            <w:r>
              <w:rPr>
                <w:b/>
                <w:color w:val="FFFFFF"/>
                <w:sz w:val="18"/>
              </w:rPr>
              <w:t>Stage</w:t>
            </w:r>
          </w:p>
        </w:tc>
        <w:tc>
          <w:tcPr>
            <w:tcW w:w="6690" w:type="dxa"/>
            <w:shd w:val="clear" w:color="auto" w:fill="1F3A5F"/>
          </w:tcPr>
          <w:p w14:paraId="6FB47300" w14:textId="77777777" w:rsidR="00AE2DF3" w:rsidRDefault="00000000">
            <w:r>
              <w:rPr>
                <w:b/>
                <w:color w:val="FFFFFF"/>
                <w:sz w:val="18"/>
              </w:rPr>
              <w:t>Main steps today</w:t>
            </w:r>
          </w:p>
        </w:tc>
      </w:tr>
      <w:tr w:rsidR="00AE2DF3" w14:paraId="07302D85" w14:textId="77777777">
        <w:trPr>
          <w:jc w:val="center"/>
        </w:trPr>
        <w:tc>
          <w:tcPr>
            <w:tcW w:w="454" w:type="dxa"/>
          </w:tcPr>
          <w:p w14:paraId="168B5144" w14:textId="77777777" w:rsidR="00AE2DF3" w:rsidRDefault="00000000">
            <w:pPr>
              <w:spacing w:after="0"/>
            </w:pPr>
            <w:r>
              <w:rPr>
                <w:b/>
                <w:sz w:val="18"/>
              </w:rPr>
              <w:t>1</w:t>
            </w:r>
          </w:p>
        </w:tc>
        <w:tc>
          <w:tcPr>
            <w:tcW w:w="2608" w:type="dxa"/>
          </w:tcPr>
          <w:p w14:paraId="79B952F9" w14:textId="77777777" w:rsidR="00AE2DF3" w:rsidRDefault="00000000">
            <w:pPr>
              <w:spacing w:after="0"/>
            </w:pPr>
            <w:r>
              <w:rPr>
                <w:sz w:val="18"/>
              </w:rPr>
              <w:t>Acquisition and marketing</w:t>
            </w:r>
          </w:p>
        </w:tc>
        <w:tc>
          <w:tcPr>
            <w:tcW w:w="6690" w:type="dxa"/>
          </w:tcPr>
          <w:p w14:paraId="55B12047" w14:textId="77777777" w:rsidR="00AE2DF3" w:rsidRDefault="00000000">
            <w:pPr>
              <w:spacing w:after="0"/>
            </w:pPr>
            <w:r>
              <w:rPr>
                <w:sz w:val="18"/>
              </w:rPr>
              <w:t>Lead generation; lead scoring and pre-approved offers; sales contact (calls, SMS, app); campaign personalisation</w:t>
            </w:r>
          </w:p>
        </w:tc>
      </w:tr>
      <w:tr w:rsidR="00AE2DF3" w14:paraId="0CFB0830" w14:textId="77777777">
        <w:trPr>
          <w:jc w:val="center"/>
        </w:trPr>
        <w:tc>
          <w:tcPr>
            <w:tcW w:w="454" w:type="dxa"/>
          </w:tcPr>
          <w:p w14:paraId="5E4F061B" w14:textId="77777777" w:rsidR="00AE2DF3" w:rsidRDefault="00000000">
            <w:pPr>
              <w:spacing w:after="0"/>
            </w:pPr>
            <w:r>
              <w:rPr>
                <w:b/>
                <w:sz w:val="18"/>
              </w:rPr>
              <w:t>2</w:t>
            </w:r>
          </w:p>
        </w:tc>
        <w:tc>
          <w:tcPr>
            <w:tcW w:w="2608" w:type="dxa"/>
          </w:tcPr>
          <w:p w14:paraId="18AA1BE4" w14:textId="77777777" w:rsidR="00AE2DF3" w:rsidRDefault="00000000">
            <w:pPr>
              <w:spacing w:after="0"/>
            </w:pPr>
            <w:r>
              <w:rPr>
                <w:sz w:val="18"/>
              </w:rPr>
              <w:t>Onboarding and KYC / V-CIP</w:t>
            </w:r>
          </w:p>
        </w:tc>
        <w:tc>
          <w:tcPr>
            <w:tcW w:w="6690" w:type="dxa"/>
          </w:tcPr>
          <w:p w14:paraId="50FCCAC0" w14:textId="77777777" w:rsidR="00AE2DF3" w:rsidRDefault="00000000">
            <w:pPr>
              <w:spacing w:after="0"/>
            </w:pPr>
            <w:r>
              <w:rPr>
                <w:sz w:val="18"/>
              </w:rPr>
              <w:t>Application and document capture; data extraction; identity checks (Aadhaar, CKYC, bureau); video KYC with liveness and face match</w:t>
            </w:r>
          </w:p>
        </w:tc>
      </w:tr>
      <w:tr w:rsidR="00AE2DF3" w14:paraId="248E6473" w14:textId="77777777">
        <w:trPr>
          <w:jc w:val="center"/>
        </w:trPr>
        <w:tc>
          <w:tcPr>
            <w:tcW w:w="454" w:type="dxa"/>
          </w:tcPr>
          <w:p w14:paraId="1575C426" w14:textId="77777777" w:rsidR="00AE2DF3" w:rsidRDefault="00000000">
            <w:pPr>
              <w:spacing w:after="0"/>
            </w:pPr>
            <w:r>
              <w:rPr>
                <w:b/>
                <w:sz w:val="18"/>
              </w:rPr>
              <w:t>3</w:t>
            </w:r>
          </w:p>
        </w:tc>
        <w:tc>
          <w:tcPr>
            <w:tcW w:w="2608" w:type="dxa"/>
          </w:tcPr>
          <w:p w14:paraId="61F2ADCF" w14:textId="77777777" w:rsidR="00AE2DF3" w:rsidRDefault="00000000">
            <w:pPr>
              <w:spacing w:after="0"/>
            </w:pPr>
            <w:r>
              <w:rPr>
                <w:sz w:val="18"/>
              </w:rPr>
              <w:t>Underwriting and scoring</w:t>
            </w:r>
          </w:p>
        </w:tc>
        <w:tc>
          <w:tcPr>
            <w:tcW w:w="6690" w:type="dxa"/>
          </w:tcPr>
          <w:p w14:paraId="3602CD65" w14:textId="77777777" w:rsidR="00AE2DF3" w:rsidRDefault="00000000">
            <w:pPr>
              <w:spacing w:after="0"/>
            </w:pPr>
            <w:r>
              <w:rPr>
                <w:sz w:val="18"/>
              </w:rPr>
              <w:t>Data collection (bureau, bank statements, GST, Account Aggregator); scorecard or model; policy rules; manual review for exceptions; pricing and limit</w:t>
            </w:r>
          </w:p>
        </w:tc>
      </w:tr>
      <w:tr w:rsidR="00AE2DF3" w14:paraId="17AC2A9A" w14:textId="77777777">
        <w:trPr>
          <w:jc w:val="center"/>
        </w:trPr>
        <w:tc>
          <w:tcPr>
            <w:tcW w:w="454" w:type="dxa"/>
          </w:tcPr>
          <w:p w14:paraId="05B05191" w14:textId="77777777" w:rsidR="00AE2DF3" w:rsidRDefault="00000000">
            <w:pPr>
              <w:spacing w:after="0"/>
            </w:pPr>
            <w:r>
              <w:rPr>
                <w:b/>
                <w:sz w:val="18"/>
              </w:rPr>
              <w:t>4</w:t>
            </w:r>
          </w:p>
        </w:tc>
        <w:tc>
          <w:tcPr>
            <w:tcW w:w="2608" w:type="dxa"/>
          </w:tcPr>
          <w:p w14:paraId="5835ED95" w14:textId="77777777" w:rsidR="00AE2DF3" w:rsidRDefault="00000000">
            <w:pPr>
              <w:spacing w:after="0"/>
            </w:pPr>
            <w:r>
              <w:rPr>
                <w:sz w:val="18"/>
              </w:rPr>
              <w:t>Fraud detection (cross-stage)</w:t>
            </w:r>
          </w:p>
        </w:tc>
        <w:tc>
          <w:tcPr>
            <w:tcW w:w="6690" w:type="dxa"/>
          </w:tcPr>
          <w:p w14:paraId="27E85907" w14:textId="77777777" w:rsidR="00AE2DF3" w:rsidRDefault="00000000">
            <w:pPr>
              <w:spacing w:after="0"/>
            </w:pPr>
            <w:r>
              <w:rPr>
                <w:sz w:val="18"/>
              </w:rPr>
              <w:t>Application and identity fraud; document tampering; mule and transaction anomalies; investigation and RBI reporting</w:t>
            </w:r>
          </w:p>
        </w:tc>
      </w:tr>
      <w:tr w:rsidR="00AE2DF3" w14:paraId="4058C50D" w14:textId="77777777">
        <w:trPr>
          <w:jc w:val="center"/>
        </w:trPr>
        <w:tc>
          <w:tcPr>
            <w:tcW w:w="454" w:type="dxa"/>
          </w:tcPr>
          <w:p w14:paraId="42EB0D3E" w14:textId="77777777" w:rsidR="00AE2DF3" w:rsidRDefault="00000000">
            <w:pPr>
              <w:spacing w:after="0"/>
            </w:pPr>
            <w:r>
              <w:rPr>
                <w:b/>
                <w:sz w:val="18"/>
              </w:rPr>
              <w:t>5</w:t>
            </w:r>
          </w:p>
        </w:tc>
        <w:tc>
          <w:tcPr>
            <w:tcW w:w="2608" w:type="dxa"/>
          </w:tcPr>
          <w:p w14:paraId="4E67DF4F" w14:textId="77777777" w:rsidR="00AE2DF3" w:rsidRDefault="00000000">
            <w:pPr>
              <w:spacing w:after="0"/>
            </w:pPr>
            <w:r>
              <w:rPr>
                <w:sz w:val="18"/>
              </w:rPr>
              <w:t>Sanction and disbursal</w:t>
            </w:r>
          </w:p>
        </w:tc>
        <w:tc>
          <w:tcPr>
            <w:tcW w:w="6690" w:type="dxa"/>
          </w:tcPr>
          <w:p w14:paraId="01EEC719" w14:textId="77777777" w:rsidR="00AE2DF3" w:rsidRDefault="00000000">
            <w:pPr>
              <w:spacing w:after="0"/>
            </w:pPr>
            <w:r>
              <w:rPr>
                <w:sz w:val="18"/>
              </w:rPr>
              <w:t>Terms and key fact statement; e-sign; pre-disbursal checks; payout; loan system booking</w:t>
            </w:r>
          </w:p>
        </w:tc>
      </w:tr>
      <w:tr w:rsidR="00AE2DF3" w14:paraId="13B0B6C8" w14:textId="77777777">
        <w:trPr>
          <w:jc w:val="center"/>
        </w:trPr>
        <w:tc>
          <w:tcPr>
            <w:tcW w:w="454" w:type="dxa"/>
          </w:tcPr>
          <w:p w14:paraId="288C5BB1" w14:textId="77777777" w:rsidR="00AE2DF3" w:rsidRDefault="00000000">
            <w:pPr>
              <w:spacing w:after="0"/>
            </w:pPr>
            <w:r>
              <w:rPr>
                <w:b/>
                <w:sz w:val="18"/>
              </w:rPr>
              <w:t>6</w:t>
            </w:r>
          </w:p>
        </w:tc>
        <w:tc>
          <w:tcPr>
            <w:tcW w:w="2608" w:type="dxa"/>
          </w:tcPr>
          <w:p w14:paraId="2BA66939" w14:textId="77777777" w:rsidR="00AE2DF3" w:rsidRDefault="00000000">
            <w:pPr>
              <w:spacing w:after="0"/>
            </w:pPr>
            <w:r>
              <w:rPr>
                <w:sz w:val="18"/>
              </w:rPr>
              <w:t>Servicing and support</w:t>
            </w:r>
          </w:p>
        </w:tc>
        <w:tc>
          <w:tcPr>
            <w:tcW w:w="6690" w:type="dxa"/>
          </w:tcPr>
          <w:p w14:paraId="2A1F73F8" w14:textId="77777777" w:rsidR="00AE2DF3" w:rsidRDefault="00000000">
            <w:pPr>
              <w:spacing w:after="0"/>
            </w:pPr>
            <w:r>
              <w:rPr>
                <w:sz w:val="18"/>
              </w:rPr>
              <w:t>App, chat and voice bots; agent handling; service requests; complaints; top-up and cross-sell offers</w:t>
            </w:r>
          </w:p>
        </w:tc>
      </w:tr>
      <w:tr w:rsidR="00AE2DF3" w14:paraId="1BADD690" w14:textId="77777777">
        <w:trPr>
          <w:jc w:val="center"/>
        </w:trPr>
        <w:tc>
          <w:tcPr>
            <w:tcW w:w="454" w:type="dxa"/>
          </w:tcPr>
          <w:p w14:paraId="7D60C748" w14:textId="77777777" w:rsidR="00AE2DF3" w:rsidRDefault="00000000">
            <w:pPr>
              <w:spacing w:after="0"/>
            </w:pPr>
            <w:r>
              <w:rPr>
                <w:b/>
                <w:sz w:val="18"/>
              </w:rPr>
              <w:t>7</w:t>
            </w:r>
          </w:p>
        </w:tc>
        <w:tc>
          <w:tcPr>
            <w:tcW w:w="2608" w:type="dxa"/>
          </w:tcPr>
          <w:p w14:paraId="04CA10F1" w14:textId="77777777" w:rsidR="00AE2DF3" w:rsidRDefault="00000000">
            <w:pPr>
              <w:spacing w:after="0"/>
            </w:pPr>
            <w:r>
              <w:rPr>
                <w:sz w:val="18"/>
              </w:rPr>
              <w:t>Collections and recovery</w:t>
            </w:r>
          </w:p>
        </w:tc>
        <w:tc>
          <w:tcPr>
            <w:tcW w:w="6690" w:type="dxa"/>
          </w:tcPr>
          <w:p w14:paraId="56F8A3B9" w14:textId="77777777" w:rsidR="00AE2DF3" w:rsidRDefault="00000000">
            <w:pPr>
              <w:spacing w:after="0"/>
            </w:pPr>
            <w:r>
              <w:rPr>
                <w:sz w:val="18"/>
              </w:rPr>
              <w:t>Pre-due reminders; early-bucket calls and promise-to-pay; allocation (in-house vs agency); field and legal recovery</w:t>
            </w:r>
          </w:p>
        </w:tc>
      </w:tr>
      <w:tr w:rsidR="00AE2DF3" w14:paraId="5FED951E" w14:textId="77777777">
        <w:trPr>
          <w:jc w:val="center"/>
        </w:trPr>
        <w:tc>
          <w:tcPr>
            <w:tcW w:w="454" w:type="dxa"/>
          </w:tcPr>
          <w:p w14:paraId="770D0A6E" w14:textId="77777777" w:rsidR="00AE2DF3" w:rsidRDefault="00000000">
            <w:pPr>
              <w:spacing w:after="0"/>
            </w:pPr>
            <w:r>
              <w:rPr>
                <w:b/>
                <w:sz w:val="18"/>
              </w:rPr>
              <w:t>8</w:t>
            </w:r>
          </w:p>
        </w:tc>
        <w:tc>
          <w:tcPr>
            <w:tcW w:w="2608" w:type="dxa"/>
          </w:tcPr>
          <w:p w14:paraId="4A562009" w14:textId="77777777" w:rsidR="00AE2DF3" w:rsidRDefault="00000000">
            <w:pPr>
              <w:spacing w:after="0"/>
            </w:pPr>
            <w:r>
              <w:rPr>
                <w:sz w:val="18"/>
              </w:rPr>
              <w:t>Portfolio monitoring and early warning</w:t>
            </w:r>
          </w:p>
        </w:tc>
        <w:tc>
          <w:tcPr>
            <w:tcW w:w="6690" w:type="dxa"/>
          </w:tcPr>
          <w:p w14:paraId="6517DFB2" w14:textId="77777777" w:rsidR="00AE2DF3" w:rsidRDefault="00000000">
            <w:pPr>
              <w:spacing w:after="0"/>
            </w:pPr>
            <w:r>
              <w:rPr>
                <w:sz w:val="18"/>
              </w:rPr>
              <w:t>Account and portfolio data; early-warning signals; stress-bucket tracking; review and red-flagging</w:t>
            </w:r>
          </w:p>
        </w:tc>
      </w:tr>
      <w:tr w:rsidR="00AE2DF3" w14:paraId="0F96DE36" w14:textId="77777777">
        <w:trPr>
          <w:jc w:val="center"/>
        </w:trPr>
        <w:tc>
          <w:tcPr>
            <w:tcW w:w="454" w:type="dxa"/>
          </w:tcPr>
          <w:p w14:paraId="387E777E" w14:textId="77777777" w:rsidR="00AE2DF3" w:rsidRDefault="00000000">
            <w:pPr>
              <w:spacing w:after="0"/>
            </w:pPr>
            <w:r>
              <w:rPr>
                <w:b/>
                <w:sz w:val="18"/>
              </w:rPr>
              <w:t>9</w:t>
            </w:r>
          </w:p>
        </w:tc>
        <w:tc>
          <w:tcPr>
            <w:tcW w:w="2608" w:type="dxa"/>
          </w:tcPr>
          <w:p w14:paraId="66BADD36" w14:textId="77777777" w:rsidR="00AE2DF3" w:rsidRDefault="00000000">
            <w:pPr>
              <w:spacing w:after="0"/>
            </w:pPr>
            <w:r>
              <w:rPr>
                <w:sz w:val="18"/>
              </w:rPr>
              <w:t>Compliance and AML (cross-stage)</w:t>
            </w:r>
          </w:p>
        </w:tc>
        <w:tc>
          <w:tcPr>
            <w:tcW w:w="6690" w:type="dxa"/>
          </w:tcPr>
          <w:p w14:paraId="29C5428D" w14:textId="77777777" w:rsidR="00AE2DF3" w:rsidRDefault="00000000">
            <w:pPr>
              <w:spacing w:after="0"/>
            </w:pPr>
            <w:r>
              <w:rPr>
                <w:sz w:val="18"/>
              </w:rPr>
              <w:t>KYC refresh; transaction monitoring; regulatory reporting; model governance and explainability; data protection</w:t>
            </w:r>
          </w:p>
        </w:tc>
      </w:tr>
    </w:tbl>
    <w:p w14:paraId="29D77FEE" w14:textId="77777777" w:rsidR="00AE2DF3" w:rsidRDefault="00AE2DF3">
      <w:pPr>
        <w:spacing w:after="40"/>
      </w:pPr>
    </w:p>
    <w:p w14:paraId="4B539DC9" w14:textId="77777777" w:rsidR="00AE2DF3" w:rsidRDefault="00000000">
      <w:r>
        <w:rPr>
          <w:i/>
          <w:sz w:val="18"/>
        </w:rPr>
        <w:t>The stage list and sub-steps are a working framework for organising the evidence, not a published taxonomy. NBFC, bank and fintech-partner models differ in who performs each step.</w:t>
      </w:r>
    </w:p>
    <w:p w14:paraId="61D8F711" w14:textId="77777777" w:rsidR="00AE2DF3" w:rsidRDefault="00000000">
      <w:pPr>
        <w:pStyle w:val="Heading1"/>
      </w:pPr>
      <w:r>
        <w:t>3. Where AI is used today: verified examples by stage</w:t>
      </w:r>
    </w:p>
    <w:p w14:paraId="5B8B3937" w14:textId="77777777" w:rsidR="00AE2DF3" w:rsidRDefault="00000000">
      <w:r>
        <w:rPr>
          <w:sz w:val="19"/>
        </w:rPr>
        <w:t>Only figures read in the original document are shown. All are company or regulator statements, not independently audited results. Evidence depth: Strong = repeated quantified disclosures; Some = activity counts or partial metrics; None = no verified quantified AI evidence.</w:t>
      </w:r>
    </w:p>
    <w:tbl>
      <w:tblPr>
        <w:tblStyle w:val="TableGrid"/>
        <w:tblW w:w="0" w:type="auto"/>
        <w:jc w:val="center"/>
        <w:tblLayout w:type="fixed"/>
        <w:tblLook w:val="04A0" w:firstRow="1" w:lastRow="0" w:firstColumn="1" w:lastColumn="0" w:noHBand="0" w:noVBand="1"/>
      </w:tblPr>
      <w:tblGrid>
        <w:gridCol w:w="1814"/>
        <w:gridCol w:w="6406"/>
        <w:gridCol w:w="1531"/>
      </w:tblGrid>
      <w:tr w:rsidR="00AE2DF3" w14:paraId="36A29B26" w14:textId="77777777">
        <w:trPr>
          <w:tblHeader/>
          <w:jc w:val="center"/>
        </w:trPr>
        <w:tc>
          <w:tcPr>
            <w:tcW w:w="1814" w:type="dxa"/>
            <w:shd w:val="clear" w:color="auto" w:fill="1F3A5F"/>
          </w:tcPr>
          <w:p w14:paraId="071EDE5B" w14:textId="77777777" w:rsidR="00AE2DF3" w:rsidRDefault="00000000">
            <w:r>
              <w:rPr>
                <w:b/>
                <w:color w:val="FFFFFF"/>
                <w:sz w:val="18"/>
              </w:rPr>
              <w:t>Stage</w:t>
            </w:r>
          </w:p>
        </w:tc>
        <w:tc>
          <w:tcPr>
            <w:tcW w:w="6406" w:type="dxa"/>
            <w:shd w:val="clear" w:color="auto" w:fill="1F3A5F"/>
          </w:tcPr>
          <w:p w14:paraId="464507B3" w14:textId="77777777" w:rsidR="00AE2DF3" w:rsidRDefault="00000000">
            <w:r>
              <w:rPr>
                <w:b/>
                <w:color w:val="FFFFFF"/>
                <w:sz w:val="18"/>
              </w:rPr>
              <w:t>AI use and verified example (source)</w:t>
            </w:r>
          </w:p>
        </w:tc>
        <w:tc>
          <w:tcPr>
            <w:tcW w:w="1531" w:type="dxa"/>
            <w:shd w:val="clear" w:color="auto" w:fill="1F3A5F"/>
          </w:tcPr>
          <w:p w14:paraId="6145322C" w14:textId="77777777" w:rsidR="00AE2DF3" w:rsidRDefault="00000000">
            <w:r>
              <w:rPr>
                <w:b/>
                <w:color w:val="FFFFFF"/>
                <w:sz w:val="18"/>
              </w:rPr>
              <w:t>Depth</w:t>
            </w:r>
          </w:p>
        </w:tc>
      </w:tr>
      <w:tr w:rsidR="00AE2DF3" w14:paraId="17FFD8A4" w14:textId="77777777">
        <w:trPr>
          <w:jc w:val="center"/>
        </w:trPr>
        <w:tc>
          <w:tcPr>
            <w:tcW w:w="1814" w:type="dxa"/>
          </w:tcPr>
          <w:p w14:paraId="1726E07E" w14:textId="77777777" w:rsidR="00AE2DF3" w:rsidRDefault="00000000">
            <w:pPr>
              <w:spacing w:after="0"/>
            </w:pPr>
            <w:r>
              <w:rPr>
                <w:b/>
                <w:sz w:val="18"/>
              </w:rPr>
              <w:t>1 Acquisition</w:t>
            </w:r>
          </w:p>
        </w:tc>
        <w:tc>
          <w:tcPr>
            <w:tcW w:w="6406" w:type="dxa"/>
          </w:tcPr>
          <w:p w14:paraId="497EF387" w14:textId="77777777" w:rsidR="00AE2DF3" w:rsidRDefault="00000000">
            <w:pPr>
              <w:spacing w:after="0"/>
            </w:pPr>
            <w:r>
              <w:rPr>
                <w:sz w:val="18"/>
              </w:rPr>
              <w:t>Bajaj Finance: disbursals from leads generated by AI voice and text bots Rs 2,551 crore in Q1 FY27 (up 235% YoY), Rs 1,895 crore in Q4 FY26 (Bajaj investor presentations, Apr and Jul 2026). RBI survey: sales and marketing is 11.8% of 583 AI applications (RBI FREE-AI report, Aug 2025).</w:t>
            </w:r>
          </w:p>
        </w:tc>
        <w:tc>
          <w:tcPr>
            <w:tcW w:w="1531" w:type="dxa"/>
          </w:tcPr>
          <w:p w14:paraId="26514CE6" w14:textId="77777777" w:rsidR="00AE2DF3" w:rsidRDefault="00000000">
            <w:pPr>
              <w:spacing w:after="0"/>
            </w:pPr>
            <w:r>
              <w:rPr>
                <w:sz w:val="18"/>
              </w:rPr>
              <w:t>Some</w:t>
            </w:r>
          </w:p>
        </w:tc>
      </w:tr>
      <w:tr w:rsidR="00AE2DF3" w14:paraId="5BDFB7F1" w14:textId="77777777">
        <w:trPr>
          <w:jc w:val="center"/>
        </w:trPr>
        <w:tc>
          <w:tcPr>
            <w:tcW w:w="1814" w:type="dxa"/>
          </w:tcPr>
          <w:p w14:paraId="4D26D130" w14:textId="77777777" w:rsidR="00AE2DF3" w:rsidRDefault="00000000">
            <w:pPr>
              <w:spacing w:after="0"/>
            </w:pPr>
            <w:r>
              <w:rPr>
                <w:b/>
                <w:sz w:val="18"/>
              </w:rPr>
              <w:t>2 Onboarding and KYC</w:t>
            </w:r>
          </w:p>
        </w:tc>
        <w:tc>
          <w:tcPr>
            <w:tcW w:w="6406" w:type="dxa"/>
          </w:tcPr>
          <w:p w14:paraId="6533EE75" w14:textId="77777777" w:rsidR="00AE2DF3" w:rsidRDefault="00000000">
            <w:pPr>
              <w:spacing w:after="0"/>
            </w:pPr>
            <w:r>
              <w:rPr>
                <w:sz w:val="18"/>
              </w:rPr>
              <w:t xml:space="preserve">Axis Bank: about 34 million AI-assisted document readings and 1.05 million AI-assisted onboardings in Q1 FY27 (Axis investor presentation, 18 Jul 2026). RBI KYC Directions (28 Nov 2025): liveness and spoof detection mandatory in V-CIP; AI use </w:t>
            </w:r>
            <w:r>
              <w:rPr>
                <w:sz w:val="18"/>
              </w:rPr>
              <w:lastRenderedPageBreak/>
              <w:t>optional.</w:t>
            </w:r>
          </w:p>
        </w:tc>
        <w:tc>
          <w:tcPr>
            <w:tcW w:w="1531" w:type="dxa"/>
          </w:tcPr>
          <w:p w14:paraId="144FFE69" w14:textId="77777777" w:rsidR="00AE2DF3" w:rsidRDefault="00000000">
            <w:pPr>
              <w:spacing w:after="0"/>
            </w:pPr>
            <w:r>
              <w:rPr>
                <w:sz w:val="18"/>
              </w:rPr>
              <w:lastRenderedPageBreak/>
              <w:t>Some</w:t>
            </w:r>
          </w:p>
        </w:tc>
      </w:tr>
      <w:tr w:rsidR="00AE2DF3" w14:paraId="5CE4A2F2" w14:textId="77777777">
        <w:trPr>
          <w:jc w:val="center"/>
        </w:trPr>
        <w:tc>
          <w:tcPr>
            <w:tcW w:w="1814" w:type="dxa"/>
          </w:tcPr>
          <w:p w14:paraId="30A0826D" w14:textId="77777777" w:rsidR="00AE2DF3" w:rsidRDefault="00000000">
            <w:pPr>
              <w:spacing w:after="0"/>
            </w:pPr>
            <w:r>
              <w:rPr>
                <w:b/>
                <w:sz w:val="18"/>
              </w:rPr>
              <w:t>3 Underwriting</w:t>
            </w:r>
          </w:p>
        </w:tc>
        <w:tc>
          <w:tcPr>
            <w:tcW w:w="6406" w:type="dxa"/>
          </w:tcPr>
          <w:p w14:paraId="18B85C54" w14:textId="77777777" w:rsidR="00AE2DF3" w:rsidRDefault="00000000">
            <w:pPr>
              <w:spacing w:after="0"/>
            </w:pPr>
            <w:r>
              <w:rPr>
                <w:sz w:val="18"/>
              </w:rPr>
              <w:t>HDFC Bank: about 50% reduction in eligibility-search effort for home-loan pre-approvals (Integrated Annual Report 2025-26). Bajaj Finance: about 20% underwriter efficiency using AI (Q1 FY27 call). SBI: Rs 99,505 crore of SME loans sanctioned in FY26 through its Business Rule Engine, which the annual report describes as a credit-risk model, not as AI. RBI survey: credit underwriting is 13.7% of AI applications.</w:t>
            </w:r>
          </w:p>
        </w:tc>
        <w:tc>
          <w:tcPr>
            <w:tcW w:w="1531" w:type="dxa"/>
          </w:tcPr>
          <w:p w14:paraId="73BAB5FD" w14:textId="77777777" w:rsidR="00AE2DF3" w:rsidRDefault="00000000">
            <w:pPr>
              <w:spacing w:after="0"/>
            </w:pPr>
            <w:r>
              <w:rPr>
                <w:sz w:val="18"/>
              </w:rPr>
              <w:t>Some</w:t>
            </w:r>
          </w:p>
        </w:tc>
      </w:tr>
      <w:tr w:rsidR="00AE2DF3" w14:paraId="5619998F" w14:textId="77777777">
        <w:trPr>
          <w:jc w:val="center"/>
        </w:trPr>
        <w:tc>
          <w:tcPr>
            <w:tcW w:w="1814" w:type="dxa"/>
          </w:tcPr>
          <w:p w14:paraId="4A4BF774" w14:textId="77777777" w:rsidR="00AE2DF3" w:rsidRDefault="00000000">
            <w:pPr>
              <w:spacing w:after="0"/>
            </w:pPr>
            <w:r>
              <w:rPr>
                <w:b/>
                <w:sz w:val="18"/>
              </w:rPr>
              <w:t>4 Fraud detection</w:t>
            </w:r>
          </w:p>
        </w:tc>
        <w:tc>
          <w:tcPr>
            <w:tcW w:w="6406" w:type="dxa"/>
          </w:tcPr>
          <w:p w14:paraId="5F60F94D" w14:textId="77777777" w:rsidR="00AE2DF3" w:rsidRDefault="00000000">
            <w:pPr>
              <w:spacing w:after="0"/>
            </w:pPr>
            <w:r>
              <w:rPr>
                <w:sz w:val="18"/>
              </w:rPr>
              <w:t>RBI: fraud in advances is about 85-92% of reported fraud value in FY25 and FY26, though totals include older cases reclassified (RBI Annual Reports 2024-25, 2025-26). MuleHunter.AI (RBI Innovation Hub) implemented in 26 banks at 31 Mar 2026; no accuracy figure published by RBI. Published AI fraud tools centre on payments, not loan-side fraud.</w:t>
            </w:r>
          </w:p>
        </w:tc>
        <w:tc>
          <w:tcPr>
            <w:tcW w:w="1531" w:type="dxa"/>
          </w:tcPr>
          <w:p w14:paraId="2648E8D9" w14:textId="77777777" w:rsidR="00AE2DF3" w:rsidRDefault="00000000">
            <w:pPr>
              <w:spacing w:after="0"/>
            </w:pPr>
            <w:r>
              <w:rPr>
                <w:sz w:val="18"/>
              </w:rPr>
              <w:t>Some (problem strong, AI outcomes none)</w:t>
            </w:r>
          </w:p>
        </w:tc>
      </w:tr>
      <w:tr w:rsidR="00AE2DF3" w14:paraId="00E15B8D" w14:textId="77777777">
        <w:trPr>
          <w:jc w:val="center"/>
        </w:trPr>
        <w:tc>
          <w:tcPr>
            <w:tcW w:w="1814" w:type="dxa"/>
          </w:tcPr>
          <w:p w14:paraId="2F24DCCA" w14:textId="77777777" w:rsidR="00AE2DF3" w:rsidRDefault="00000000">
            <w:pPr>
              <w:spacing w:after="0"/>
            </w:pPr>
            <w:r>
              <w:rPr>
                <w:b/>
                <w:sz w:val="18"/>
              </w:rPr>
              <w:t>5 Sanction and disbursal</w:t>
            </w:r>
          </w:p>
        </w:tc>
        <w:tc>
          <w:tcPr>
            <w:tcW w:w="6406" w:type="dxa"/>
          </w:tcPr>
          <w:p w14:paraId="3437030E" w14:textId="77777777" w:rsidR="00AE2DF3" w:rsidRDefault="00000000">
            <w:pPr>
              <w:spacing w:after="0"/>
            </w:pPr>
            <w:r>
              <w:rPr>
                <w:sz w:val="18"/>
              </w:rPr>
              <w:t>Axis Bank: about 77% of unsecured business-loan disbursements are end-to-end digital (Q1 FY27 presentation). This is a digital-lending metric, not an AI metric.</w:t>
            </w:r>
          </w:p>
        </w:tc>
        <w:tc>
          <w:tcPr>
            <w:tcW w:w="1531" w:type="dxa"/>
          </w:tcPr>
          <w:p w14:paraId="3D7D097A" w14:textId="77777777" w:rsidR="00AE2DF3" w:rsidRDefault="00000000">
            <w:pPr>
              <w:spacing w:after="0"/>
            </w:pPr>
            <w:r>
              <w:rPr>
                <w:sz w:val="18"/>
              </w:rPr>
              <w:t>Some</w:t>
            </w:r>
          </w:p>
        </w:tc>
      </w:tr>
      <w:tr w:rsidR="00AE2DF3" w14:paraId="58D06C57" w14:textId="77777777">
        <w:trPr>
          <w:jc w:val="center"/>
        </w:trPr>
        <w:tc>
          <w:tcPr>
            <w:tcW w:w="1814" w:type="dxa"/>
          </w:tcPr>
          <w:p w14:paraId="6081D59C" w14:textId="77777777" w:rsidR="00AE2DF3" w:rsidRDefault="00000000">
            <w:pPr>
              <w:spacing w:after="0"/>
            </w:pPr>
            <w:r>
              <w:rPr>
                <w:b/>
                <w:sz w:val="18"/>
              </w:rPr>
              <w:t>6 Servicing and support</w:t>
            </w:r>
          </w:p>
        </w:tc>
        <w:tc>
          <w:tcPr>
            <w:tcW w:w="6406" w:type="dxa"/>
          </w:tcPr>
          <w:p w14:paraId="6FECB403" w14:textId="77777777" w:rsidR="00AE2DF3" w:rsidRDefault="00000000">
            <w:pPr>
              <w:spacing w:after="0"/>
            </w:pPr>
            <w:r>
              <w:rPr>
                <w:sz w:val="18"/>
              </w:rPr>
              <w:t>Bajaj Finance: bots handled 71% of DIY customer-service volumes in Q1 FY27 (72% in Q4 FY26, 50% in Q1 FY26); management says voice AI costs about one-third of a human agent. ICICI Bank: more than 100 autonomous bots for inbound communications. HDFC Bank: 5 AI use cases in production, 14 in development (Q4 FY26 call). RBI survey: customer support is 15.6% of AI applications.</w:t>
            </w:r>
          </w:p>
        </w:tc>
        <w:tc>
          <w:tcPr>
            <w:tcW w:w="1531" w:type="dxa"/>
          </w:tcPr>
          <w:p w14:paraId="66C2C36F" w14:textId="77777777" w:rsidR="00AE2DF3" w:rsidRDefault="00000000">
            <w:pPr>
              <w:spacing w:after="0"/>
            </w:pPr>
            <w:r>
              <w:rPr>
                <w:sz w:val="18"/>
              </w:rPr>
              <w:t>Strong</w:t>
            </w:r>
          </w:p>
        </w:tc>
      </w:tr>
      <w:tr w:rsidR="00AE2DF3" w14:paraId="1138C5F9" w14:textId="77777777">
        <w:trPr>
          <w:jc w:val="center"/>
        </w:trPr>
        <w:tc>
          <w:tcPr>
            <w:tcW w:w="1814" w:type="dxa"/>
          </w:tcPr>
          <w:p w14:paraId="4ED9187A" w14:textId="77777777" w:rsidR="00AE2DF3" w:rsidRDefault="00000000">
            <w:pPr>
              <w:spacing w:after="0"/>
            </w:pPr>
            <w:r>
              <w:rPr>
                <w:b/>
                <w:sz w:val="18"/>
              </w:rPr>
              <w:t>7 Collections and recovery</w:t>
            </w:r>
          </w:p>
        </w:tc>
        <w:tc>
          <w:tcPr>
            <w:tcW w:w="6406" w:type="dxa"/>
          </w:tcPr>
          <w:p w14:paraId="798CD61C" w14:textId="77777777" w:rsidR="00AE2DF3" w:rsidRDefault="00000000">
            <w:pPr>
              <w:spacing w:after="0"/>
            </w:pPr>
            <w:r>
              <w:rPr>
                <w:sz w:val="18"/>
              </w:rPr>
              <w:t>Bajaj Finance: AI text-bot and voice-bot receipt counts reported; about 30% of outbound voice agents are now AI. Axis Bank: 18 million+ bot-based collection calls. No bank discloses contact rate, roll-back, recovery or cost to collect.</w:t>
            </w:r>
          </w:p>
        </w:tc>
        <w:tc>
          <w:tcPr>
            <w:tcW w:w="1531" w:type="dxa"/>
          </w:tcPr>
          <w:p w14:paraId="2AFEEF8D" w14:textId="77777777" w:rsidR="00AE2DF3" w:rsidRDefault="00000000">
            <w:pPr>
              <w:spacing w:after="0"/>
            </w:pPr>
            <w:r>
              <w:rPr>
                <w:sz w:val="18"/>
              </w:rPr>
              <w:t>Some (activity only)</w:t>
            </w:r>
          </w:p>
        </w:tc>
      </w:tr>
      <w:tr w:rsidR="00AE2DF3" w14:paraId="08C21DEA" w14:textId="77777777">
        <w:trPr>
          <w:jc w:val="center"/>
        </w:trPr>
        <w:tc>
          <w:tcPr>
            <w:tcW w:w="1814" w:type="dxa"/>
          </w:tcPr>
          <w:p w14:paraId="4A0F9B74" w14:textId="77777777" w:rsidR="00AE2DF3" w:rsidRDefault="00000000">
            <w:pPr>
              <w:spacing w:after="0"/>
            </w:pPr>
            <w:r>
              <w:rPr>
                <w:b/>
                <w:sz w:val="18"/>
              </w:rPr>
              <w:t>8 Portfolio monitoring and early warning</w:t>
            </w:r>
          </w:p>
        </w:tc>
        <w:tc>
          <w:tcPr>
            <w:tcW w:w="6406" w:type="dxa"/>
          </w:tcPr>
          <w:p w14:paraId="53CB7B3E" w14:textId="77777777" w:rsidR="00AE2DF3" w:rsidRDefault="00000000">
            <w:pPr>
              <w:spacing w:after="0"/>
            </w:pPr>
            <w:r>
              <w:rPr>
                <w:sz w:val="18"/>
              </w:rPr>
              <w:t>RBI Fraud Risk Management Directions (31 Jul 2026) require a board-approved early-warning framework with alerts examined preferably within 30 days; the text does not mention AI. SBI, HDFC, Axis, ICICI and Bajaj describe early warning only qualitatively; none discloses hit rate or lead time.</w:t>
            </w:r>
          </w:p>
        </w:tc>
        <w:tc>
          <w:tcPr>
            <w:tcW w:w="1531" w:type="dxa"/>
          </w:tcPr>
          <w:p w14:paraId="4043EC04" w14:textId="77777777" w:rsidR="00AE2DF3" w:rsidRDefault="00000000">
            <w:pPr>
              <w:spacing w:after="0"/>
            </w:pPr>
            <w:r>
              <w:rPr>
                <w:sz w:val="18"/>
              </w:rPr>
              <w:t>None on AI outcomes</w:t>
            </w:r>
          </w:p>
        </w:tc>
      </w:tr>
      <w:tr w:rsidR="00AE2DF3" w14:paraId="7D00EA51" w14:textId="77777777">
        <w:trPr>
          <w:jc w:val="center"/>
        </w:trPr>
        <w:tc>
          <w:tcPr>
            <w:tcW w:w="1814" w:type="dxa"/>
          </w:tcPr>
          <w:p w14:paraId="1A023FED" w14:textId="77777777" w:rsidR="00AE2DF3" w:rsidRDefault="00000000">
            <w:pPr>
              <w:spacing w:after="0"/>
            </w:pPr>
            <w:r>
              <w:rPr>
                <w:b/>
                <w:sz w:val="18"/>
              </w:rPr>
              <w:t>9 Compliance and AML</w:t>
            </w:r>
          </w:p>
        </w:tc>
        <w:tc>
          <w:tcPr>
            <w:tcW w:w="6406" w:type="dxa"/>
          </w:tcPr>
          <w:p w14:paraId="635B1720" w14:textId="77777777" w:rsidR="00AE2DF3" w:rsidRDefault="00000000">
            <w:pPr>
              <w:spacing w:after="0"/>
            </w:pPr>
            <w:r>
              <w:rPr>
                <w:sz w:val="18"/>
              </w:rPr>
              <w:t>RBI survey of 127 AI-using entities: 15% used interpretation tools, 18% kept audit logs, 35% validated for bias (development stage only). FREE-AI report is a recommendation (7 principles, 26 recommendations), not binding.</w:t>
            </w:r>
          </w:p>
        </w:tc>
        <w:tc>
          <w:tcPr>
            <w:tcW w:w="1531" w:type="dxa"/>
          </w:tcPr>
          <w:p w14:paraId="38931106" w14:textId="77777777" w:rsidR="00AE2DF3" w:rsidRDefault="00000000">
            <w:pPr>
              <w:spacing w:after="0"/>
            </w:pPr>
            <w:r>
              <w:rPr>
                <w:sz w:val="18"/>
              </w:rPr>
              <w:t>None on outcomes; governance survey strong</w:t>
            </w:r>
          </w:p>
        </w:tc>
      </w:tr>
    </w:tbl>
    <w:p w14:paraId="272A2F25" w14:textId="77777777" w:rsidR="00AE2DF3" w:rsidRDefault="00AE2DF3">
      <w:pPr>
        <w:spacing w:after="40"/>
      </w:pPr>
    </w:p>
    <w:p w14:paraId="185F72E3" w14:textId="77777777" w:rsidR="00AE2DF3" w:rsidRDefault="00000000">
      <w:pPr>
        <w:pStyle w:val="Heading1"/>
      </w:pPr>
      <w:r>
        <w:t>4. Gap observed and focus of the study</w:t>
      </w:r>
    </w:p>
    <w:p w14:paraId="20C73D24" w14:textId="77777777" w:rsidR="00AE2DF3" w:rsidRDefault="00000000">
      <w:r>
        <w:t>Adoption is visible in servicing, and activity is visible in sales and collections, but outcomes are not disclosed in collections and early warning, and no verified approval-lift or loss-reduction figure exists for AI underwriting at any Indian bank reviewed. Several press claims (for example on SBI early-warning lead time and disbursal speed) could not be found in the lenders' own documents and are excluded. The study will separate gaps that are real adoption gaps from gaps that are only disclosure gaps.</w:t>
      </w:r>
    </w:p>
    <w:p w14:paraId="16815D48" w14:textId="77777777" w:rsidR="00AE2DF3" w:rsidRDefault="00000000">
      <w:pPr>
        <w:spacing w:after="40"/>
      </w:pPr>
      <w:r>
        <w:rPr>
          <w:b/>
        </w:rPr>
        <w:t>Proposed focus (scope B):</w:t>
      </w:r>
    </w:p>
    <w:p w14:paraId="7BE44667" w14:textId="77777777" w:rsidR="00AE2DF3" w:rsidRDefault="00000000">
      <w:pPr>
        <w:pStyle w:val="ListBullet"/>
        <w:spacing w:after="40"/>
      </w:pPr>
      <w:r>
        <w:t>Servicing and support: deepest analysis, strongest evidence.</w:t>
      </w:r>
    </w:p>
    <w:p w14:paraId="7F6DE6E8" w14:textId="77777777" w:rsidR="00AE2DF3" w:rsidRDefault="00000000">
      <w:pPr>
        <w:pStyle w:val="ListBullet"/>
        <w:spacing w:after="40"/>
      </w:pPr>
      <w:r>
        <w:t>Collections: what AI is used for, what is measured, what is not.</w:t>
      </w:r>
    </w:p>
    <w:p w14:paraId="36405E79" w14:textId="77777777" w:rsidR="00AE2DF3" w:rsidRDefault="00000000">
      <w:pPr>
        <w:pStyle w:val="ListBullet"/>
        <w:spacing w:after="40"/>
      </w:pPr>
      <w:r>
        <w:t>Underwriting: lighter treatment, with the rule-engine versus AI distinction.</w:t>
      </w:r>
    </w:p>
    <w:p w14:paraId="5E751C1A" w14:textId="77777777" w:rsidR="00AE2DF3" w:rsidRDefault="00000000">
      <w:pPr>
        <w:pStyle w:val="ListBullet"/>
        <w:spacing w:after="40"/>
      </w:pPr>
      <w:r>
        <w:t>Early warning: treated as a named evidence gap, comparing RBI requirements with lender disclosure.</w:t>
      </w:r>
    </w:p>
    <w:p w14:paraId="4DC3EA9C" w14:textId="5CD78236" w:rsidR="00AE2DF3" w:rsidRDefault="00000000">
      <w:pPr>
        <w:pStyle w:val="Heading1"/>
      </w:pPr>
      <w:r>
        <w:t xml:space="preserve">5. </w:t>
      </w:r>
      <w:r w:rsidR="00486D57">
        <w:t>Potential</w:t>
      </w:r>
      <w:r>
        <w:t xml:space="preserve"> AI improvements to develop (hypotheses, not findings)</w:t>
      </w:r>
    </w:p>
    <w:p w14:paraId="700C425A" w14:textId="77777777" w:rsidR="00AE2DF3" w:rsidRDefault="00000000">
      <w:pPr>
        <w:pStyle w:val="ListBullet"/>
        <w:spacing w:after="40"/>
      </w:pPr>
      <w:r>
        <w:t>Collections: AI-based prioritisation and vernacular voice outreach for early-bucket accounts, with outcome metrics (contact rate, promise-to-pay, roll-back) defined and reported.</w:t>
      </w:r>
    </w:p>
    <w:p w14:paraId="215A752D" w14:textId="77777777" w:rsidR="00AE2DF3" w:rsidRDefault="00000000">
      <w:pPr>
        <w:pStyle w:val="ListBullet"/>
        <w:spacing w:after="40"/>
      </w:pPr>
      <w:r>
        <w:t>Early warning: model-based early-warning signals aligned to the RBI framework, with hit rate and lead time as the test of value.</w:t>
      </w:r>
    </w:p>
    <w:p w14:paraId="264E0A34" w14:textId="77777777" w:rsidR="00AE2DF3" w:rsidRDefault="00000000">
      <w:pPr>
        <w:pStyle w:val="ListBullet"/>
        <w:spacing w:after="40"/>
      </w:pPr>
      <w:r>
        <w:t>Model governance for underwriting and collections models: explainability and bias checks in deployment, in line with the FREE-AI recommendations.</w:t>
      </w:r>
    </w:p>
    <w:p w14:paraId="1AEA31FA" w14:textId="4A1F9F77" w:rsidR="00AE2DF3" w:rsidRDefault="00000000">
      <w:r>
        <w:rPr>
          <w:i/>
          <w:sz w:val="19"/>
        </w:rPr>
        <w:t>Each will be written up with data needed, risks, regulatory fit and how it would be measured.</w:t>
      </w:r>
    </w:p>
    <w:p w14:paraId="3D73ECAA" w14:textId="4AC92234" w:rsidR="00AE2DF3" w:rsidRDefault="00486D57">
      <w:pPr>
        <w:pStyle w:val="Heading1"/>
      </w:pPr>
      <w:r>
        <w:t>6</w:t>
      </w:r>
      <w:r w:rsidR="00000000">
        <w:t xml:space="preserve">. Limitations and points for </w:t>
      </w:r>
      <w:r w:rsidR="00F778EA">
        <w:t xml:space="preserve">your </w:t>
      </w:r>
      <w:r w:rsidR="00000000">
        <w:t>guidance</w:t>
      </w:r>
    </w:p>
    <w:p w14:paraId="234AFF1D" w14:textId="77777777" w:rsidR="00AE2DF3" w:rsidRDefault="00000000">
      <w:pPr>
        <w:pStyle w:val="ListBullet"/>
        <w:spacing w:after="40"/>
      </w:pPr>
      <w:r>
        <w:t>Almost all quantified AI outcomes are company self-reports; no causal claims will be made.</w:t>
      </w:r>
    </w:p>
    <w:p w14:paraId="0F29CEB5" w14:textId="77777777" w:rsidR="00AE2DF3" w:rsidRDefault="00000000">
      <w:pPr>
        <w:pStyle w:val="ListBullet"/>
        <w:spacing w:after="40"/>
      </w:pPr>
      <w:r>
        <w:lastRenderedPageBreak/>
        <w:t>Bajaj Finance has the deepest evidence but is an unusually tech-led NBFC and is not representative of banks.</w:t>
      </w:r>
    </w:p>
    <w:p w14:paraId="51EBC10E" w14:textId="77777777" w:rsidR="00AE2DF3" w:rsidRDefault="00000000">
      <w:pPr>
        <w:pStyle w:val="ListBullet"/>
        <w:spacing w:after="40"/>
      </w:pPr>
      <w:r>
        <w:t>Not disclosed does not mean not adopted; the report will say so.</w:t>
      </w:r>
    </w:p>
    <w:p w14:paraId="5C5A24FA" w14:textId="77777777" w:rsidR="00AE2DF3" w:rsidRDefault="00000000">
      <w:pPr>
        <w:pStyle w:val="ListBullet"/>
        <w:spacing w:after="40"/>
      </w:pPr>
      <w:r>
        <w:t>Question 1: is a study built on disclosed activity metrics and a gap analysis acceptable, or are quantified before-and-after outcomes expected for every stage?</w:t>
      </w:r>
    </w:p>
    <w:p w14:paraId="0949846F" w14:textId="441E5AF1" w:rsidR="00AE2DF3" w:rsidRDefault="00AE2DF3" w:rsidP="00486D57">
      <w:pPr>
        <w:pStyle w:val="ListBullet"/>
        <w:numPr>
          <w:ilvl w:val="0"/>
          <w:numId w:val="0"/>
        </w:numPr>
        <w:spacing w:after="40"/>
        <w:ind w:left="360"/>
      </w:pPr>
    </w:p>
    <w:sectPr w:rsidR="00AE2DF3"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277959">
    <w:abstractNumId w:val="8"/>
  </w:num>
  <w:num w:numId="2" w16cid:durableId="2146894598">
    <w:abstractNumId w:val="6"/>
  </w:num>
  <w:num w:numId="3" w16cid:durableId="1748649638">
    <w:abstractNumId w:val="5"/>
  </w:num>
  <w:num w:numId="4" w16cid:durableId="964313397">
    <w:abstractNumId w:val="4"/>
  </w:num>
  <w:num w:numId="5" w16cid:durableId="1435831396">
    <w:abstractNumId w:val="7"/>
  </w:num>
  <w:num w:numId="6" w16cid:durableId="1747342159">
    <w:abstractNumId w:val="3"/>
  </w:num>
  <w:num w:numId="7" w16cid:durableId="1888637515">
    <w:abstractNumId w:val="2"/>
  </w:num>
  <w:num w:numId="8" w16cid:durableId="30152504">
    <w:abstractNumId w:val="1"/>
  </w:num>
  <w:num w:numId="9" w16cid:durableId="79784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E1"/>
    <w:rsid w:val="0029639D"/>
    <w:rsid w:val="00326F90"/>
    <w:rsid w:val="00486D57"/>
    <w:rsid w:val="00AA1D8D"/>
    <w:rsid w:val="00AE2DF3"/>
    <w:rsid w:val="00B47730"/>
    <w:rsid w:val="00CB0664"/>
    <w:rsid w:val="00F77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26E65"/>
  <w14:defaultImageDpi w14:val="300"/>
  <w15:docId w15:val="{9E2C0483-4E64-4451-AF30-2918ECE4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Goyal</cp:lastModifiedBy>
  <cp:revision>4</cp:revision>
  <dcterms:created xsi:type="dcterms:W3CDTF">2013-12-23T23:15:00Z</dcterms:created>
  <dcterms:modified xsi:type="dcterms:W3CDTF">2026-10-07T08:14:00Z</dcterms:modified>
  <cp:category/>
</cp:coreProperties>
</file>