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sz w:val="36"/>
        </w:rPr>
        <w:t xml:space="preserve">Course of Independent Study: Proposal</w:t>
      </w:r>
    </w:p>
    <w:p>
      <w:pPr>
        <w:spacing w:after="40"/>
      </w:pPr>
      <w:r>
        <w:rPr>
          <w:b/>
          <w:sz w:val="24"/>
        </w:rPr>
        <w:t xml:space="preserve">AI across the Indian grocery retail and supply chain workflow: what is deployed, what is disclosed, and where it can improve</w:t>
      </w:r>
    </w:p>
    <w:p>
      <w:pPr>
        <w:spacing w:after="160"/>
      </w:pPr>
      <w:r>
        <w:rPr>
          <w:i/>
          <w:sz w:val="19"/>
        </w:rPr>
        <w:t>Yash Goyal | PPM-022-159 | Faculty mentor: Prof. Abhishek Jha | Status: revised topic proposal for approval, 7 Oct 2026 (v2)</w:t>
      </w:r>
    </w:p>
    <w:p>
      <w:pPr>
        <w:pStyle w:val="Heading1"/>
      </w:pPr>
      <w:r>
        <w:t>1. Topic and what the study will do</w:t>
      </w:r>
    </w:p>
    <w:p>
      <w:r>
        <w:t xml:space="preserve">Industry chosen: grocery retail and its supply chain in India (supermarkets, hypermarkets and quick-commerce dark stores, from sourcing to last mile). This replaces the earlier retail and MSME lending topic; the method and structure carry over unchanged.</w:t>
      </w:r>
    </w:p>
    <w:p>
      <w:pPr>
        <w:pStyle w:val="ListBullet"/>
        <w:spacing w:after="40"/>
      </w:pPr>
      <w:r>
        <w:t xml:space="preserve">Map the existing end-to-end grocery retail and supply chain workflow into stages and sub-steps.</w:t>
      </w:r>
    </w:p>
    <w:p>
      <w:pPr>
        <w:pStyle w:val="ListBullet"/>
        <w:spacing w:after="40"/>
      </w:pPr>
      <w:r>
        <w:t xml:space="preserve">Research, from official and credible sources, which AI is used in each stage, for what, and how much.</w:t>
      </w:r>
    </w:p>
    <w:p>
      <w:pPr>
        <w:pStyle w:val="ListBullet"/>
        <w:spacing w:after="40"/>
      </w:pPr>
      <w:r>
        <w:t xml:space="preserve">In each smaller component of the workflow, identify where AI is missing, partial or unmeasured, and propose how AI could improve it.</w:t>
      </w:r>
    </w:p>
    <w:p>
      <w:r>
        <w:t xml:space="preserve">Why grocery retail and supply chain: it has a clear multi-stage workflow from supplier to doorstep, visible Indian players in three formats (DMart, Reliance Retail and More in stores; Blinkit, Zepto and Instamart in quick commerce), a live shift to inventory ownership in quick commerce that raises the cost of forecasting errors, and direct relevance to retail, FMCG and supply-chain roles. Company disclosure of AI is thinner than in lending, so the study treats disclosure itself as one of its findings.</w:t>
      </w:r>
    </w:p>
    <w:p>
      <w:pPr>
        <w:pStyle w:val="Heading1"/>
      </w:pPr>
      <w:r>
        <w:t>2. Objectives and research questions</w:t>
      </w:r>
    </w:p>
    <w:p>
      <w:r>
        <w:t>The objectives build on each other: 1 feeds 2 and 3, which feed 4, which feeds 5. Objective 5 is only as strong as the evidence behind 2 to 4.</w:t>
      </w:r>
    </w:p>
    <w:p>
      <w:pPr>
        <w:pStyle w:val="ListBullet"/>
        <w:spacing w:after="40"/>
      </w:pPr>
      <w:r>
        <w:t>Objective 1. Map the grocery retail and supply chain workflow into stages and sub-steps, and show how it runs today in supermarkets and in quick commerce.</w:t>
      </w:r>
    </w:p>
    <w:p>
      <w:pPr>
        <w:pStyle w:val="ListBullet"/>
        <w:spacing w:after="40"/>
      </w:pPr>
      <w:r>
        <w:t>Objective 2. For the focus stages (forecasting and replenishment, dark-store and DC operations, last mile), document what AI is used for, by whom and at what scale, using only verified sources, each tagged with an evidence grade (A original document, B primary seen through a summary, C press or vendor, X unverified and not cited).</w:t>
      </w:r>
    </w:p>
    <w:p>
      <w:pPr>
        <w:pStyle w:val="ListBullet"/>
        <w:spacing w:after="40"/>
      </w:pPr>
      <w:r>
        <w:t>Objective 3. Record, stage by stage, which outcomes (forecast accuracy, availability, wastage, cost per order) are disclosed and which only activity is disclosed.</w:t>
      </w:r>
    </w:p>
    <w:p>
      <w:pPr>
        <w:pStyle w:val="ListBullet"/>
        <w:spacing w:after="40"/>
      </w:pPr>
      <w:r>
        <w:t>Objective 4. Separate adoption gaps (a source shows the capability absent) from disclosure gaps (no source either way).</w:t>
      </w:r>
    </w:p>
    <w:p>
      <w:pPr>
        <w:pStyle w:val="ListBullet"/>
        <w:spacing w:after="40"/>
      </w:pPr>
      <w:r>
        <w:t>Objective 5. Propose three AI improvements as testable hypotheses: what, why, data needed, risk, regulatory fit and how to measure.</w:t>
      </w:r>
    </w:p>
    <w:p>
      <w:pPr>
        <w:spacing w:after="40"/>
      </w:pPr>
      <w:r>
        <w:rPr>
          <w:b/>
        </w:rPr>
        <w:t>Research questions:</w:t>
      </w:r>
    </w:p>
    <w:p>
      <w:pPr>
        <w:pStyle w:val="ListBullet"/>
        <w:spacing w:after="40"/>
      </w:pPr>
      <w:r>
        <w:t>RQ1. At each focus stage, which AI uses at Indian grocers and quick-commerce firms are documented, and at what scale?</w:t>
      </w:r>
    </w:p>
    <w:p>
      <w:pPr>
        <w:pStyle w:val="ListBullet"/>
        <w:spacing w:after="40"/>
      </w:pPr>
      <w:r>
        <w:t>RQ2. Where are outcomes disclosed, and where only activity?</w:t>
      </w:r>
    </w:p>
    <w:p>
      <w:pPr>
        <w:pStyle w:val="ListBullet"/>
        <w:spacing w:after="40"/>
      </w:pPr>
      <w:r>
        <w:t>RQ3. Which gaps are adoption gaps and which are disclosure gaps, and what do practitioners say about the difference?</w:t>
      </w:r>
    </w:p>
    <w:p>
      <w:pPr>
        <w:pStyle w:val="ListBullet"/>
        <w:spacing w:after="40"/>
      </w:pPr>
      <w:r>
        <w:t>RQ4. Which three improvements are most defensible given the evidence and the regulation (FSSAI, FDI rules on inventory, DPDP)?</w:t>
      </w:r>
    </w:p>
    <w:p>
      <w:pPr>
        <w:pStyle w:val="Heading1"/>
      </w:pPr>
      <w:r>
        <w:t>3. End-to-end grocery retail and supply chain workflow (working framework)</w:t>
      </w:r>
    </w:p>
    <w:p>
      <w:r>
        <w:t xml:space="preserve">Flow: Sourcing and supplier management &gt; Demand forecasting and assortment planning &gt; Inbound, DC and warehouse operations &gt; Inventory allocation and replenishment &gt; Store and dark-store operations &gt; Last-mile delivery &gt; Customer ordering, support and returns. Pricing, promotion and markdown, and Cold chain, food safety and compliance, run across all stages.</w:t>
      </w:r>
    </w:p>
    <w:tbl>
      <w:tblPr>
        <w:tblStyle w:val="TableGrid"/>
        <w:tblW w:w="0" w:type="auto"/>
        <w:jc w:val="center"/>
        <w:tblLayout w:type="fixed"/>
        <w:tblLook w:val="04A0" w:firstRow="1" w:lastRow="0" w:firstColumn="1" w:lastColumn="0" w:noHBand="0" w:noVBand="1"/>
      </w:tblPr>
      <w:tblGrid>
        <w:gridCol w:w="454"/>
        <w:gridCol w:w="2608"/>
        <w:gridCol w:w="6690"/>
      </w:tblGrid>
      <w:tr>
        <w:trPr>
          <w:tblHeader/>
          <w:jc w:val="center"/>
        </w:trPr>
        <w:tc>
          <w:tcPr>
            <w:tcW w:w="454" w:type="dxa"/>
            <w:shd w:val="clear" w:color="auto" w:fill="1F3A5F"/>
          </w:tcPr>
          <w:p>
            <w:r>
              <w:rPr>
                <w:b/>
                <w:color w:val="FFFFFF"/>
                <w:sz w:val="18"/>
              </w:rPr>
              <w:t xml:space="preserve">#</w:t>
            </w:r>
          </w:p>
        </w:tc>
        <w:tc>
          <w:tcPr>
            <w:tcW w:w="2608" w:type="dxa"/>
            <w:shd w:val="clear" w:color="auto" w:fill="1F3A5F"/>
          </w:tcPr>
          <w:p>
            <w:r>
              <w:rPr>
                <w:b/>
                <w:color w:val="FFFFFF"/>
                <w:sz w:val="18"/>
              </w:rPr>
              <w:t xml:space="preserve">Stage</w:t>
            </w:r>
          </w:p>
        </w:tc>
        <w:tc>
          <w:tcPr>
            <w:tcW w:w="6690" w:type="dxa"/>
            <w:shd w:val="clear" w:color="auto" w:fill="1F3A5F"/>
          </w:tcPr>
          <w:p>
            <w:r>
              <w:rPr>
                <w:b/>
                <w:color w:val="FFFFFF"/>
                <w:sz w:val="18"/>
              </w:rPr>
              <w:t xml:space="preserve">Main steps today</w:t>
            </w:r>
          </w:p>
        </w:tc>
      </w:tr>
      <w:tr>
        <w:trPr>
          <w:jc w:val="center"/>
        </w:trPr>
        <w:tc>
          <w:tcPr>
            <w:tcW w:w="454" w:type="dxa"/>
          </w:tcPr>
          <w:p>
            <w:pPr>
              <w:spacing w:after="0"/>
            </w:pPr>
            <w:r>
              <w:rPr>
                <w:b/>
                <w:sz w:val="18"/>
              </w:rPr>
              <w:t xml:space="preserve">1</w:t>
            </w:r>
          </w:p>
        </w:tc>
        <w:tc>
          <w:tcPr>
            <w:tcW w:w="2608" w:type="dxa"/>
          </w:tcPr>
          <w:p>
            <w:pPr>
              <w:spacing w:after="0"/>
            </w:pPr>
            <w:r>
              <w:rPr>
                <w:sz w:val="18"/>
              </w:rPr>
              <w:t xml:space="preserve">Sourcing and supplier management</w:t>
            </w:r>
          </w:p>
        </w:tc>
        <w:tc>
          <w:tcPr>
            <w:tcW w:w="6690" w:type="dxa"/>
          </w:tcPr>
          <w:p>
            <w:pPr>
              <w:spacing w:after="0"/>
            </w:pPr>
            <w:r>
              <w:rPr>
                <w:sz w:val="18"/>
              </w:rPr>
              <w:t xml:space="preserve">Supplier selection and onboarding; price and terms negotiation; farm and mandi sourcing for fresh; purchase planning and order placement; supplier performance tracking</w:t>
            </w:r>
          </w:p>
        </w:tc>
      </w:tr>
      <w:tr>
        <w:trPr>
          <w:jc w:val="center"/>
        </w:trPr>
        <w:tc>
          <w:tcPr>
            <w:tcW w:w="454" w:type="dxa"/>
          </w:tcPr>
          <w:p>
            <w:pPr>
              <w:spacing w:after="0"/>
            </w:pPr>
            <w:r>
              <w:rPr>
                <w:b/>
                <w:sz w:val="18"/>
              </w:rPr>
              <w:t xml:space="preserve">2</w:t>
            </w:r>
          </w:p>
        </w:tc>
        <w:tc>
          <w:tcPr>
            <w:tcW w:w="2608" w:type="dxa"/>
          </w:tcPr>
          <w:p>
            <w:pPr>
              <w:spacing w:after="0"/>
            </w:pPr>
            <w:r>
              <w:rPr>
                <w:sz w:val="18"/>
              </w:rPr>
              <w:t xml:space="preserve">Demand forecasting and assortment planning</w:t>
            </w:r>
          </w:p>
        </w:tc>
        <w:tc>
          <w:tcPr>
            <w:tcW w:w="6690" w:type="dxa"/>
          </w:tcPr>
          <w:p>
            <w:pPr>
              <w:spacing w:after="0"/>
            </w:pPr>
            <w:r>
              <w:rPr>
                <w:sz w:val="18"/>
              </w:rPr>
              <w:t xml:space="preserve">Store-SKU or dark-store-SKU demand forecast; festival, weather and promotion effects; assortment and private-label decisions; ranges for new stores and cities</w:t>
            </w:r>
          </w:p>
        </w:tc>
      </w:tr>
      <w:tr>
        <w:trPr>
          <w:jc w:val="center"/>
        </w:trPr>
        <w:tc>
          <w:tcPr>
            <w:tcW w:w="454" w:type="dxa"/>
          </w:tcPr>
          <w:p>
            <w:pPr>
              <w:spacing w:after="0"/>
            </w:pPr>
            <w:r>
              <w:rPr>
                <w:b/>
                <w:sz w:val="18"/>
              </w:rPr>
              <w:t xml:space="preserve">3</w:t>
            </w:r>
          </w:p>
        </w:tc>
        <w:tc>
          <w:tcPr>
            <w:tcW w:w="2608" w:type="dxa"/>
          </w:tcPr>
          <w:p>
            <w:pPr>
              <w:spacing w:after="0"/>
            </w:pPr>
            <w:r>
              <w:rPr>
                <w:sz w:val="18"/>
              </w:rPr>
              <w:t xml:space="preserve">Inbound, DC and warehouse operations</w:t>
            </w:r>
          </w:p>
        </w:tc>
        <w:tc>
          <w:tcPr>
            <w:tcW w:w="6690" w:type="dxa"/>
          </w:tcPr>
          <w:p>
            <w:pPr>
              <w:spacing w:after="0"/>
            </w:pPr>
            <w:r>
              <w:rPr>
                <w:sz w:val="18"/>
              </w:rPr>
              <w:t xml:space="preserve">Supplier-to-DC freight and appointments; receiving and quality check; putaway and storage (ambient, chilled, frozen); pick, pack and sort; warehouse automation</w:t>
            </w:r>
          </w:p>
        </w:tc>
      </w:tr>
      <w:tr>
        <w:trPr>
          <w:jc w:val="center"/>
        </w:trPr>
        <w:tc>
          <w:tcPr>
            <w:tcW w:w="454" w:type="dxa"/>
          </w:tcPr>
          <w:p>
            <w:pPr>
              <w:spacing w:after="0"/>
            </w:pPr>
            <w:r>
              <w:rPr>
                <w:b/>
                <w:sz w:val="18"/>
              </w:rPr>
              <w:t xml:space="preserve">4</w:t>
            </w:r>
          </w:p>
        </w:tc>
        <w:tc>
          <w:tcPr>
            <w:tcW w:w="2608" w:type="dxa"/>
          </w:tcPr>
          <w:p>
            <w:pPr>
              <w:spacing w:after="0"/>
            </w:pPr>
            <w:r>
              <w:rPr>
                <w:sz w:val="18"/>
              </w:rPr>
              <w:t xml:space="preserve">Inventory allocation and replenishment</w:t>
            </w:r>
          </w:p>
        </w:tc>
        <w:tc>
          <w:tcPr>
            <w:tcW w:w="6690" w:type="dxa"/>
          </w:tcPr>
          <w:p>
            <w:pPr>
              <w:spacing w:after="0"/>
            </w:pPr>
            <w:r>
              <w:rPr>
                <w:sz w:val="18"/>
              </w:rPr>
              <w:t xml:space="preserve">Order quantities per store; DC-to-store and warehouse-to-dark-store replenishment; safety stock and shelf-life rules; own-inventory versus marketplace model</w:t>
            </w:r>
          </w:p>
        </w:tc>
      </w:tr>
      <w:tr>
        <w:trPr>
          <w:jc w:val="center"/>
        </w:trPr>
        <w:tc>
          <w:tcPr>
            <w:tcW w:w="454" w:type="dxa"/>
          </w:tcPr>
          <w:p>
            <w:pPr>
              <w:spacing w:after="0"/>
            </w:pPr>
            <w:r>
              <w:rPr>
                <w:b/>
                <w:sz w:val="18"/>
              </w:rPr>
              <w:t xml:space="preserve">5</w:t>
            </w:r>
          </w:p>
        </w:tc>
        <w:tc>
          <w:tcPr>
            <w:tcW w:w="2608" w:type="dxa"/>
          </w:tcPr>
          <w:p>
            <w:pPr>
              <w:spacing w:after="0"/>
            </w:pPr>
            <w:r>
              <w:rPr>
                <w:sz w:val="18"/>
              </w:rPr>
              <w:t xml:space="preserve">Store and dark-store operations</w:t>
            </w:r>
          </w:p>
        </w:tc>
        <w:tc>
          <w:tcPr>
            <w:tcW w:w="6690" w:type="dxa"/>
          </w:tcPr>
          <w:p>
            <w:pPr>
              <w:spacing w:after="0"/>
            </w:pPr>
            <w:r>
              <w:rPr>
                <w:sz w:val="18"/>
              </w:rPr>
              <w:t xml:space="preserve">Receiving and shelving; online order picking; shelf availability and stock counts; fresh handling, shrinkage and wastage; staffing and slotting</w:t>
            </w:r>
          </w:p>
        </w:tc>
      </w:tr>
      <w:tr>
        <w:trPr>
          <w:jc w:val="center"/>
        </w:trPr>
        <w:tc>
          <w:tcPr>
            <w:tcW w:w="454" w:type="dxa"/>
          </w:tcPr>
          <w:p>
            <w:pPr>
              <w:spacing w:after="0"/>
            </w:pPr>
            <w:r>
              <w:rPr>
                <w:b/>
                <w:sz w:val="18"/>
              </w:rPr>
              <w:t xml:space="preserve">6</w:t>
            </w:r>
          </w:p>
        </w:tc>
        <w:tc>
          <w:tcPr>
            <w:tcW w:w="2608" w:type="dxa"/>
          </w:tcPr>
          <w:p>
            <w:pPr>
              <w:spacing w:after="0"/>
            </w:pPr>
            <w:r>
              <w:rPr>
                <w:sz w:val="18"/>
              </w:rPr>
              <w:t xml:space="preserve">Last-mile delivery</w:t>
            </w:r>
          </w:p>
        </w:tc>
        <w:tc>
          <w:tcPr>
            <w:tcW w:w="6690" w:type="dxa"/>
          </w:tcPr>
          <w:p>
            <w:pPr>
              <w:spacing w:after="0"/>
            </w:pPr>
            <w:r>
              <w:rPr>
                <w:sz w:val="18"/>
              </w:rPr>
              <w:t xml:space="preserve">Order batching and rider allocation; route and ETA prediction; late or failed delivery handling; home delivery for large baskets</w:t>
            </w:r>
          </w:p>
        </w:tc>
      </w:tr>
      <w:tr>
        <w:trPr>
          <w:jc w:val="center"/>
        </w:trPr>
        <w:tc>
          <w:tcPr>
            <w:tcW w:w="454" w:type="dxa"/>
          </w:tcPr>
          <w:p>
            <w:pPr>
              <w:spacing w:after="0"/>
            </w:pPr>
            <w:r>
              <w:rPr>
                <w:b/>
                <w:sz w:val="18"/>
              </w:rPr>
              <w:t xml:space="preserve">7</w:t>
            </w:r>
          </w:p>
        </w:tc>
        <w:tc>
          <w:tcPr>
            <w:tcW w:w="2608" w:type="dxa"/>
          </w:tcPr>
          <w:p>
            <w:pPr>
              <w:spacing w:after="0"/>
            </w:pPr>
            <w:r>
              <w:rPr>
                <w:sz w:val="18"/>
              </w:rPr>
              <w:t xml:space="preserve">Customer ordering, support and returns</w:t>
            </w:r>
          </w:p>
        </w:tc>
        <w:tc>
          <w:tcPr>
            <w:tcW w:w="6690" w:type="dxa"/>
          </w:tcPr>
          <w:p>
            <w:pPr>
              <w:spacing w:after="0"/>
            </w:pPr>
            <w:r>
              <w:rPr>
                <w:sz w:val="18"/>
              </w:rPr>
              <w:t xml:space="preserve">Search and recommendations; chat and voice support; substitutions and refunds; missing or damaged item claims</w:t>
            </w:r>
          </w:p>
        </w:tc>
      </w:tr>
      <w:tr>
        <w:trPr>
          <w:jc w:val="center"/>
        </w:trPr>
        <w:tc>
          <w:tcPr>
            <w:tcW w:w="454" w:type="dxa"/>
          </w:tcPr>
          <w:p>
            <w:pPr>
              <w:spacing w:after="0"/>
            </w:pPr>
            <w:r>
              <w:rPr>
                <w:b/>
                <w:sz w:val="18"/>
              </w:rPr>
              <w:t xml:space="preserve">8</w:t>
            </w:r>
          </w:p>
        </w:tc>
        <w:tc>
          <w:tcPr>
            <w:tcW w:w="2608" w:type="dxa"/>
          </w:tcPr>
          <w:p>
            <w:pPr>
              <w:spacing w:after="0"/>
            </w:pPr>
            <w:r>
              <w:rPr>
                <w:sz w:val="18"/>
              </w:rPr>
              <w:t xml:space="preserve">Pricing, promotion and markdown (cross-stage)</w:t>
            </w:r>
          </w:p>
        </w:tc>
        <w:tc>
          <w:tcPr>
            <w:tcW w:w="6690" w:type="dxa"/>
          </w:tcPr>
          <w:p>
            <w:pPr>
              <w:spacing w:after="0"/>
            </w:pPr>
            <w:r>
              <w:rPr>
                <w:sz w:val="18"/>
              </w:rPr>
              <w:t xml:space="preserve">Everyday prices and offers; promotion planning; markdown of fresh and near-expiry stock; competitor price monitoring</w:t>
            </w:r>
          </w:p>
        </w:tc>
      </w:tr>
      <w:tr>
        <w:trPr>
          <w:jc w:val="center"/>
        </w:trPr>
        <w:tc>
          <w:tcPr>
            <w:tcW w:w="454" w:type="dxa"/>
          </w:tcPr>
          <w:p>
            <w:pPr>
              <w:spacing w:after="0"/>
            </w:pPr>
            <w:r>
              <w:rPr>
                <w:b/>
                <w:sz w:val="18"/>
              </w:rPr>
              <w:t xml:space="preserve">9</w:t>
            </w:r>
          </w:p>
        </w:tc>
        <w:tc>
          <w:tcPr>
            <w:tcW w:w="2608" w:type="dxa"/>
          </w:tcPr>
          <w:p>
            <w:pPr>
              <w:spacing w:after="0"/>
            </w:pPr>
            <w:r>
              <w:rPr>
                <w:sz w:val="18"/>
              </w:rPr>
              <w:t xml:space="preserve">Cold chain, food safety and compliance (cross-stage)</w:t>
            </w:r>
          </w:p>
        </w:tc>
        <w:tc>
          <w:tcPr>
            <w:tcW w:w="6690" w:type="dxa"/>
          </w:tcPr>
          <w:p>
            <w:pPr>
              <w:spacing w:after="0"/>
            </w:pPr>
            <w:r>
              <w:rPr>
                <w:sz w:val="18"/>
              </w:rPr>
              <w:t xml:space="preserve">Temperature monitoring; shelf-life and expiry tracking; FSSAI licensing and inspections; Legal Metrology labelling; data protection (DPDP)</w:t>
            </w:r>
          </w:p>
        </w:tc>
      </w:tr>
    </w:tbl>
    <w:p>
      <w:pPr>
        <w:spacing w:after="40"/>
      </w:pPr>
    </w:p>
    <w:p>
      <w:r>
        <w:rPr>
          <w:i/>
          <w:sz w:val="18"/>
        </w:rPr>
        <w:t xml:space="preserve">The stage list and sub-steps are a working framework for organising the evidence, not a published taxonomy. Supermarket chains, quick-commerce platforms and distributors split these steps differently, and who performs each step varies by format.</w:t>
      </w:r>
    </w:p>
    <w:p>
      <w:pPr>
        <w:pStyle w:val="Heading1"/>
      </w:pPr>
      <w:r>
        <w:t>4. Where AI is used today: verified examples by stage</w:t>
      </w:r>
    </w:p>
    <w:p>
      <w:r>
        <w:t xml:space="preserve">Only figures read in the original document are shown. All are company or vendor statements, not independently audited results. Evidence depth: Strong = repeated quantified disclosures; Some = activity, plans or a single metric; None = no verified AI evidence found in the documents read so far.</w:t>
      </w:r>
    </w:p>
    <w:tbl>
      <w:tblPr>
        <w:tblStyle w:val="TableGrid"/>
        <w:tblW w:w="0" w:type="auto"/>
        <w:jc w:val="center"/>
        <w:tblLayout w:type="fixed"/>
        <w:tblLook w:val="04A0" w:firstRow="1" w:lastRow="0" w:firstColumn="1" w:lastColumn="0" w:noHBand="0" w:noVBand="1"/>
      </w:tblPr>
      <w:tblGrid>
        <w:gridCol w:w="1814"/>
        <w:gridCol w:w="6406"/>
        <w:gridCol w:w="1531"/>
      </w:tblGrid>
      <w:tr>
        <w:trPr>
          <w:tblHeader/>
          <w:jc w:val="center"/>
        </w:trPr>
        <w:tc>
          <w:tcPr>
            <w:tcW w:w="1814" w:type="dxa"/>
            <w:shd w:val="clear" w:color="auto" w:fill="1F3A5F"/>
          </w:tcPr>
          <w:p>
            <w:r>
              <w:rPr>
                <w:b/>
                <w:color w:val="FFFFFF"/>
                <w:sz w:val="18"/>
              </w:rPr>
              <w:t xml:space="preserve">Stage</w:t>
            </w:r>
          </w:p>
        </w:tc>
        <w:tc>
          <w:tcPr>
            <w:tcW w:w="6406" w:type="dxa"/>
            <w:shd w:val="clear" w:color="auto" w:fill="1F3A5F"/>
          </w:tcPr>
          <w:p>
            <w:r>
              <w:rPr>
                <w:b/>
                <w:color w:val="FFFFFF"/>
                <w:sz w:val="18"/>
              </w:rPr>
              <w:t xml:space="preserve">AI use and verified example (source)</w:t>
            </w:r>
          </w:p>
        </w:tc>
        <w:tc>
          <w:tcPr>
            <w:tcW w:w="1531" w:type="dxa"/>
            <w:shd w:val="clear" w:color="auto" w:fill="1F3A5F"/>
          </w:tcPr>
          <w:p>
            <w:r>
              <w:rPr>
                <w:b/>
                <w:color w:val="FFFFFF"/>
                <w:sz w:val="18"/>
              </w:rPr>
              <w:t xml:space="preserve">Depth</w:t>
            </w:r>
          </w:p>
        </w:tc>
      </w:tr>
      <w:tr>
        <w:trPr>
          <w:jc w:val="center"/>
        </w:trPr>
        <w:tc>
          <w:tcPr>
            <w:tcW w:w="1814" w:type="dxa"/>
          </w:tcPr>
          <w:p>
            <w:pPr>
              <w:spacing w:after="0"/>
            </w:pPr>
            <w:r>
              <w:rPr>
                <w:b/>
                <w:sz w:val="18"/>
              </w:rPr>
              <w:t xml:space="preserve">1 Sourcing</w:t>
            </w:r>
          </w:p>
        </w:tc>
        <w:tc>
          <w:tcPr>
            <w:tcW w:w="6406" w:type="dxa"/>
          </w:tcPr>
          <w:p>
            <w:pPr>
              <w:spacing w:after="0"/>
            </w:pPr>
            <w:r>
              <w:rPr>
                <w:sz w:val="18"/>
              </w:rPr>
              <w:t xml:space="preserve">Eternal lists supply-chain management among its AI uses but gives no detail, and says AI will not negotiate with suppliers in tier 2 cities (Eternal Q4 FY26 shareholder letter, Apr 2026). Reliance Retail's FY26 annual report credits scaled sourcing; no AI detail.</w:t>
            </w:r>
          </w:p>
        </w:tc>
        <w:tc>
          <w:tcPr>
            <w:tcW w:w="1531" w:type="dxa"/>
          </w:tcPr>
          <w:p>
            <w:pPr>
              <w:spacing w:after="0"/>
            </w:pPr>
            <w:r>
              <w:rPr>
                <w:sz w:val="18"/>
              </w:rPr>
              <w:t xml:space="preserve">None</w:t>
            </w:r>
          </w:p>
        </w:tc>
      </w:tr>
      <w:tr>
        <w:trPr>
          <w:jc w:val="center"/>
        </w:trPr>
        <w:tc>
          <w:tcPr>
            <w:tcW w:w="1814" w:type="dxa"/>
          </w:tcPr>
          <w:p>
            <w:pPr>
              <w:spacing w:after="0"/>
            </w:pPr>
            <w:r>
              <w:rPr>
                <w:b/>
                <w:sz w:val="18"/>
              </w:rPr>
              <w:t xml:space="preserve">2 Forecasting and assortment</w:t>
            </w:r>
          </w:p>
        </w:tc>
        <w:tc>
          <w:tcPr>
            <w:tcW w:w="6406" w:type="dxa"/>
          </w:tcPr>
          <w:p>
            <w:pPr>
              <w:spacing w:after="0"/>
            </w:pPr>
            <w:r>
              <w:rPr>
                <w:sz w:val="18"/>
              </w:rPr>
              <w:t xml:space="preserve">Eternal: demand prediction already uses AI, no metric given (Q4 FY26 letter). More Retail with Ganit: forecast accuracy from 24% to 76%, fresh-produce wastage down by up to 30%, in-stock rate from 80% to 90% and gross profit up 25%, across 600+ supermarkets (AWS blog, Mar 2021, written by the retailer and its vendor). DMart: no AI or machine-learning mention in its FY25 and FY26 annual reports or Aug 2026 call. Spencer's FY26 annual report lists demand forecasting as a roadmap item for Nature's Basket.</w:t>
            </w:r>
          </w:p>
        </w:tc>
        <w:tc>
          <w:tcPr>
            <w:tcW w:w="1531" w:type="dxa"/>
          </w:tcPr>
          <w:p>
            <w:pPr>
              <w:spacing w:after="0"/>
            </w:pPr>
            <w:r>
              <w:rPr>
                <w:sz w:val="18"/>
              </w:rPr>
              <w:t xml:space="preserve">Some (one quantified case, 2021)</w:t>
            </w:r>
          </w:p>
        </w:tc>
      </w:tr>
      <w:tr>
        <w:trPr>
          <w:jc w:val="center"/>
        </w:trPr>
        <w:tc>
          <w:tcPr>
            <w:tcW w:w="1814" w:type="dxa"/>
          </w:tcPr>
          <w:p>
            <w:pPr>
              <w:spacing w:after="0"/>
            </w:pPr>
            <w:r>
              <w:rPr>
                <w:b/>
                <w:sz w:val="18"/>
              </w:rPr>
              <w:t xml:space="preserve">3 Inbound, DC and warehouse</w:t>
            </w:r>
          </w:p>
        </w:tc>
        <w:tc>
          <w:tcPr>
            <w:tcW w:w="6406" w:type="dxa"/>
          </w:tcPr>
          <w:p>
            <w:pPr>
              <w:spacing w:after="0"/>
            </w:pPr>
            <w:r>
              <w:rPr>
                <w:sz w:val="18"/>
              </w:rPr>
              <w:t xml:space="preserve">Eternal: 17 million sq ft of warehousing and dark store space. Swiggy: warehouse and store automation plus densification is expected to add INR 5 per order toward break-even (Q1 FY27 shareholder letter, Jul 2026), a target and not a result. Ocado, as a global comparator: labour productivity per fulfilment centre up 7.9% and about 50% robotic picking at its most advanced site, with four centres closed in early 2026 (Ocado Annual Report 2025).</w:t>
            </w:r>
          </w:p>
        </w:tc>
        <w:tc>
          <w:tcPr>
            <w:tcW w:w="1531" w:type="dxa"/>
          </w:tcPr>
          <w:p>
            <w:pPr>
              <w:spacing w:after="0"/>
            </w:pPr>
            <w:r>
              <w:rPr>
                <w:sz w:val="18"/>
              </w:rPr>
              <w:t xml:space="preserve">Strong abroad; target only in India</w:t>
            </w:r>
          </w:p>
        </w:tc>
      </w:tr>
      <w:tr>
        <w:trPr>
          <w:jc w:val="center"/>
        </w:trPr>
        <w:tc>
          <w:tcPr>
            <w:tcW w:w="1814" w:type="dxa"/>
          </w:tcPr>
          <w:p>
            <w:pPr>
              <w:spacing w:after="0"/>
            </w:pPr>
            <w:r>
              <w:rPr>
                <w:b/>
                <w:sz w:val="18"/>
              </w:rPr>
              <w:t xml:space="preserve">4 Allocation and replenishment</w:t>
            </w:r>
          </w:p>
        </w:tc>
        <w:tc>
          <w:tcPr>
            <w:tcW w:w="6406" w:type="dxa"/>
          </w:tcPr>
          <w:p>
            <w:pPr>
              <w:spacing w:after="0"/>
            </w:pPr>
            <w:r>
              <w:rPr>
                <w:sz w:val="18"/>
              </w:rPr>
              <w:t xml:space="preserve">Eternal moved quick commerce to an inventory-ownership model from Q1 FY26 (Q4 FY26 letter). Swiggy expects the inventory-owning (IOCC) route to add about 80 bps to Instamart's contribution margin (Q1 FY27 letter). Both are model changes; neither letter gives an AI metric for replenishment. Walmart says it increasingly uses AI-powered tools for operational efficiency (Annual Report FY26).</w:t>
            </w:r>
          </w:p>
        </w:tc>
        <w:tc>
          <w:tcPr>
            <w:tcW w:w="1531" w:type="dxa"/>
          </w:tcPr>
          <w:p>
            <w:pPr>
              <w:spacing w:after="0"/>
            </w:pPr>
            <w:r>
              <w:rPr>
                <w:sz w:val="18"/>
              </w:rPr>
              <w:t xml:space="preserve">Some (model shift, no AI metric)</w:t>
            </w:r>
          </w:p>
        </w:tc>
      </w:tr>
      <w:tr>
        <w:trPr>
          <w:jc w:val="center"/>
        </w:trPr>
        <w:tc>
          <w:tcPr>
            <w:tcW w:w="1814" w:type="dxa"/>
          </w:tcPr>
          <w:p>
            <w:pPr>
              <w:spacing w:after="0"/>
            </w:pPr>
            <w:r>
              <w:rPr>
                <w:b/>
                <w:sz w:val="18"/>
              </w:rPr>
              <w:t xml:space="preserve">5 Store and dark-store operations</w:t>
            </w:r>
          </w:p>
        </w:tc>
        <w:tc>
          <w:tcPr>
            <w:tcW w:w="6406" w:type="dxa"/>
          </w:tcPr>
          <w:p>
            <w:pPr>
              <w:spacing w:after="0"/>
            </w:pPr>
            <w:r>
              <w:rPr>
                <w:sz w:val="18"/>
              </w:rPr>
              <w:t xml:space="preserve">Eternal: 2,243 Blinkit stores at the end of Q4 FY26, and AI "will not stock shelves in a dark store". Ahold Delhaize says AI contributes to supply chain optimization (Annual Report 2025). No Indian store-level outcome metric found.</w:t>
            </w:r>
          </w:p>
        </w:tc>
        <w:tc>
          <w:tcPr>
            <w:tcW w:w="1531" w:type="dxa"/>
          </w:tcPr>
          <w:p>
            <w:pPr>
              <w:spacing w:after="0"/>
            </w:pPr>
            <w:r>
              <w:rPr>
                <w:sz w:val="18"/>
              </w:rPr>
              <w:t xml:space="preserve">Some</w:t>
            </w:r>
          </w:p>
        </w:tc>
      </w:tr>
      <w:tr>
        <w:trPr>
          <w:jc w:val="center"/>
        </w:trPr>
        <w:tc>
          <w:tcPr>
            <w:tcW w:w="1814" w:type="dxa"/>
          </w:tcPr>
          <w:p>
            <w:pPr>
              <w:spacing w:after="0"/>
            </w:pPr>
            <w:r>
              <w:rPr>
                <w:b/>
                <w:sz w:val="18"/>
              </w:rPr>
              <w:t xml:space="preserve">6 Last mile</w:t>
            </w:r>
          </w:p>
        </w:tc>
        <w:tc>
          <w:tcPr>
            <w:tcW w:w="6406" w:type="dxa"/>
          </w:tcPr>
          <w:p>
            <w:pPr>
              <w:spacing w:after="0"/>
            </w:pPr>
            <w:r>
              <w:rPr>
                <w:sz w:val="18"/>
              </w:rPr>
              <w:t xml:space="preserve">Eternal lists route optimisation among its AI uses, with no metric. Tesco uses AI to optimise driver routes and reduce mileage (Annual Report 2025), stated qualitatively. No Indian grocer reports delivery-time or cost gains attributed to AI.</w:t>
            </w:r>
          </w:p>
        </w:tc>
        <w:tc>
          <w:tcPr>
            <w:tcW w:w="1531" w:type="dxa"/>
          </w:tcPr>
          <w:p>
            <w:pPr>
              <w:spacing w:after="0"/>
            </w:pPr>
            <w:r>
              <w:rPr>
                <w:sz w:val="18"/>
              </w:rPr>
              <w:t xml:space="preserve">Some (activity only)</w:t>
            </w:r>
          </w:p>
        </w:tc>
      </w:tr>
      <w:tr>
        <w:trPr>
          <w:jc w:val="center"/>
        </w:trPr>
        <w:tc>
          <w:tcPr>
            <w:tcW w:w="1814" w:type="dxa"/>
          </w:tcPr>
          <w:p>
            <w:pPr>
              <w:spacing w:after="0"/>
            </w:pPr>
            <w:r>
              <w:rPr>
                <w:b/>
                <w:sz w:val="18"/>
              </w:rPr>
              <w:t xml:space="preserve">7 Customer ordering and support</w:t>
            </w:r>
          </w:p>
        </w:tc>
        <w:tc>
          <w:tcPr>
            <w:tcW w:w="6406" w:type="dxa"/>
          </w:tcPr>
          <w:p>
            <w:pPr>
              <w:spacing w:after="0"/>
            </w:pPr>
            <w:r>
              <w:rPr>
                <w:sz w:val="18"/>
              </w:rPr>
              <w:t xml:space="preserve">Eternal names natural language search and Healthy Mode on Zomato as AI examples; neither is grocery-specific. No grocery-specific support or substitution metric found.</w:t>
            </w:r>
          </w:p>
        </w:tc>
        <w:tc>
          <w:tcPr>
            <w:tcW w:w="1531" w:type="dxa"/>
          </w:tcPr>
          <w:p>
            <w:pPr>
              <w:spacing w:after="0"/>
            </w:pPr>
            <w:r>
              <w:rPr>
                <w:sz w:val="18"/>
              </w:rPr>
              <w:t xml:space="preserve">None for grocery</w:t>
            </w:r>
          </w:p>
        </w:tc>
      </w:tr>
      <w:tr>
        <w:trPr>
          <w:jc w:val="center"/>
        </w:trPr>
        <w:tc>
          <w:tcPr>
            <w:tcW w:w="1814" w:type="dxa"/>
          </w:tcPr>
          <w:p>
            <w:pPr>
              <w:spacing w:after="0"/>
            </w:pPr>
            <w:r>
              <w:rPr>
                <w:b/>
                <w:sz w:val="18"/>
              </w:rPr>
              <w:t xml:space="preserve">8 Pricing and markdown</w:t>
            </w:r>
          </w:p>
        </w:tc>
        <w:tc>
          <w:tcPr>
            <w:tcW w:w="6406" w:type="dxa"/>
          </w:tcPr>
          <w:p>
            <w:pPr>
              <w:spacing w:after="0"/>
            </w:pPr>
            <w:r>
              <w:rPr>
                <w:sz w:val="18"/>
              </w:rPr>
              <w:t xml:space="preserve">No disclosed AI use in grocery pricing, promotion or markdown found for Indian players in the filings and letters read.</w:t>
            </w:r>
          </w:p>
        </w:tc>
        <w:tc>
          <w:tcPr>
            <w:tcW w:w="1531" w:type="dxa"/>
          </w:tcPr>
          <w:p>
            <w:pPr>
              <w:spacing w:after="0"/>
            </w:pPr>
            <w:r>
              <w:rPr>
                <w:sz w:val="18"/>
              </w:rPr>
              <w:t xml:space="preserve">None</w:t>
            </w:r>
          </w:p>
        </w:tc>
      </w:tr>
      <w:tr>
        <w:trPr>
          <w:jc w:val="center"/>
        </w:trPr>
        <w:tc>
          <w:tcPr>
            <w:tcW w:w="1814" w:type="dxa"/>
          </w:tcPr>
          <w:p>
            <w:pPr>
              <w:spacing w:after="0"/>
            </w:pPr>
            <w:r>
              <w:rPr>
                <w:b/>
                <w:sz w:val="18"/>
              </w:rPr>
              <w:t xml:space="preserve">9 Cold chain and compliance</w:t>
            </w:r>
          </w:p>
        </w:tc>
        <w:tc>
          <w:tcPr>
            <w:tcW w:w="6406" w:type="dxa"/>
          </w:tcPr>
          <w:p>
            <w:pPr>
              <w:spacing w:after="0"/>
            </w:pPr>
            <w:r>
              <w:rPr>
                <w:sz w:val="18"/>
              </w:rPr>
              <w:t xml:space="preserve">No AI evidence found. Regulatory actions against dark stores are reported in the press and will be read from the primary FSSAI and state notices.</w:t>
            </w:r>
          </w:p>
        </w:tc>
        <w:tc>
          <w:tcPr>
            <w:tcW w:w="1531" w:type="dxa"/>
          </w:tcPr>
          <w:p>
            <w:pPr>
              <w:spacing w:after="0"/>
            </w:pPr>
            <w:r>
              <w:rPr>
                <w:sz w:val="18"/>
              </w:rPr>
              <w:t xml:space="preserve">None</w:t>
            </w:r>
          </w:p>
        </w:tc>
      </w:tr>
    </w:tbl>
    <w:p>
      <w:pPr>
        <w:spacing w:after="40"/>
      </w:pPr>
    </w:p>
    <w:p>
      <w:r>
        <w:rPr>
          <w:i/>
          <w:sz w:val="18"/>
        </w:rPr>
        <w:t xml:space="preserve">Zepto's updated draft prospectus, BigBasket (Tata Digital) and Flipkart's supply-chain planning paper are still to be read in full; the table will be updated as they are.</w:t>
      </w:r>
    </w:p>
    <w:p>
      <w:pPr>
        <w:pStyle w:val="Heading1"/>
      </w:pPr>
      <w:r>
        <w:t>5. Gap observed and focus of the study</w:t>
      </w:r>
    </w:p>
    <w:p>
      <w:r>
        <w:t xml:space="preserve">Indian quick-commerce disclosures name AI in demand prediction, routing and supply chain but give no outcome metrics; DMart, a leading listed supermarket chain, discloses none; and the one quantified Indian forecasting case (More Retail) dates from 2021 and was co-written with its vendor. No Indian grocer reviewed discloses forecast accuracy, shelf availability or wastage. The study will separate gaps that are real adoption gaps from gaps that are only disclosure gaps, using public documents and a small number of practitioner interviews.</w:t>
      </w:r>
    </w:p>
    <w:p>
      <w:pPr>
        <w:spacing w:after="40"/>
      </w:pPr>
      <w:r>
        <w:rPr>
          <w:b/>
        </w:rPr>
        <w:t xml:space="preserve">Proposed focus (scope B):</w:t>
      </w:r>
    </w:p>
    <w:p>
      <w:pPr>
        <w:pStyle w:val="ListBullet"/>
        <w:spacing w:after="40"/>
      </w:pPr>
      <w:r>
        <w:t xml:space="preserve">Demand forecasting and replenishment, including fresh: deepest analysis, best-documented case.</w:t>
      </w:r>
    </w:p>
    <w:p>
      <w:pPr>
        <w:pStyle w:val="ListBullet"/>
        <w:spacing w:after="40"/>
      </w:pPr>
      <w:r>
        <w:t xml:space="preserve">Dark-store and DC operations, and last mile: what AI is used for, what is measured, what is not.</w:t>
      </w:r>
    </w:p>
    <w:p>
      <w:pPr>
        <w:pStyle w:val="ListBullet"/>
        <w:spacing w:after="40"/>
      </w:pPr>
      <w:r>
        <w:t xml:space="preserve">Inventory-ownership shift (1P model, IOCC): lighter treatment, as the reason forecast errors now cost more.</w:t>
      </w:r>
    </w:p>
    <w:p>
      <w:pPr>
        <w:pStyle w:val="ListBullet"/>
        <w:spacing w:after="40"/>
      </w:pPr>
      <w:r>
        <w:t xml:space="preserve">Supplier management and cold chain: treated as named evidence gaps.</w:t>
      </w:r>
    </w:p>
    <w:p>
      <w:pPr>
        <w:pStyle w:val="Heading1"/>
      </w:pPr>
      <w:r>
        <w:t>6. Potential AI improvements to develop (hypotheses, not findings)</w:t>
      </w:r>
    </w:p>
    <w:p>
      <w:pPr>
        <w:pStyle w:val="ListBullet"/>
        <w:spacing w:after="40"/>
      </w:pPr>
      <w:r>
        <w:t xml:space="preserve">Fresh forecasting and markdown: shelf-life-aware store-SKU forecasting with automated replenishment and markdown, with forecast error, in-stock rate and wastage percentage defined and reported.</w:t>
      </w:r>
    </w:p>
    <w:p>
      <w:pPr>
        <w:pStyle w:val="ListBullet"/>
        <w:spacing w:after="40"/>
      </w:pPr>
      <w:r>
        <w:t xml:space="preserve">Dark-store assortment and replenishment under inventory ownership: dark-store-level demand sensing to limit write-offs, tested by availability and wastage.</w:t>
      </w:r>
    </w:p>
    <w:p>
      <w:pPr>
        <w:pStyle w:val="ListBullet"/>
        <w:spacing w:after="40"/>
      </w:pPr>
      <w:r>
        <w:t xml:space="preserve">Supplier and distributor collaboration: lead-time and fill-rate prediction for supplier orders, including the distributor and kirana tier.</w:t>
      </w:r>
    </w:p>
    <w:p>
      <w:pPr>
        <w:pStyle w:val="ListBullet"/>
        <w:spacing w:after="40"/>
      </w:pPr>
      <w:r>
        <w:t xml:space="preserve">Cold chain: temperature monitoring and shelf-life-based allocation, in line with FSSAI requirements.</w:t>
      </w:r>
    </w:p>
    <w:p>
      <w:r>
        <w:t xml:space="preserve">Each will be written up with data needed, risks, regulatory fit (FSSAI, FDI rules on inventory, DPDP) and how it would be measured.</w:t>
      </w:r>
    </w:p>
    <w:p>
      <w:pPr>
        <w:pStyle w:val="Heading1"/>
      </w:pPr>
      <w:r>
        <w:t>7. Method and primary data</w:t>
      </w:r>
    </w:p>
    <w:p>
      <w:pPr>
        <w:pStyle w:val="ListBullet"/>
        <w:spacing w:after="40"/>
      </w:pPr>
      <w:r>
        <w:t>Design: desk-based empirical study (structured document analysis plus gap analysis), supported by practitioner interviews. It is not a statistical test, and no causal claims are made.</w:t>
      </w:r>
    </w:p>
    <w:p>
      <w:pPr>
        <w:pStyle w:val="ListBullet"/>
        <w:spacing w:after="40"/>
      </w:pPr>
      <w:r>
        <w:t>Sources: annual reports, investor letters, earnings-call transcripts, prospectuses and regulator texts for any figure. Press, vendor and consulting material is used only to locate leads and is labelled grade C or X.</w:t>
      </w:r>
    </w:p>
    <w:p>
      <w:pPr>
        <w:pStyle w:val="ListBullet"/>
        <w:spacing w:after="40"/>
      </w:pPr>
      <w:r>
        <w:t>Disclosure matrix: a company-by-stage grid recording whether each of activity, scale, cost and outcome is disclosed. It is the main tool for RQ2 and RQ3.</w:t>
      </w:r>
    </w:p>
    <w:p>
      <w:pPr>
        <w:pStyle w:val="ListBullet"/>
        <w:spacing w:after="40"/>
      </w:pPr>
      <w:r>
        <w:t>Gap test: a gap is called an adoption gap only if a source shows the capability absent; otherwise it is a disclosure gap.</w:t>
      </w:r>
    </w:p>
    <w:p>
      <w:pPr>
        <w:pStyle w:val="ListBullet"/>
        <w:spacing w:after="40"/>
      </w:pPr>
      <w:r>
        <w:t>Interviews: 3 to 4 semi-structured interviews of about 30 minutes with retail planners, category or supply-chain managers, or quick-commerce operations staff, to cover what filings do not. Participants are anonymised, consent is taken before recording or notes, and interview material is labelled as practitioner opinion, not audited fact.</w:t>
      </w:r>
    </w:p>
    <w:p>
      <w:pPr>
        <w:pStyle w:val="ListBullet"/>
        <w:spacing w:after="40"/>
      </w:pPr>
      <w:r>
        <w:t>Verification rule: before a figure enters the report, the original document is opened and the document, date and page recorded.</w:t>
      </w:r>
    </w:p>
    <w:p>
      <w:pPr>
        <w:pStyle w:val="Heading1"/>
      </w:pPr>
      <w:r>
        <w:t>8. Deliverables and 80-hour plan</w:t>
      </w:r>
    </w:p>
    <w:p>
      <w:r>
        <w:t>Deliverables: evidence register; stage analyses; disclosure matrix; three proposal one-pagers; regulatory table; interview summary; final report with limitations; seminar slides; AI-usage log (appendix).</w:t>
      </w:r>
    </w:p>
    <w:tbl>
      <w:tblPr>
        <w:tblStyle w:val="TableGrid"/>
        <w:tblW w:w="0" w:type="auto"/>
        <w:jc w:val="center"/>
        <w:tblLayout w:type="fixed"/>
        <w:tblLook w:val="04A0" w:firstRow="1" w:lastRow="0" w:firstColumn="1" w:lastColumn="0" w:noHBand="0" w:noVBand="1"/>
      </w:tblPr>
      <w:tblGrid>
        <w:gridCol w:w="1814"/>
        <w:gridCol w:w="6406"/>
        <w:gridCol w:w="1531"/>
      </w:tblGrid>
      <w:tr>
        <w:trPr>
          <w:tblHeader/>
          <w:jc w:val="center"/>
        </w:trPr>
        <w:tc>
          <w:tcPr>
            <w:tcW w:w="1814" w:type="dxa"/>
            <w:shd w:val="clear" w:color="auto" w:fill="1F3A5F"/>
          </w:tcPr>
          <w:p>
            <w:r>
              <w:rPr>
                <w:b/>
                <w:color w:val="FFFFFF"/>
                <w:sz w:val="18"/>
              </w:rPr>
              <w:t>Block</w:t>
            </w:r>
          </w:p>
        </w:tc>
        <w:tc>
          <w:tcPr>
            <w:tcW w:w="6406" w:type="dxa"/>
            <w:shd w:val="clear" w:color="auto" w:fill="1F3A5F"/>
          </w:tcPr>
          <w:p>
            <w:r>
              <w:rPr>
                <w:b/>
                <w:color w:val="FFFFFF"/>
                <w:sz w:val="18"/>
              </w:rPr>
              <w:t>Work and output</w:t>
            </w:r>
          </w:p>
        </w:tc>
        <w:tc>
          <w:tcPr>
            <w:tcW w:w="1531" w:type="dxa"/>
            <w:shd w:val="clear" w:color="auto" w:fill="1F3A5F"/>
          </w:tcPr>
          <w:p>
            <w:r>
              <w:rPr>
                <w:b/>
                <w:color w:val="FFFFFF"/>
                <w:sz w:val="18"/>
              </w:rPr>
              <w:t>Hours</w:t>
            </w:r>
          </w:p>
        </w:tc>
      </w:tr>
      <w:tr>
        <w:trPr>
          <w:jc w:val="center"/>
        </w:trPr>
        <w:tc>
          <w:tcPr>
            <w:tcW w:w="1814" w:type="dxa"/>
          </w:tcPr>
          <w:p>
            <w:pPr>
              <w:spacing w:after="0"/>
            </w:pPr>
            <w:r>
              <w:rPr>
                <w:b/>
                <w:sz w:val="18"/>
              </w:rPr>
              <w:t>1 Workflow and source audit</w:t>
            </w:r>
          </w:p>
        </w:tc>
        <w:tc>
          <w:tcPr>
            <w:tcW w:w="6406" w:type="dxa"/>
          </w:tcPr>
          <w:p>
            <w:pPr>
              <w:spacing w:after="0"/>
            </w:pPr>
            <w:r>
              <w:rPr>
                <w:sz w:val="18"/>
              </w:rPr>
              <w:t>Finalise workflow map; evidence register with document, date, page and grade for every figure</w:t>
            </w:r>
          </w:p>
        </w:tc>
        <w:tc>
          <w:tcPr>
            <w:tcW w:w="1531" w:type="dxa"/>
          </w:tcPr>
          <w:p>
            <w:pPr>
              <w:spacing w:after="0"/>
            </w:pPr>
            <w:r>
              <w:rPr>
                <w:sz w:val="18"/>
              </w:rPr>
              <w:t>8</w:t>
            </w:r>
          </w:p>
        </w:tc>
      </w:tr>
      <w:tr>
        <w:trPr>
          <w:jc w:val="center"/>
        </w:trPr>
        <w:tc>
          <w:tcPr>
            <w:tcW w:w="1814" w:type="dxa"/>
          </w:tcPr>
          <w:p>
            <w:pPr>
              <w:spacing w:after="0"/>
            </w:pPr>
            <w:r>
              <w:rPr>
                <w:b/>
                <w:sz w:val="18"/>
              </w:rPr>
              <w:t>2 Forecasting and replenishment (deepest)</w:t>
            </w:r>
          </w:p>
        </w:tc>
        <w:tc>
          <w:tcPr>
            <w:tcW w:w="6406" w:type="dxa"/>
          </w:tcPr>
          <w:p>
            <w:pPr>
              <w:spacing w:after="0"/>
            </w:pPr>
            <w:r>
              <w:rPr>
                <w:sz w:val="18"/>
              </w:rPr>
              <w:t>Indian and global cases, More Retail re-read, Zepto DRHP, Flipkart paper; stage analysis</w:t>
            </w:r>
          </w:p>
        </w:tc>
        <w:tc>
          <w:tcPr>
            <w:tcW w:w="1531" w:type="dxa"/>
          </w:tcPr>
          <w:p>
            <w:pPr>
              <w:spacing w:after="0"/>
            </w:pPr>
            <w:r>
              <w:rPr>
                <w:sz w:val="18"/>
              </w:rPr>
              <w:t>20</w:t>
            </w:r>
          </w:p>
        </w:tc>
      </w:tr>
      <w:tr>
        <w:trPr>
          <w:jc w:val="center"/>
        </w:trPr>
        <w:tc>
          <w:tcPr>
            <w:tcW w:w="1814" w:type="dxa"/>
          </w:tcPr>
          <w:p>
            <w:pPr>
              <w:spacing w:after="0"/>
            </w:pPr>
            <w:r>
              <w:rPr>
                <w:b/>
                <w:sz w:val="18"/>
              </w:rPr>
              <w:t>3 Dark-store and DC operations, last mile</w:t>
            </w:r>
          </w:p>
        </w:tc>
        <w:tc>
          <w:tcPr>
            <w:tcW w:w="6406" w:type="dxa"/>
          </w:tcPr>
          <w:p>
            <w:pPr>
              <w:spacing w:after="0"/>
            </w:pPr>
            <w:r>
              <w:rPr>
                <w:sz w:val="18"/>
              </w:rPr>
              <w:t>Disclosure review for Eternal, Swiggy, Reliance, Delhivery, plus comparators; stage analysis</w:t>
            </w:r>
          </w:p>
        </w:tc>
        <w:tc>
          <w:tcPr>
            <w:tcW w:w="1531" w:type="dxa"/>
          </w:tcPr>
          <w:p>
            <w:pPr>
              <w:spacing w:after="0"/>
            </w:pPr>
            <w:r>
              <w:rPr>
                <w:sz w:val="18"/>
              </w:rPr>
              <w:t>12</w:t>
            </w:r>
          </w:p>
        </w:tc>
      </w:tr>
      <w:tr>
        <w:trPr>
          <w:jc w:val="center"/>
        </w:trPr>
        <w:tc>
          <w:tcPr>
            <w:tcW w:w="1814" w:type="dxa"/>
          </w:tcPr>
          <w:p>
            <w:pPr>
              <w:spacing w:after="0"/>
            </w:pPr>
            <w:r>
              <w:rPr>
                <w:b/>
                <w:sz w:val="18"/>
              </w:rPr>
              <w:t>4 Gap analysis and hypotheses</w:t>
            </w:r>
          </w:p>
        </w:tc>
        <w:tc>
          <w:tcPr>
            <w:tcW w:w="6406" w:type="dxa"/>
          </w:tcPr>
          <w:p>
            <w:pPr>
              <w:spacing w:after="0"/>
            </w:pPr>
            <w:r>
              <w:rPr>
                <w:sz w:val="18"/>
              </w:rPr>
              <w:t>Disclosure matrix (company by stage); adoption versus disclosure gap test; three proposal one-pagers</w:t>
            </w:r>
          </w:p>
        </w:tc>
        <w:tc>
          <w:tcPr>
            <w:tcW w:w="1531" w:type="dxa"/>
          </w:tcPr>
          <w:p>
            <w:pPr>
              <w:spacing w:after="0"/>
            </w:pPr>
            <w:r>
              <w:rPr>
                <w:sz w:val="18"/>
              </w:rPr>
              <w:t>8</w:t>
            </w:r>
          </w:p>
        </w:tc>
      </w:tr>
      <w:tr>
        <w:trPr>
          <w:jc w:val="center"/>
        </w:trPr>
        <w:tc>
          <w:tcPr>
            <w:tcW w:w="1814" w:type="dxa"/>
          </w:tcPr>
          <w:p>
            <w:pPr>
              <w:spacing w:after="0"/>
            </w:pPr>
            <w:r>
              <w:rPr>
                <w:b/>
                <w:sz w:val="18"/>
              </w:rPr>
              <w:t>5 Practitioner interviews</w:t>
            </w:r>
          </w:p>
        </w:tc>
        <w:tc>
          <w:tcPr>
            <w:tcW w:w="6406" w:type="dxa"/>
          </w:tcPr>
          <w:p>
            <w:pPr>
              <w:spacing w:after="0"/>
            </w:pPr>
            <w:r>
              <w:rPr>
                <w:sz w:val="18"/>
              </w:rPr>
              <w:t>Guide, 3 to 4 interviews, coding of responses</w:t>
            </w:r>
          </w:p>
        </w:tc>
        <w:tc>
          <w:tcPr>
            <w:tcW w:w="1531" w:type="dxa"/>
          </w:tcPr>
          <w:p>
            <w:pPr>
              <w:spacing w:after="0"/>
            </w:pPr>
            <w:r>
              <w:rPr>
                <w:sz w:val="18"/>
              </w:rPr>
              <w:t>8</w:t>
            </w:r>
          </w:p>
        </w:tc>
      </w:tr>
      <w:tr>
        <w:trPr>
          <w:jc w:val="center"/>
        </w:trPr>
        <w:tc>
          <w:tcPr>
            <w:tcW w:w="1814" w:type="dxa"/>
          </w:tcPr>
          <w:p>
            <w:pPr>
              <w:spacing w:after="0"/>
            </w:pPr>
            <w:r>
              <w:rPr>
                <w:b/>
                <w:sz w:val="18"/>
              </w:rPr>
              <w:t>6 Regulatory screen</w:t>
            </w:r>
          </w:p>
        </w:tc>
        <w:tc>
          <w:tcPr>
            <w:tcW w:w="6406" w:type="dxa"/>
          </w:tcPr>
          <w:p>
            <w:pPr>
              <w:spacing w:after="0"/>
            </w:pPr>
            <w:r>
              <w:rPr>
                <w:sz w:val="18"/>
              </w:rPr>
              <w:t>FSSAI, FDI and IOCC, CCI, DPDP, Legal Metrology read from primary text; regulatory table</w:t>
            </w:r>
          </w:p>
        </w:tc>
        <w:tc>
          <w:tcPr>
            <w:tcW w:w="1531" w:type="dxa"/>
          </w:tcPr>
          <w:p>
            <w:pPr>
              <w:spacing w:after="0"/>
            </w:pPr>
            <w:r>
              <w:rPr>
                <w:sz w:val="18"/>
              </w:rPr>
              <w:t>5</w:t>
            </w:r>
          </w:p>
        </w:tc>
      </w:tr>
      <w:tr>
        <w:trPr>
          <w:jc w:val="center"/>
        </w:trPr>
        <w:tc>
          <w:tcPr>
            <w:tcW w:w="1814" w:type="dxa"/>
          </w:tcPr>
          <w:p>
            <w:pPr>
              <w:spacing w:after="0"/>
            </w:pPr>
            <w:r>
              <w:rPr>
                <w:b/>
                <w:sz w:val="18"/>
              </w:rPr>
              <w:t>7 Report and slides</w:t>
            </w:r>
          </w:p>
        </w:tc>
        <w:tc>
          <w:tcPr>
            <w:tcW w:w="6406" w:type="dxa"/>
          </w:tcPr>
          <w:p>
            <w:pPr>
              <w:spacing w:after="0"/>
            </w:pPr>
            <w:r>
              <w:rPr>
                <w:sz w:val="18"/>
              </w:rPr>
              <w:t>Final report with limitations, defence slides, AI-usage log</w:t>
            </w:r>
          </w:p>
        </w:tc>
        <w:tc>
          <w:tcPr>
            <w:tcW w:w="1531" w:type="dxa"/>
          </w:tcPr>
          <w:p>
            <w:pPr>
              <w:spacing w:after="0"/>
            </w:pPr>
            <w:r>
              <w:rPr>
                <w:sz w:val="18"/>
              </w:rPr>
              <w:t>15</w:t>
            </w:r>
          </w:p>
        </w:tc>
      </w:tr>
      <w:tr>
        <w:trPr>
          <w:jc w:val="center"/>
        </w:trPr>
        <w:tc>
          <w:tcPr>
            <w:tcW w:w="1814" w:type="dxa"/>
          </w:tcPr>
          <w:p>
            <w:pPr>
              <w:spacing w:after="0"/>
            </w:pPr>
            <w:r>
              <w:rPr>
                <w:b/>
                <w:sz w:val="18"/>
              </w:rPr>
              <w:t>Buffer</w:t>
            </w:r>
          </w:p>
        </w:tc>
        <w:tc>
          <w:tcPr>
            <w:tcW w:w="6406" w:type="dxa"/>
          </w:tcPr>
          <w:p>
            <w:pPr>
              <w:spacing w:after="0"/>
            </w:pPr>
            <w:r>
              <w:rPr>
                <w:sz w:val="18"/>
              </w:rPr>
              <w:t>Mentor feedback, source access problems</w:t>
            </w:r>
          </w:p>
        </w:tc>
        <w:tc>
          <w:tcPr>
            <w:tcW w:w="1531" w:type="dxa"/>
          </w:tcPr>
          <w:p>
            <w:pPr>
              <w:spacing w:after="0"/>
            </w:pPr>
            <w:r>
              <w:rPr>
                <w:sz w:val="18"/>
              </w:rPr>
              <w:t>4</w:t>
            </w:r>
          </w:p>
        </w:tc>
      </w:tr>
      <w:tr>
        <w:trPr>
          <w:jc w:val="center"/>
        </w:trPr>
        <w:tc>
          <w:tcPr>
            <w:tcW w:w="1814" w:type="dxa"/>
          </w:tcPr>
          <w:p>
            <w:pPr>
              <w:spacing w:after="0"/>
            </w:pPr>
            <w:r>
              <w:rPr>
                <w:b/>
                <w:sz w:val="18"/>
              </w:rPr>
              <w:t>Total</w:t>
            </w:r>
          </w:p>
        </w:tc>
        <w:tc>
          <w:tcPr>
            <w:tcW w:w="6406" w:type="dxa"/>
          </w:tcPr>
          <w:p>
            <w:pPr>
              <w:spacing w:after="0"/>
            </w:pPr>
            <w:r>
              <w:rPr>
                <w:sz w:val="18"/>
              </w:rPr>
            </w:r>
          </w:p>
        </w:tc>
        <w:tc>
          <w:tcPr>
            <w:tcW w:w="1531" w:type="dxa"/>
          </w:tcPr>
          <w:p>
            <w:pPr>
              <w:spacing w:after="0"/>
            </w:pPr>
            <w:r>
              <w:rPr>
                <w:sz w:val="18"/>
              </w:rPr>
              <w:t>80</w:t>
            </w:r>
          </w:p>
        </w:tc>
      </w:tr>
    </w:tbl>
    <w:p>
      <w:r>
        <w:rPr>
          <w:i/>
          <w:sz w:val="18"/>
        </w:rPr>
        <w:t>Hours are a plan for the 80-hour requirement and will be adjusted with the mentor.</w:t>
      </w:r>
    </w:p>
    <w:p>
      <w:pPr>
        <w:pStyle w:val="Heading1"/>
      </w:pPr>
      <w:r>
        <w:t>9. Contingency plan</w:t>
      </w:r>
    </w:p>
    <w:p>
      <w:pPr>
        <w:pStyle w:val="ListBullet"/>
        <w:spacing w:after="40"/>
      </w:pPr>
      <w:r>
        <w:rPr>
          <w:b/>
        </w:rPr>
        <w:t xml:space="preserve">Interviews not secured by week 3: </w:t>
      </w:r>
      <w:r>
        <w:rPr>
          <w:b w:val="0"/>
        </w:rPr>
        <w:t>use the earnings-call transcripts, analyst-call Q&amp;A and published practitioner talks as the primary substitute, and say so in the limitations.</w:t>
      </w:r>
    </w:p>
    <w:p>
      <w:pPr>
        <w:pStyle w:val="ListBullet"/>
        <w:spacing w:after="40"/>
      </w:pPr>
      <w:r>
        <w:rPr>
          <w:b/>
        </w:rPr>
        <w:t xml:space="preserve">Evidence thinner than expected: </w:t>
      </w:r>
      <w:r>
        <w:rPr>
          <w:b w:val="0"/>
        </w:rPr>
        <w:t>narrow to forecasting and replenishment only and shift weight to the disclosure-gap finding, which is itself a result.</w:t>
      </w:r>
    </w:p>
    <w:p>
      <w:pPr>
        <w:pStyle w:val="ListBullet"/>
        <w:spacing w:after="40"/>
      </w:pPr>
      <w:r>
        <w:rPr>
          <w:b/>
        </w:rPr>
        <w:t xml:space="preserve">Mentor expects quantified outcomes for every stage: </w:t>
      </w:r>
      <w:r>
        <w:rPr>
          <w:b w:val="0"/>
        </w:rPr>
        <w:t>build a metric framework (forecast error, in-stock rate, wastage, cost per order) with the More Retail and global comparator figures, clearly labelled as illustrative and not Indian averages.</w:t>
      </w:r>
    </w:p>
    <w:p>
      <w:pPr>
        <w:pStyle w:val="ListBullet"/>
        <w:spacing w:after="40"/>
      </w:pPr>
      <w:r>
        <w:rPr>
          <w:b/>
        </w:rPr>
        <w:t xml:space="preserve">A key source is revised or inaccessible: </w:t>
      </w:r>
      <w:r>
        <w:rPr>
          <w:b w:val="0"/>
        </w:rPr>
        <w:t>keep local copies with access dates and fall back to the nearest comparable filing.</w:t>
      </w:r>
    </w:p>
    <w:p>
      <w:pPr>
        <w:pStyle w:val="ListBullet"/>
        <w:spacing w:after="40"/>
      </w:pPr>
      <w:r>
        <w:rPr>
          <w:b/>
        </w:rPr>
        <w:t xml:space="preserve">Topic not workable overall: </w:t>
      </w:r>
      <w:r>
        <w:rPr>
          <w:b w:val="0"/>
        </w:rPr>
        <w:t>return to the lending study; the verified evidence for it is already compiled.</w:t>
      </w:r>
    </w:p>
    <w:p>
      <w:pPr>
        <w:pStyle w:val="Heading1"/>
      </w:pPr>
      <w:r>
        <w:t>10. Reporting rhythm and integrity</w:t>
      </w:r>
    </w:p>
    <w:p>
      <w:pPr>
        <w:pStyle w:val="ListBullet"/>
        <w:spacing w:after="40"/>
      </w:pPr>
      <w:r>
        <w:t>A weekly update to the faculty mentor (email or short meeting) and a mandatory in-person meeting every fortnight, as the course requires.</w:t>
      </w:r>
    </w:p>
    <w:p>
      <w:pPr>
        <w:pStyle w:val="ListBullet"/>
        <w:spacing w:after="40"/>
      </w:pPr>
      <w:r>
        <w:t>All analysis, conclusions and writing will be my own work. Any use of AI tools is limited to what the mentor permits, is recorded in an appendix log, and every figure is checked against its original document. The signed declaration will be submitted with the report.</w:t>
      </w:r>
    </w:p>
    <w:p>
      <w:pPr>
        <w:pStyle w:val="Heading1"/>
      </w:pPr>
      <w:r>
        <w:t>11. Limitations and points for your guidance</w:t>
      </w:r>
    </w:p>
    <w:p>
      <w:pPr>
        <w:pStyle w:val="ListBullet"/>
        <w:spacing w:after="40"/>
      </w:pPr>
      <w:r>
        <w:t xml:space="preserve">Almost all quantified AI outcomes are company or vendor statements; no causal claims will be made.</w:t>
      </w:r>
    </w:p>
    <w:p>
      <w:pPr>
        <w:pStyle w:val="ListBullet"/>
        <w:spacing w:after="40"/>
      </w:pPr>
      <w:r>
        <w:t xml:space="preserve">The Indian forecasting case is one retailer from 2021, and quick-commerce firms are tech-led and not representative of supermarket chains.</w:t>
      </w:r>
    </w:p>
    <w:p>
      <w:pPr>
        <w:pStyle w:val="ListBullet"/>
        <w:spacing w:after="40"/>
      </w:pPr>
      <w:r>
        <w:t xml:space="preserve">Not disclosed does not mean not adopted; the report will say so.</w:t>
      </w:r>
    </w:p>
    <w:p>
      <w:pPr>
        <w:pStyle w:val="ListBullet"/>
        <w:spacing w:after="40"/>
      </w:pPr>
      <w:r>
        <w:t xml:space="preserve">Question 1: because filings give activity and plans more than outcomes, is a study built on disclosed metrics, a gap analysis and a few practitioner interviews acceptable, or are quantified before-and-after outcomes expected for every stage?</w:t>
      </w:r>
    </w:p>
    <w:p>
      <w:pPr>
        <w:pStyle w:val="ListBullet"/>
        <w:spacing w:after="40"/>
      </w:pPr>
      <w:r>
        <w:t xml:space="preserve">Question 2: should the study centre on supermarket chains, quick commerce, or both? Proposed: both, with forecasting and replenishment as the common thread.</w:t>
      </w:r>
    </w:p>
    <w:p>
      <w:pPr>
        <w:pStyle w:val="ListBullet"/>
        <w:spacing w:after="40"/>
      </w:pPr>
      <w:r>
        <w:t>Question 3: the course outline restricts the use of AI tools. Which uses, if any, are permitted (for example, reading and summarising public documents, with all figures verified against originals and a usage log), and what should the declaration say?</w:t>
      </w:r>
    </w:p>
    <w:p>
      <w:pPr>
        <w:pStyle w:val="ListBullet"/>
        <w:spacing w:after="40"/>
      </w:pPr>
      <w:r>
        <w:t>Question 4: could you suggest any contacts in grocery, quick commerce or retail supply chain for the interviews, or would you support adding a corporate mentor as the outline allows?</w:t>
      </w:r>
    </w:p>
    <w:sectPr w:rsidR="00AE2DF3"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277959">
    <w:abstractNumId w:val="8"/>
  </w:num>
  <w:num w:numId="2" w16cid:durableId="2146894598">
    <w:abstractNumId w:val="6"/>
  </w:num>
  <w:num w:numId="3" w16cid:durableId="1748649638">
    <w:abstractNumId w:val="5"/>
  </w:num>
  <w:num w:numId="4" w16cid:durableId="964313397">
    <w:abstractNumId w:val="4"/>
  </w:num>
  <w:num w:numId="5" w16cid:durableId="1435831396">
    <w:abstractNumId w:val="7"/>
  </w:num>
  <w:num w:numId="6" w16cid:durableId="1747342159">
    <w:abstractNumId w:val="3"/>
  </w:num>
  <w:num w:numId="7" w16cid:durableId="1888637515">
    <w:abstractNumId w:val="2"/>
  </w:num>
  <w:num w:numId="8" w16cid:durableId="30152504">
    <w:abstractNumId w:val="1"/>
  </w:num>
  <w:num w:numId="9" w16cid:durableId="79784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E1"/>
    <w:rsid w:val="0029639D"/>
    <w:rsid w:val="00326F90"/>
    <w:rsid w:val="00486D57"/>
    <w:rsid w:val="00AA1D8D"/>
    <w:rsid w:val="00AE2DF3"/>
    <w:rsid w:val="00B47730"/>
    <w:rsid w:val="00CB0664"/>
    <w:rsid w:val="00F77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26E65"/>
  <w14:defaultImageDpi w14:val="300"/>
  <w15:docId w15:val="{9E2C0483-4E64-4451-AF30-2918ECE4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Goyal</cp:lastModifiedBy>
  <cp:revision>4</cp:revision>
  <dcterms:created xsi:type="dcterms:W3CDTF">2013-12-23T23:15:00Z</dcterms:created>
  <dcterms:modified xsi:type="dcterms:W3CDTF">2026-10-07T08:14:00Z</dcterms:modified>
  <cp:category/>
</cp:coreProperties>
</file>