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Spotfire Analyst Installation and Login</w:t>
      </w:r>
    </w:p>
    <w:p w:rsidR="00000000" w:rsidDel="00000000" w:rsidP="00000000" w:rsidRDefault="00000000" w:rsidRPr="00000000" w14:paraId="00000002">
      <w:pPr>
        <w:widowControl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to TIBCO edelivery website using below URL:</w:t>
      </w:r>
    </w:p>
    <w:p w:rsidR="00000000" w:rsidDel="00000000" w:rsidP="00000000" w:rsidRDefault="00000000" w:rsidRPr="00000000" w14:paraId="00000004">
      <w:pPr>
        <w:widowControl w:val="0"/>
        <w:ind w:left="720" w:firstLine="0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https://edelivery.tibco.com/storefront/index.ep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86400" cy="379095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“spotfire analyst”. Click on “TIBCO Spotfire Analyst” 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4928578" cy="2462115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8578" cy="2462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Download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5943600" cy="477520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version and OS as mentioned: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11.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  (Re</w:t>
      </w:r>
      <w:r w:rsidDel="00000000" w:rsidR="00000000" w:rsidRPr="00000000">
        <w:rPr>
          <w:b w:val="1"/>
          <w:rtl w:val="0"/>
        </w:rPr>
        <w:t xml:space="preserve">ata Spotfire server recently upgraded from 11.2 to 11.5)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Windows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user agreement and click “Download”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86400" cy="50292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dialog box will open. Click “Get Download”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71708" cy="2586775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1708" cy="258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Double- Click on the downloaded file, a new window will open. Select the folder where software setup file will be downloaded ( or use the default ) and click Next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943600" cy="3336290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“Open Folder” once the download completes: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53050" cy="3733800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the downloaded folder and extract the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TIB_sfire-analyst_11.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.0_shared_computer_win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file  as shown in below screenshot: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56585"/>
            <wp:effectExtent b="0" l="0" r="0" t="0"/>
            <wp:docPr id="2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the newly extracted folder and run the setup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~\TIBCO\Spotfire Analyst\11.2.0\TIB_sfire-analyst_11.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.0_shared_computer_win\Products\TIBCO Spotfire Installer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394585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“Next”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72050" cy="3990975"/>
            <wp:effectExtent b="0" l="0" r="0" t="0"/>
            <wp:docPr id="3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the user agreement and click Next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14875" cy="3562350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Next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29175" cy="3609975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“Install”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95850" cy="3562350"/>
            <wp:effectExtent b="0" l="0" r="0" t="0"/>
            <wp:docPr id="3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“Finish”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48225" cy="4086225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“Manage Servers” on the login screen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Add and enter the below URL. Display name can be personalized as per user: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color w:val="000000"/>
          <w:u w:val="none"/>
          <w:rtl w:val="0"/>
        </w:rPr>
        <w:t xml:space="preserve">DEV Server URL </w:t>
      </w: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:-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PROD Server URL:- XYZ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515360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with the your Windows AD User credentials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Ex: Username: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abc.xyz@</w:t>
        </w:r>
      </w:hyperlink>
      <w:r w:rsidDel="00000000" w:rsidR="00000000" w:rsidRPr="00000000">
        <w:rPr>
          <w:rtl w:val="0"/>
        </w:rPr>
        <w:t xml:space="preserve">xyz.com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5943600" cy="3186430"/>
            <wp:effectExtent b="0" l="0" r="0" t="0"/>
            <wp:docPr id="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“Install Now” in case an upgrade window pops up to sync Spotfire client version with that of Spotfire Server.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61BC"/>
    <w:rPr>
      <w:rFonts w:cs="Times New Roman"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41AB8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E61BC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E61B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E61BC"/>
    <w:rPr>
      <w:rFonts w:ascii="Tahoma" w:cs="Tahoma" w:hAnsi="Tahoma" w:eastAsiaTheme="minorEastAsi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BE61BC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341AB8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hyperlink" Target="about:blank" TargetMode="External"/><Relationship Id="rId21" Type="http://schemas.openxmlformats.org/officeDocument/2006/relationships/image" Target="media/image5.png"/><Relationship Id="rId24" Type="http://schemas.openxmlformats.org/officeDocument/2006/relationships/hyperlink" Target="mailto:abc.xyz@reatapharma.com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elivery.tibco.com/storefront/index.ep" TargetMode="External"/><Relationship Id="rId8" Type="http://schemas.openxmlformats.org/officeDocument/2006/relationships/image" Target="media/image2.png"/><Relationship Id="rId11" Type="http://schemas.openxmlformats.org/officeDocument/2006/relationships/image" Target="media/image3.png"/><Relationship Id="rId10" Type="http://schemas.openxmlformats.org/officeDocument/2006/relationships/image" Target="media/image16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5" Type="http://schemas.openxmlformats.org/officeDocument/2006/relationships/image" Target="media/image15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19" Type="http://schemas.openxmlformats.org/officeDocument/2006/relationships/image" Target="media/image7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09wQwCbmOgkcvIw0t1lRE7oc2A==">CgMxLjAyCGguZ2pkZ3hzOAByITFTTmlRdTd4Yi1UbmxwOVdWYl9QRkppSzF6dS1OZ1lYUQ==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2021-03-22T15:09:00Z</dcterms:created>
  <dc:creator>Yash Gupta</dc:creator>
</cp:coreProperties>
</file>