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EXPLORATORY DATA ANALYSIS REPORT</w:t>
      </w:r>
    </w:p>
    <w:p>
      <w:pPr>
        <w:jc w:val="center"/>
      </w:pPr>
      <w:r>
        <w:rPr>
          <w:b/>
          <w:sz w:val="34"/>
        </w:rPr>
        <w:t>Feature Importance Analysis for Player Performance</w:t>
      </w:r>
    </w:p>
    <w:p>
      <w:pPr>
        <w:jc w:val="center"/>
      </w:pPr>
      <w:r>
        <w:rPr>
          <w:i/>
        </w:rPr>
        <w:t>Football Player Performance Analysis</w:t>
      </w:r>
    </w:p>
    <w:p>
      <w:pPr>
        <w:jc w:val="center"/>
      </w:pPr>
      <w:r>
        <w:rPr>
          <w:b/>
        </w:rPr>
        <w:t>M. Yashwant Raj (2520020181)</w:t>
        <w:br/>
        <w:t>Jagadish Krishna (2520030165)</w:t>
      </w:r>
    </w:p>
    <w:p/>
    <w:p>
      <w:r>
        <w:t>This report documents the Exploratory Data Analysis (EDA) performed on the football-player dataset used in the project. It focuses on understanding the structure, scope, distributions, data quality and filtering decisions before machine-learning model development.</w:t>
      </w:r>
    </w:p>
    <w:p>
      <w:r>
        <w:br w:type="page"/>
      </w:r>
    </w:p>
    <w:p>
      <w:pPr>
        <w:pStyle w:val="Heading1"/>
      </w:pPr>
      <w:r>
        <w:t>1. Introduction</w:t>
      </w:r>
    </w:p>
    <w:p>
      <w:r>
        <w:t>The project aims to analyze football player performance using statistical data and machine learning. Because football performance depends on multiple indicators and differs by playing position, the first stage of the project is to understand and prepare the available data through Exploratory Data Analysis.</w:t>
      </w:r>
    </w:p>
    <w:p>
      <w:r>
        <w:t>The EDA stage was implemented using Python and Pandas. The analysis examined the dataset dimensions, seasons, positions, leagues, playing-time reliability, duplicate player-season records and the resulting player population used for further analysis.</w:t>
      </w:r>
    </w:p>
    <w:p>
      <w:pPr>
        <w:pStyle w:val="Heading1"/>
      </w:pPr>
      <w:r>
        <w:t>2. Dataset Overview</w:t>
      </w:r>
    </w:p>
    <w:p>
      <w:r>
        <w:t>The project uses the file All_Players_1992-2025.csv. The original dataset contains historical football player records across multiple seasons, positions and leagues.</w:t>
      </w:r>
    </w:p>
    <w:tbl>
      <w:tblPr>
        <w:tblW w:type="auto" w:w="0"/>
        <w:jc w:val="center"/>
        <w:tblLook w:firstColumn="1" w:firstRow="1" w:lastColumn="0" w:lastRow="0" w:noHBand="0" w:noVBand="1" w:val="04A0"/>
      </w:tblPr>
      <w:tblGrid>
        <w:gridCol w:w="5040"/>
        <w:gridCol w:w="5040"/>
      </w:tblGrid>
      <w:tr>
        <w:tc>
          <w:tcPr>
            <w:tcW w:type="dxa" w:w="5040"/>
            <w:shd w:fill="D9EAF7"/>
          </w:tcPr>
          <w:p>
            <w:r>
              <w:t>Attribute</w:t>
            </w:r>
          </w:p>
        </w:tc>
        <w:tc>
          <w:tcPr>
            <w:tcW w:type="dxa" w:w="5040"/>
            <w:shd w:fill="D9EAF7"/>
          </w:tcPr>
          <w:p>
            <w:r>
              <w:t>EDA Finding</w:t>
            </w:r>
          </w:p>
        </w:tc>
      </w:tr>
      <w:tr>
        <w:tc>
          <w:tcPr>
            <w:tcW w:type="dxa" w:w="5040"/>
          </w:tcPr>
          <w:p>
            <w:r>
              <w:t>Dataset</w:t>
            </w:r>
          </w:p>
        </w:tc>
        <w:tc>
          <w:tcPr>
            <w:tcW w:type="dxa" w:w="5040"/>
          </w:tcPr>
          <w:p>
            <w:r>
              <w:t>All_Players_1992-2025.csv</w:t>
            </w:r>
          </w:p>
        </w:tc>
      </w:tr>
      <w:tr>
        <w:tc>
          <w:tcPr>
            <w:tcW w:type="dxa" w:w="5040"/>
          </w:tcPr>
          <w:p>
            <w:r>
              <w:t>Initial records</w:t>
            </w:r>
          </w:p>
        </w:tc>
        <w:tc>
          <w:tcPr>
            <w:tcW w:type="dxa" w:w="5040"/>
          </w:tcPr>
          <w:p>
            <w:r>
              <w:t>92,170</w:t>
            </w:r>
          </w:p>
        </w:tc>
      </w:tr>
      <w:tr>
        <w:tc>
          <w:tcPr>
            <w:tcW w:type="dxa" w:w="5040"/>
          </w:tcPr>
          <w:p>
            <w:r>
              <w:t>Initial columns</w:t>
            </w:r>
          </w:p>
        </w:tc>
        <w:tc>
          <w:tcPr>
            <w:tcW w:type="dxa" w:w="5040"/>
          </w:tcPr>
          <w:p>
            <w:r>
              <w:t>120</w:t>
            </w:r>
          </w:p>
        </w:tc>
      </w:tr>
      <w:tr>
        <w:tc>
          <w:tcPr>
            <w:tcW w:type="dxa" w:w="5040"/>
          </w:tcPr>
          <w:p>
            <w:r>
              <w:t>Seasons available</w:t>
            </w:r>
          </w:p>
        </w:tc>
        <w:tc>
          <w:tcPr>
            <w:tcW w:type="dxa" w:w="5040"/>
          </w:tcPr>
          <w:p>
            <w:r>
              <w:t>1992–1993 through 2024–2025</w:t>
            </w:r>
          </w:p>
        </w:tc>
      </w:tr>
      <w:tr>
        <w:tc>
          <w:tcPr>
            <w:tcW w:type="dxa" w:w="5040"/>
          </w:tcPr>
          <w:p>
            <w:r>
              <w:t>Project seasons</w:t>
            </w:r>
          </w:p>
        </w:tc>
        <w:tc>
          <w:tcPr>
            <w:tcW w:type="dxa" w:w="5040"/>
          </w:tcPr>
          <w:p>
            <w:r>
              <w:t>2017–2018 through 2024–2025</w:t>
            </w:r>
          </w:p>
        </w:tc>
      </w:tr>
      <w:tr>
        <w:tc>
          <w:tcPr>
            <w:tcW w:type="dxa" w:w="5040"/>
          </w:tcPr>
          <w:p>
            <w:r>
              <w:t>Positions selected</w:t>
            </w:r>
          </w:p>
        </w:tc>
        <w:tc>
          <w:tcPr>
            <w:tcW w:type="dxa" w:w="5040"/>
          </w:tcPr>
          <w:p>
            <w:r>
              <w:t>FW, MF and DF</w:t>
            </w:r>
          </w:p>
        </w:tc>
      </w:tr>
    </w:tbl>
    <w:p>
      <w:pPr>
        <w:pStyle w:val="Heading1"/>
      </w:pPr>
      <w:r>
        <w:t>3. EDA Objectives</w:t>
      </w:r>
    </w:p>
    <w:p>
      <w:pPr>
        <w:pStyle w:val="ListBullet"/>
      </w:pPr>
      <w:r>
        <w:t>Understand the size and structure of the raw dataset.</w:t>
      </w:r>
    </w:p>
    <w:p>
      <w:pPr>
        <w:pStyle w:val="ListBullet"/>
      </w:pPr>
      <w:r>
        <w:t>Explore the available seasons, positions and leagues.</w:t>
      </w:r>
    </w:p>
    <w:p>
      <w:pPr>
        <w:pStyle w:val="ListBullet"/>
      </w:pPr>
      <w:r>
        <w:t>Restrict the analysis to the seasons relevant to the project.</w:t>
      </w:r>
    </w:p>
    <w:p>
      <w:pPr>
        <w:pStyle w:val="ListBullet"/>
      </w:pPr>
      <w:r>
        <w:t>Focus on forwards, midfielders and defenders.</w:t>
      </w:r>
    </w:p>
    <w:p>
      <w:pPr>
        <w:pStyle w:val="ListBullet"/>
      </w:pPr>
      <w:r>
        <w:t>Remove records with less than 450 minutes of playing time to improve the reliability of per-90 statistics.</w:t>
      </w:r>
    </w:p>
    <w:p>
      <w:pPr>
        <w:pStyle w:val="ListBullet"/>
      </w:pPr>
      <w:r>
        <w:t>Identify duplicate player-season groups caused by multiple club records.</w:t>
      </w:r>
    </w:p>
    <w:p>
      <w:pPr>
        <w:pStyle w:val="ListBullet"/>
      </w:pPr>
      <w:r>
        <w:t>Establish the final unique player-season population for subsequent analysis.</w:t>
      </w:r>
    </w:p>
    <w:p>
      <w:pPr>
        <w:pStyle w:val="ListBullet"/>
      </w:pPr>
      <w:r>
        <w:t>Inspect the distribution of positions and performance levels after the project preprocessing.</w:t>
      </w:r>
    </w:p>
    <w:p>
      <w:pPr>
        <w:pStyle w:val="Heading1"/>
      </w:pPr>
      <w:r>
        <w:t>4. EDA Implementation</w:t>
      </w:r>
    </w:p>
    <w:p>
      <w:pPr>
        <w:pStyle w:val="Heading2"/>
      </w:pPr>
      <w:r>
        <w:t>4.1 Loading the Dataset</w:t>
      </w:r>
    </w:p>
    <w:p>
      <w:pPr>
        <w:spacing w:after="140"/>
        <w:ind w:left="288"/>
      </w:pPr>
      <w:r>
        <w:rPr>
          <w:rFonts w:ascii="Consolas" w:hAnsi="Consolas"/>
          <w:sz w:val="17"/>
        </w:rPr>
        <w:t>import pandas as pd</w:t>
        <w:br/>
      </w:r>
      <w:r>
        <w:rPr>
          <w:rFonts w:ascii="Consolas" w:hAnsi="Consolas"/>
          <w:sz w:val="17"/>
        </w:rPr>
        <w:br/>
      </w:r>
      <w:r>
        <w:rPr>
          <w:rFonts w:ascii="Consolas" w:hAnsi="Consolas"/>
          <w:sz w:val="17"/>
        </w:rPr>
        <w:t>df = pd.read_csv("All_Players_1992-2025.csv", low_memory=False)</w:t>
        <w:br/>
      </w:r>
      <w:r>
        <w:rPr>
          <w:rFonts w:ascii="Consolas" w:hAnsi="Consolas"/>
          <w:sz w:val="17"/>
        </w:rPr>
        <w:br/>
      </w:r>
      <w:r>
        <w:rPr>
          <w:rFonts w:ascii="Consolas" w:hAnsi="Consolas"/>
          <w:sz w:val="17"/>
        </w:rPr>
        <w:t>print("Dataset loaded successfully!")</w:t>
        <w:br/>
      </w:r>
      <w:r>
        <w:rPr>
          <w:rFonts w:ascii="Consolas" w:hAnsi="Consolas"/>
          <w:sz w:val="17"/>
        </w:rPr>
        <w:t>print("Rows:", df.shape[0])</w:t>
        <w:br/>
      </w:r>
      <w:r>
        <w:rPr>
          <w:rFonts w:ascii="Consolas" w:hAnsi="Consolas"/>
          <w:sz w:val="17"/>
        </w:rPr>
        <w:t>print("Columns:", df.shape[1])</w:t>
        <w:br/>
      </w:r>
      <w:r>
        <w:rPr>
          <w:rFonts w:ascii="Consolas" w:hAnsi="Consolas"/>
          <w:sz w:val="17"/>
        </w:rPr>
        <w:br/>
      </w:r>
      <w:r>
        <w:rPr>
          <w:rFonts w:ascii="Consolas" w:hAnsi="Consolas"/>
          <w:sz w:val="17"/>
        </w:rPr>
        <w:t>df.head()</w:t>
      </w:r>
    </w:p>
    <w:p>
      <w:r>
        <w:t>The initial dataset contains 92,170 rows and 120 columns. The head of the dataframe is inspected to understand the available fields and the structure of each player record.</w:t>
      </w:r>
    </w:p>
    <w:p>
      <w:pPr>
        <w:pStyle w:val="Heading2"/>
      </w:pPr>
      <w:r>
        <w:t>4.2 Exploring Seasons, Positions and Leagues</w:t>
      </w:r>
    </w:p>
    <w:p>
      <w:pPr>
        <w:spacing w:after="140"/>
        <w:ind w:left="288"/>
      </w:pPr>
      <w:r>
        <w:rPr>
          <w:rFonts w:ascii="Consolas" w:hAnsi="Consolas"/>
          <w:sz w:val="17"/>
        </w:rPr>
        <w:t>print("SEASONS:")</w:t>
        <w:br/>
      </w:r>
      <w:r>
        <w:rPr>
          <w:rFonts w:ascii="Consolas" w:hAnsi="Consolas"/>
          <w:sz w:val="17"/>
        </w:rPr>
        <w:t>print(sorted(df["Season"].dropna().unique()))</w:t>
        <w:br/>
      </w:r>
      <w:r>
        <w:rPr>
          <w:rFonts w:ascii="Consolas" w:hAnsi="Consolas"/>
          <w:sz w:val="17"/>
        </w:rPr>
        <w:br/>
      </w:r>
      <w:r>
        <w:rPr>
          <w:rFonts w:ascii="Consolas" w:hAnsi="Consolas"/>
          <w:sz w:val="17"/>
        </w:rPr>
        <w:t>print("\nPOSITIONS:")</w:t>
        <w:br/>
      </w:r>
      <w:r>
        <w:rPr>
          <w:rFonts w:ascii="Consolas" w:hAnsi="Consolas"/>
          <w:sz w:val="17"/>
        </w:rPr>
        <w:t>print(df["Pos"].value_counts().head(20))</w:t>
        <w:br/>
      </w:r>
      <w:r>
        <w:rPr>
          <w:rFonts w:ascii="Consolas" w:hAnsi="Consolas"/>
          <w:sz w:val="17"/>
        </w:rPr>
        <w:br/>
      </w:r>
      <w:r>
        <w:rPr>
          <w:rFonts w:ascii="Consolas" w:hAnsi="Consolas"/>
          <w:sz w:val="17"/>
        </w:rPr>
        <w:t>print("\nLEAGUES:")</w:t>
        <w:br/>
      </w:r>
      <w:r>
        <w:rPr>
          <w:rFonts w:ascii="Consolas" w:hAnsi="Consolas"/>
          <w:sz w:val="17"/>
        </w:rPr>
        <w:t>print(df["League"].value_counts())</w:t>
      </w:r>
    </w:p>
    <w:p>
      <w:r>
        <w:t>The dataset contains seasons from 1992–1993 to 2024–2025. The raw position distribution includes single and multi-position labels, with goalkeeper records also present. The project later restricts the analysis to FW, MF and DF.</w:t>
      </w:r>
    </w:p>
    <w:p>
      <w:pPr>
        <w:pStyle w:val="Heading2"/>
      </w:pPr>
      <w:r>
        <w:t>4.3 Selecting the Project Scope</w:t>
      </w:r>
    </w:p>
    <w:p>
      <w:pPr>
        <w:spacing w:after="140"/>
        <w:ind w:left="288"/>
      </w:pPr>
      <w:r>
        <w:rPr>
          <w:rFonts w:ascii="Consolas" w:hAnsi="Consolas"/>
          <w:sz w:val="17"/>
        </w:rPr>
        <w:t>seasons = [</w:t>
        <w:br/>
      </w:r>
      <w:r>
        <w:rPr>
          <w:rFonts w:ascii="Consolas" w:hAnsi="Consolas"/>
          <w:sz w:val="17"/>
        </w:rPr>
        <w:t xml:space="preserve">    "2017-2018", "2018-2019", "2019-2020", "2020-2021",</w:t>
        <w:br/>
      </w:r>
      <w:r>
        <w:rPr>
          <w:rFonts w:ascii="Consolas" w:hAnsi="Consolas"/>
          <w:sz w:val="17"/>
        </w:rPr>
        <w:t xml:space="preserve">    "2021-2022", "2022-2023", "2023-2024", "2024-2025"</w:t>
        <w:br/>
      </w:r>
      <w:r>
        <w:rPr>
          <w:rFonts w:ascii="Consolas" w:hAnsi="Consolas"/>
          <w:sz w:val="17"/>
        </w:rPr>
        <w:t>]</w:t>
        <w:br/>
      </w:r>
      <w:r>
        <w:rPr>
          <w:rFonts w:ascii="Consolas" w:hAnsi="Consolas"/>
          <w:sz w:val="17"/>
        </w:rPr>
        <w:br/>
      </w:r>
      <w:r>
        <w:rPr>
          <w:rFonts w:ascii="Consolas" w:hAnsi="Consolas"/>
          <w:sz w:val="17"/>
        </w:rPr>
        <w:t>df = df[df["Season"].isin(seasons)]</w:t>
        <w:br/>
      </w:r>
      <w:r>
        <w:rPr>
          <w:rFonts w:ascii="Consolas" w:hAnsi="Consolas"/>
          <w:sz w:val="17"/>
        </w:rPr>
        <w:t>df = df[df["Pos"].isin(["FW", "MF", "DF"])]</w:t>
        <w:br/>
      </w:r>
      <w:r>
        <w:rPr>
          <w:rFonts w:ascii="Consolas" w:hAnsi="Consolas"/>
          <w:sz w:val="17"/>
        </w:rPr>
        <w:br/>
      </w:r>
      <w:r>
        <w:rPr>
          <w:rFonts w:ascii="Consolas" w:hAnsi="Consolas"/>
          <w:sz w:val="17"/>
        </w:rPr>
        <w:t>print("After season and position filtering:", df.shape)</w:t>
      </w:r>
    </w:p>
    <w:p>
      <w:r>
        <w:t>After selecting the eight project seasons and the three target playing positions, the dataset contains 24,034 records.</w:t>
      </w:r>
    </w:p>
    <w:p>
      <w:pPr>
        <w:pStyle w:val="Heading2"/>
      </w:pPr>
      <w:r>
        <w:t>4.4 Minimum Playing-Time Analysis</w:t>
      </w:r>
    </w:p>
    <w:p>
      <w:pPr>
        <w:spacing w:after="140"/>
        <w:ind w:left="288"/>
      </w:pPr>
      <w:r>
        <w:rPr>
          <w:rFonts w:ascii="Consolas" w:hAnsi="Consolas"/>
          <w:sz w:val="17"/>
        </w:rPr>
        <w:t>df = df[df["Min"] &gt;= 450]</w:t>
        <w:br/>
      </w:r>
      <w:r>
        <w:rPr>
          <w:rFonts w:ascii="Consolas" w:hAnsi="Consolas"/>
          <w:sz w:val="17"/>
        </w:rPr>
        <w:br/>
      </w:r>
      <w:r>
        <w:rPr>
          <w:rFonts w:ascii="Consolas" w:hAnsi="Consolas"/>
          <w:sz w:val="17"/>
        </w:rPr>
        <w:t>print("After 450-minute filter:", df.shape)</w:t>
      </w:r>
    </w:p>
    <w:p>
      <w:r>
        <w:t>The 450-minute threshold reduces the influence of players with very limited playing time. This is important because per-90 statistics can become unstable when the number of minutes played is very small.</w:t>
      </w:r>
    </w:p>
    <w:p>
      <w:r>
        <w:t>After this filter, 14,812 records remain.</w:t>
      </w:r>
    </w:p>
    <w:p>
      <w:pPr>
        <w:pStyle w:val="Heading2"/>
      </w:pPr>
      <w:r>
        <w:t>4.5 Duplicate Player-Season Analysis</w:t>
      </w:r>
    </w:p>
    <w:p>
      <w:pPr>
        <w:spacing w:after="140"/>
        <w:ind w:left="288"/>
      </w:pPr>
      <w:r>
        <w:rPr>
          <w:rFonts w:ascii="Consolas" w:hAnsi="Consolas"/>
          <w:sz w:val="17"/>
        </w:rPr>
        <w:t>duplicate_groups = (</w:t>
        <w:br/>
      </w:r>
      <w:r>
        <w:rPr>
          <w:rFonts w:ascii="Consolas" w:hAnsi="Consolas"/>
          <w:sz w:val="17"/>
        </w:rPr>
        <w:t xml:space="preserve">    df.groupby(["Player", "Season"])</w:t>
        <w:br/>
      </w:r>
      <w:r>
        <w:rPr>
          <w:rFonts w:ascii="Consolas" w:hAnsi="Consolas"/>
          <w:sz w:val="17"/>
        </w:rPr>
        <w:t xml:space="preserve">      .size()</w:t>
        <w:br/>
      </w:r>
      <w:r>
        <w:rPr>
          <w:rFonts w:ascii="Consolas" w:hAnsi="Consolas"/>
          <w:sz w:val="17"/>
        </w:rPr>
        <w:t xml:space="preserve">      .reset_index(name="Count")</w:t>
        <w:br/>
      </w:r>
      <w:r>
        <w:rPr>
          <w:rFonts w:ascii="Consolas" w:hAnsi="Consolas"/>
          <w:sz w:val="17"/>
        </w:rPr>
        <w:t>)</w:t>
        <w:br/>
      </w:r>
      <w:r>
        <w:rPr>
          <w:rFonts w:ascii="Consolas" w:hAnsi="Consolas"/>
          <w:sz w:val="17"/>
        </w:rPr>
        <w:br/>
      </w:r>
      <w:r>
        <w:rPr>
          <w:rFonts w:ascii="Consolas" w:hAnsi="Consolas"/>
          <w:sz w:val="17"/>
        </w:rPr>
        <w:t>duplicates = duplicate_groups[duplicate_groups["Count"] &gt; 1]</w:t>
        <w:br/>
      </w:r>
      <w:r>
        <w:rPr>
          <w:rFonts w:ascii="Consolas" w:hAnsi="Consolas"/>
          <w:sz w:val="17"/>
        </w:rPr>
        <w:br/>
      </w:r>
      <w:r>
        <w:rPr>
          <w:rFonts w:ascii="Consolas" w:hAnsi="Consolas"/>
          <w:sz w:val="17"/>
        </w:rPr>
        <w:t>print("Duplicate player-season groups:", len(duplicates))</w:t>
      </w:r>
    </w:p>
    <w:p>
      <w:r>
        <w:t>The EDA identified 223 duplicate player-season groups. These duplicates can occur when a player has separate records for different clubs during the same season. The project combines such records so that the final analysis represents a unique player-season rather than multiple club rows for the same season.</w:t>
      </w:r>
    </w:p>
    <w:p>
      <w:r>
        <w:t>Final unique player-season records: 14,589.</w:t>
      </w:r>
    </w:p>
    <w:p>
      <w:pPr>
        <w:pStyle w:val="Heading1"/>
      </w:pPr>
      <w:r>
        <w:t>5. EDA Findings</w:t>
      </w:r>
    </w:p>
    <w:p>
      <w:pPr>
        <w:pStyle w:val="Heading2"/>
      </w:pPr>
      <w:r>
        <w:t>5.1 Dataset Reduction</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t>Stage</w:t>
            </w:r>
          </w:p>
        </w:tc>
        <w:tc>
          <w:tcPr>
            <w:tcW w:type="dxa" w:w="3360"/>
            <w:shd w:fill="D9EAF7"/>
          </w:tcPr>
          <w:p>
            <w:r>
              <w:t>Records</w:t>
            </w:r>
          </w:p>
        </w:tc>
        <w:tc>
          <w:tcPr>
            <w:tcW w:type="dxa" w:w="3360"/>
            <w:shd w:fill="D9EAF7"/>
          </w:tcPr>
          <w:p>
            <w:r>
              <w:t>Purpose</w:t>
            </w:r>
          </w:p>
        </w:tc>
      </w:tr>
      <w:tr>
        <w:tc>
          <w:tcPr>
            <w:tcW w:type="dxa" w:w="3360"/>
          </w:tcPr>
          <w:p>
            <w:r>
              <w:t>Raw dataset</w:t>
            </w:r>
          </w:p>
        </w:tc>
        <w:tc>
          <w:tcPr>
            <w:tcW w:type="dxa" w:w="3360"/>
          </w:tcPr>
          <w:p>
            <w:r>
              <w:t>92,170 × 120</w:t>
            </w:r>
          </w:p>
        </w:tc>
        <w:tc>
          <w:tcPr>
            <w:tcW w:type="dxa" w:w="3360"/>
          </w:tcPr>
          <w:p>
            <w:r>
              <w:t>Starting dataset</w:t>
            </w:r>
          </w:p>
        </w:tc>
      </w:tr>
      <w:tr>
        <w:tc>
          <w:tcPr>
            <w:tcW w:type="dxa" w:w="3360"/>
          </w:tcPr>
          <w:p>
            <w:r>
              <w:t>Selected seasons + FW/MF/DF</w:t>
            </w:r>
          </w:p>
        </w:tc>
        <w:tc>
          <w:tcPr>
            <w:tcW w:type="dxa" w:w="3360"/>
          </w:tcPr>
          <w:p>
            <w:r>
              <w:t>24,034</w:t>
            </w:r>
          </w:p>
        </w:tc>
        <w:tc>
          <w:tcPr>
            <w:tcW w:type="dxa" w:w="3360"/>
          </w:tcPr>
          <w:p>
            <w:r>
              <w:t>Define project population</w:t>
            </w:r>
          </w:p>
        </w:tc>
      </w:tr>
      <w:tr>
        <w:tc>
          <w:tcPr>
            <w:tcW w:type="dxa" w:w="3360"/>
          </w:tcPr>
          <w:p>
            <w:r>
              <w:t>Minimum 450 minutes</w:t>
            </w:r>
          </w:p>
        </w:tc>
        <w:tc>
          <w:tcPr>
            <w:tcW w:type="dxa" w:w="3360"/>
          </w:tcPr>
          <w:p>
            <w:r>
              <w:t>14,812</w:t>
            </w:r>
          </w:p>
        </w:tc>
        <w:tc>
          <w:tcPr>
            <w:tcW w:type="dxa" w:w="3360"/>
          </w:tcPr>
          <w:p>
            <w:r>
              <w:t>Improve reliability of playing-time-normalized statistics</w:t>
            </w:r>
          </w:p>
        </w:tc>
      </w:tr>
      <w:tr>
        <w:tc>
          <w:tcPr>
            <w:tcW w:type="dxa" w:w="3360"/>
          </w:tcPr>
          <w:p>
            <w:r>
              <w:t>Duplicate player-season groups</w:t>
            </w:r>
          </w:p>
        </w:tc>
        <w:tc>
          <w:tcPr>
            <w:tcW w:type="dxa" w:w="3360"/>
          </w:tcPr>
          <w:p>
            <w:r>
              <w:t>223 groups</w:t>
            </w:r>
          </w:p>
        </w:tc>
        <w:tc>
          <w:tcPr>
            <w:tcW w:type="dxa" w:w="3360"/>
          </w:tcPr>
          <w:p>
            <w:r>
              <w:t>Identify multi-club records</w:t>
            </w:r>
          </w:p>
        </w:tc>
      </w:tr>
      <w:tr>
        <w:tc>
          <w:tcPr>
            <w:tcW w:type="dxa" w:w="3360"/>
          </w:tcPr>
          <w:p>
            <w:r>
              <w:t>Final unique player-season records</w:t>
            </w:r>
          </w:p>
        </w:tc>
        <w:tc>
          <w:tcPr>
            <w:tcW w:type="dxa" w:w="3360"/>
          </w:tcPr>
          <w:p>
            <w:r>
              <w:t>14,589</w:t>
            </w:r>
          </w:p>
        </w:tc>
        <w:tc>
          <w:tcPr>
            <w:tcW w:type="dxa" w:w="3360"/>
          </w:tcPr>
          <w:p>
            <w:r>
              <w:t>Final population for subsequent analysis</w:t>
            </w:r>
          </w:p>
        </w:tc>
      </w:tr>
    </w:tbl>
    <w:p>
      <w:pPr>
        <w:pStyle w:val="Heading2"/>
      </w:pPr>
      <w:r>
        <w:t>5.2 Position Distribution</w:t>
      </w:r>
    </w:p>
    <w:tbl>
      <w:tblPr>
        <w:tblW w:type="auto" w:w="0"/>
        <w:tblLook w:firstColumn="1" w:firstRow="1" w:lastColumn="0" w:lastRow="0" w:noHBand="0" w:noVBand="1" w:val="04A0"/>
      </w:tblPr>
      <w:tblGrid>
        <w:gridCol w:w="5040"/>
        <w:gridCol w:w="5040"/>
      </w:tblGrid>
      <w:tr>
        <w:tc>
          <w:tcPr>
            <w:tcW w:type="dxa" w:w="5040"/>
            <w:shd w:fill="D9EAF7"/>
          </w:tcPr>
          <w:p>
            <w:r>
              <w:t>Position</w:t>
            </w:r>
          </w:p>
        </w:tc>
        <w:tc>
          <w:tcPr>
            <w:tcW w:type="dxa" w:w="5040"/>
            <w:shd w:fill="D9EAF7"/>
          </w:tcPr>
          <w:p>
            <w:r>
              <w:t>Records</w:t>
            </w:r>
          </w:p>
        </w:tc>
      </w:tr>
      <w:tr>
        <w:tc>
          <w:tcPr>
            <w:tcW w:type="dxa" w:w="5040"/>
          </w:tcPr>
          <w:p>
            <w:r>
              <w:t>Defenders (DF)</w:t>
            </w:r>
          </w:p>
        </w:tc>
        <w:tc>
          <w:tcPr>
            <w:tcW w:type="dxa" w:w="5040"/>
          </w:tcPr>
          <w:p>
            <w:r>
              <w:t>9,338</w:t>
            </w:r>
          </w:p>
        </w:tc>
      </w:tr>
      <w:tr>
        <w:tc>
          <w:tcPr>
            <w:tcW w:type="dxa" w:w="5040"/>
          </w:tcPr>
          <w:p>
            <w:r>
              <w:t>Midfielders (MF)</w:t>
            </w:r>
          </w:p>
        </w:tc>
        <w:tc>
          <w:tcPr>
            <w:tcW w:type="dxa" w:w="5040"/>
          </w:tcPr>
          <w:p>
            <w:r>
              <w:t>8,380</w:t>
            </w:r>
          </w:p>
        </w:tc>
      </w:tr>
      <w:tr>
        <w:tc>
          <w:tcPr>
            <w:tcW w:type="dxa" w:w="5040"/>
          </w:tcPr>
          <w:p>
            <w:r>
              <w:t>Forwards (FW)</w:t>
            </w:r>
          </w:p>
        </w:tc>
        <w:tc>
          <w:tcPr>
            <w:tcW w:type="dxa" w:w="5040"/>
          </w:tcPr>
          <w:p>
            <w:r>
              <w:t>6,316</w:t>
            </w:r>
          </w:p>
        </w:tc>
      </w:tr>
    </w:tbl>
    <w:p>
      <w:r>
        <w:t>Defenders form the largest group in the final position distribution, followed by midfielders and forwards. This distribution supports the decision to use position-aware analysis rather than treating all players identically.</w:t>
      </w:r>
    </w:p>
    <w:p>
      <w:pPr>
        <w:pStyle w:val="Heading2"/>
      </w:pPr>
      <w:r>
        <w:t>5.3 Records by Season</w:t>
      </w:r>
    </w:p>
    <w:tbl>
      <w:tblPr>
        <w:tblW w:type="auto" w:w="0"/>
        <w:tblLook w:firstColumn="1" w:firstRow="1" w:lastColumn="0" w:lastRow="0" w:noHBand="0" w:noVBand="1" w:val="04A0"/>
      </w:tblPr>
      <w:tblGrid>
        <w:gridCol w:w="5040"/>
        <w:gridCol w:w="5040"/>
      </w:tblGrid>
      <w:tr>
        <w:tc>
          <w:tcPr>
            <w:tcW w:type="dxa" w:w="5040"/>
            <w:shd w:fill="D9EAF7"/>
          </w:tcPr>
          <w:p>
            <w:r>
              <w:t>Season</w:t>
            </w:r>
          </w:p>
        </w:tc>
        <w:tc>
          <w:tcPr>
            <w:tcW w:type="dxa" w:w="5040"/>
            <w:shd w:fill="D9EAF7"/>
          </w:tcPr>
          <w:p>
            <w:r>
              <w:t>Records</w:t>
            </w:r>
          </w:p>
        </w:tc>
      </w:tr>
      <w:tr>
        <w:tc>
          <w:tcPr>
            <w:tcW w:type="dxa" w:w="5040"/>
          </w:tcPr>
          <w:p>
            <w:r>
              <w:t>2017–18</w:t>
            </w:r>
          </w:p>
        </w:tc>
        <w:tc>
          <w:tcPr>
            <w:tcW w:type="dxa" w:w="5040"/>
          </w:tcPr>
          <w:p>
            <w:r>
              <w:t>2,815</w:t>
            </w:r>
          </w:p>
        </w:tc>
      </w:tr>
      <w:tr>
        <w:tc>
          <w:tcPr>
            <w:tcW w:type="dxa" w:w="5040"/>
          </w:tcPr>
          <w:p>
            <w:r>
              <w:t>2018–19</w:t>
            </w:r>
          </w:p>
        </w:tc>
        <w:tc>
          <w:tcPr>
            <w:tcW w:type="dxa" w:w="5040"/>
          </w:tcPr>
          <w:p>
            <w:r>
              <w:t>2,760</w:t>
            </w:r>
          </w:p>
        </w:tc>
      </w:tr>
      <w:tr>
        <w:tc>
          <w:tcPr>
            <w:tcW w:type="dxa" w:w="5040"/>
          </w:tcPr>
          <w:p>
            <w:r>
              <w:t>2019–20</w:t>
            </w:r>
          </w:p>
        </w:tc>
        <w:tc>
          <w:tcPr>
            <w:tcW w:type="dxa" w:w="5040"/>
          </w:tcPr>
          <w:p>
            <w:r>
              <w:t>2,884</w:t>
            </w:r>
          </w:p>
        </w:tc>
      </w:tr>
      <w:tr>
        <w:tc>
          <w:tcPr>
            <w:tcW w:type="dxa" w:w="5040"/>
          </w:tcPr>
          <w:p>
            <w:r>
              <w:t>2020–21</w:t>
            </w:r>
          </w:p>
        </w:tc>
        <w:tc>
          <w:tcPr>
            <w:tcW w:type="dxa" w:w="5040"/>
          </w:tcPr>
          <w:p>
            <w:r>
              <w:t>3,052</w:t>
            </w:r>
          </w:p>
        </w:tc>
      </w:tr>
      <w:tr>
        <w:tc>
          <w:tcPr>
            <w:tcW w:type="dxa" w:w="5040"/>
          </w:tcPr>
          <w:p>
            <w:r>
              <w:t>2021–22</w:t>
            </w:r>
          </w:p>
        </w:tc>
        <w:tc>
          <w:tcPr>
            <w:tcW w:type="dxa" w:w="5040"/>
          </w:tcPr>
          <w:p>
            <w:r>
              <w:t>3,189</w:t>
            </w:r>
          </w:p>
        </w:tc>
      </w:tr>
      <w:tr>
        <w:tc>
          <w:tcPr>
            <w:tcW w:type="dxa" w:w="5040"/>
          </w:tcPr>
          <w:p>
            <w:r>
              <w:t>2022–23</w:t>
            </w:r>
          </w:p>
        </w:tc>
        <w:tc>
          <w:tcPr>
            <w:tcW w:type="dxa" w:w="5040"/>
          </w:tcPr>
          <w:p>
            <w:r>
              <w:t>3,124</w:t>
            </w:r>
          </w:p>
        </w:tc>
      </w:tr>
      <w:tr>
        <w:tc>
          <w:tcPr>
            <w:tcW w:type="dxa" w:w="5040"/>
          </w:tcPr>
          <w:p>
            <w:r>
              <w:t>2023–24</w:t>
            </w:r>
          </w:p>
        </w:tc>
        <w:tc>
          <w:tcPr>
            <w:tcW w:type="dxa" w:w="5040"/>
          </w:tcPr>
          <w:p>
            <w:r>
              <w:t>3,113</w:t>
            </w:r>
          </w:p>
        </w:tc>
      </w:tr>
      <w:tr>
        <w:tc>
          <w:tcPr>
            <w:tcW w:type="dxa" w:w="5040"/>
          </w:tcPr>
          <w:p>
            <w:r>
              <w:t>2024–25</w:t>
            </w:r>
          </w:p>
        </w:tc>
        <w:tc>
          <w:tcPr>
            <w:tcW w:type="dxa" w:w="5040"/>
          </w:tcPr>
          <w:p>
            <w:r>
              <w:t>3,097</w:t>
            </w:r>
          </w:p>
        </w:tc>
      </w:tr>
    </w:tbl>
    <w:p>
      <w:pPr>
        <w:pStyle w:val="Heading2"/>
      </w:pPr>
      <w:r>
        <w:t>5.4 Performance-Level Distribution</w:t>
      </w:r>
    </w:p>
    <w:tbl>
      <w:tblPr>
        <w:tblW w:type="auto" w:w="0"/>
        <w:tblLook w:firstColumn="1" w:firstRow="1" w:lastColumn="0" w:lastRow="0" w:noHBand="0" w:noVBand="1" w:val="04A0"/>
      </w:tblPr>
      <w:tblGrid>
        <w:gridCol w:w="5040"/>
        <w:gridCol w:w="5040"/>
      </w:tblGrid>
      <w:tr>
        <w:tc>
          <w:tcPr>
            <w:tcW w:type="dxa" w:w="5040"/>
            <w:shd w:fill="D9EAF7"/>
          </w:tcPr>
          <w:p>
            <w:r>
              <w:t>Performance Level</w:t>
            </w:r>
          </w:p>
        </w:tc>
        <w:tc>
          <w:tcPr>
            <w:tcW w:type="dxa" w:w="5040"/>
            <w:shd w:fill="D9EAF7"/>
          </w:tcPr>
          <w:p>
            <w:r>
              <w:t>Players</w:t>
            </w:r>
          </w:p>
        </w:tc>
      </w:tr>
      <w:tr>
        <w:tc>
          <w:tcPr>
            <w:tcW w:type="dxa" w:w="5040"/>
          </w:tcPr>
          <w:p>
            <w:r>
              <w:t>Low</w:t>
            </w:r>
          </w:p>
        </w:tc>
        <w:tc>
          <w:tcPr>
            <w:tcW w:type="dxa" w:w="5040"/>
          </w:tcPr>
          <w:p>
            <w:r>
              <w:t>3,646</w:t>
            </w:r>
          </w:p>
        </w:tc>
      </w:tr>
      <w:tr>
        <w:tc>
          <w:tcPr>
            <w:tcW w:type="dxa" w:w="5040"/>
          </w:tcPr>
          <w:p>
            <w:r>
              <w:t>Medium</w:t>
            </w:r>
          </w:p>
        </w:tc>
        <w:tc>
          <w:tcPr>
            <w:tcW w:type="dxa" w:w="5040"/>
          </w:tcPr>
          <w:p>
            <w:r>
              <w:t>7,303</w:t>
            </w:r>
          </w:p>
        </w:tc>
      </w:tr>
      <w:tr>
        <w:tc>
          <w:tcPr>
            <w:tcW w:type="dxa" w:w="5040"/>
          </w:tcPr>
          <w:p>
            <w:r>
              <w:t>High</w:t>
            </w:r>
          </w:p>
        </w:tc>
        <w:tc>
          <w:tcPr>
            <w:tcW w:type="dxa" w:w="5040"/>
          </w:tcPr>
          <w:p>
            <w:r>
              <w:t>3,640</w:t>
            </w:r>
          </w:p>
        </w:tc>
      </w:tr>
    </w:tbl>
    <w:p>
      <w:r>
        <w:t>The Medium category contains the largest number of players, while the Low and High categories are similar in size. This distribution is relevant when evaluating a multiclass classification model.</w:t>
      </w:r>
    </w:p>
    <w:p>
      <w:pPr>
        <w:pStyle w:val="Heading2"/>
      </w:pPr>
      <w:r>
        <w:t>5.5 Missing-Value Observation</w:t>
      </w:r>
    </w:p>
    <w:p>
      <w:r>
        <w:t>After the 450-minute filtering stage, the score variables used for the performance-score construction had 0 missing values. This provides a clean basis for the subsequent score calculation.</w:t>
      </w:r>
    </w:p>
    <w:p>
      <w:pPr>
        <w:pStyle w:val="Heading1"/>
      </w:pPr>
      <w:r>
        <w:t>6. Interpretation of EDA</w:t>
      </w:r>
    </w:p>
    <w:p>
      <w:pPr>
        <w:pStyle w:val="ListBullet"/>
      </w:pPr>
      <w:r>
        <w:t>The raw dataset is substantially larger than the final project population, so defining a clear analytical scope is necessary.</w:t>
      </w:r>
    </w:p>
    <w:p>
      <w:pPr>
        <w:pStyle w:val="ListBullet"/>
      </w:pPr>
      <w:r>
        <w:t>Restricting the seasons to 2017–2018 through 2024–2025 makes the analysis focused on the project's selected recent period.</w:t>
      </w:r>
    </w:p>
    <w:p>
      <w:pPr>
        <w:pStyle w:val="ListBullet"/>
      </w:pPr>
      <w:r>
        <w:t>Restricting positions to FW, MF and DF aligns the dataset with the project's position-specific performance analysis.</w:t>
      </w:r>
    </w:p>
    <w:p>
      <w:pPr>
        <w:pStyle w:val="ListBullet"/>
      </w:pPr>
      <w:r>
        <w:t>The 450-minute threshold addresses the reliability problem of very small playing samples.</w:t>
      </w:r>
    </w:p>
    <w:p>
      <w:pPr>
        <w:pStyle w:val="ListBullet"/>
      </w:pPr>
      <w:r>
        <w:t>Duplicate player-season groups need to be handled because a player may appear under multiple clubs in the same season.</w:t>
      </w:r>
    </w:p>
    <w:p>
      <w:pPr>
        <w:pStyle w:val="ListBullet"/>
      </w:pPr>
      <w:r>
        <w:t>The final 14,589 unique player-season records provide the basis for feature engineering and machine-learning analysis.</w:t>
      </w:r>
    </w:p>
    <w:p>
      <w:pPr>
        <w:pStyle w:val="ListBullet"/>
      </w:pPr>
      <w:r>
        <w:t>The position distribution confirms that the dataset is not evenly distributed across roles, reinforcing the need for position-aware analysis.</w:t>
      </w:r>
    </w:p>
    <w:p>
      <w:pPr>
        <w:pStyle w:val="Heading1"/>
      </w:pPr>
      <w:r>
        <w:t>7. Transition from EDA to Further Analysis</w:t>
      </w:r>
    </w:p>
    <w:p>
      <w:r>
        <w:t>The EDA establishes the population used in the next stage of the project. After EDA, the project proceeds to per-90 feature creation, position- and season-specific percentile ranks, position-specific weighted performance scoring, conversion of the score into Low/Medium/High performance classes, and machine-learning classification using Random Forest and XGBoost.</w:t>
      </w:r>
    </w:p>
    <w:p>
      <w:pPr>
        <w:jc w:val="center"/>
      </w:pPr>
      <w:r>
        <w:rPr>
          <w:b/>
        </w:rPr>
        <w:t>EDA OUTPUT → CLEAN PLAYER-SEASON DATA → FEATURE ENGINEERING → MACHINE LEARNING</w:t>
      </w:r>
    </w:p>
    <w:p>
      <w:pPr>
        <w:pStyle w:val="Heading1"/>
      </w:pPr>
      <w:r>
        <w:t>8. Conclusion</w:t>
      </w:r>
    </w:p>
    <w:p>
      <w:r>
        <w:t>The EDA provided a structured understanding of the football-player dataset and identified the main data preparation requirements for the project. Starting from 92,170 records, the analysis narrowed the data to 14,589 unique player-season records after selecting the relevant seasons and positions, applying the 450-minute threshold and handling duplicate player-season groups. The resulting dataset is suitable for the project's next stages of performance-score construction, classification and feature-importance analysis.</w:t>
      </w:r>
    </w:p>
    <w:p>
      <w:pPr>
        <w:pStyle w:val="Heading1"/>
      </w:pPr>
      <w:r>
        <w:t>9. EDA Code Summary</w:t>
      </w:r>
    </w:p>
    <w:p>
      <w:r>
        <w:t>The practical EDA demonstrated in the project consists of: dataset loading, shape/head inspection, categorical frequency exploration, season and position filtering, minimum-minute filtering, duplicate player-season detection, and examination of the final position and performance distributions.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