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100"/>
        <w:jc w:val="center"/>
      </w:pPr>
      <w:r>
        <w:drawing>
          <wp:inline distT="0" distB="0" distL="0" distR="0">
            <wp:extent cx="2857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43100"/>
                    </a:xfrm>
                    <a:prstGeom prst="rect">
                      <a:avLst/>
                    </a:prstGeom>
                  </pic:spPr>
                </pic:pic>
              </a:graphicData>
            </a:graphic>
          </wp:inline>
        </w:drawing>
      </w:r>
    </w:p>
    <w:p>
      <w:pPr>
        <w:spacing w:after="140" w:line="360"/>
        <w:jc w:val="center"/>
      </w:pPr>
      <w:r>
        <w:rPr>
          <w:rFonts w:ascii="Times New Roman" w:cs="Times New Roman" w:eastAsia="Times New Roman" w:hAnsi="Times New Roman"/>
          <w:b/>
          <w:bCs/>
          <w:color w:val="000000"/>
          <w:sz w:val="34"/>
          <w:szCs w:val="34"/>
        </w:rPr>
        <w:t xml:space="preserve">SMART ODOUR MONITORING PLATFORM</w:t>
      </w:r>
    </w:p>
    <w:p>
      <w:pPr>
        <w:spacing w:after="700" w:line="360"/>
        <w:jc w:val="center"/>
      </w:pPr>
      <w:r>
        <w:rPr>
          <w:rFonts w:ascii="Times New Roman" w:cs="Times New Roman" w:eastAsia="Times New Roman" w:hAnsi="Times New Roman"/>
          <w:b/>
          <w:bCs/>
          <w:color w:val="000000"/>
          <w:sz w:val="26"/>
          <w:szCs w:val="26"/>
        </w:rPr>
        <w:t xml:space="preserve">CAMPUS AIR QUALITY MONITORING USING IoT SENSOR NODES AND EDGE COMPUTING</w:t>
      </w:r>
    </w:p>
    <w:p>
      <w:pPr>
        <w:spacing w:after="700" w:line="360"/>
        <w:jc w:val="center"/>
      </w:pPr>
      <w:r>
        <w:rPr>
          <w:rFonts w:ascii="Times New Roman" w:cs="Times New Roman" w:eastAsia="Times New Roman" w:hAnsi="Times New Roman"/>
          <w:color w:val="000000"/>
          <w:sz w:val="26"/>
          <w:szCs w:val="26"/>
        </w:rPr>
        <w:t xml:space="preserve">YASHPREET SINGH GILL</w:t>
      </w:r>
    </w:p>
    <w:p>
      <w:pPr>
        <w:spacing w:after="40" w:line="360"/>
        <w:jc w:val="center"/>
      </w:pPr>
      <w:r>
        <w:rPr>
          <w:rFonts w:ascii="Times New Roman" w:cs="Times New Roman" w:eastAsia="Times New Roman" w:hAnsi="Times New Roman"/>
          <w:color w:val="000000"/>
          <w:sz w:val="22"/>
          <w:szCs w:val="22"/>
        </w:rPr>
        <w:t xml:space="preserve">This report is submitted in partial fulfilment of the requirements for the</w:t>
      </w:r>
    </w:p>
    <w:p>
      <w:pPr>
        <w:spacing w:after="700" w:line="360"/>
        <w:jc w:val="center"/>
      </w:pPr>
      <w:r>
        <w:rPr>
          <w:rFonts w:ascii="Times New Roman" w:cs="Times New Roman" w:eastAsia="Times New Roman" w:hAnsi="Times New Roman"/>
          <w:color w:val="000000"/>
          <w:sz w:val="22"/>
          <w:szCs w:val="22"/>
        </w:rPr>
        <w:t xml:space="preserve">Bachelor of Computer Science with Honours</w:t>
      </w:r>
    </w:p>
    <w:p>
      <w:pPr>
        <w:spacing w:after="60" w:line="360"/>
        <w:jc w:val="center"/>
      </w:pPr>
      <w:r>
        <w:rPr>
          <w:rFonts w:ascii="Times New Roman" w:cs="Times New Roman" w:eastAsia="Times New Roman" w:hAnsi="Times New Roman"/>
          <w:color w:val="000000"/>
          <w:sz w:val="22"/>
          <w:szCs w:val="22"/>
        </w:rPr>
        <w:t xml:space="preserve">FACULTY OF INFORMATION AND COMMUNICATION TECHNOLOGY</w:t>
      </w:r>
    </w:p>
    <w:p>
      <w:pPr>
        <w:spacing w:after="60" w:line="360"/>
        <w:jc w:val="center"/>
      </w:pPr>
      <w:r>
        <w:rPr>
          <w:rFonts w:ascii="Times New Roman" w:cs="Times New Roman" w:eastAsia="Times New Roman" w:hAnsi="Times New Roman"/>
          <w:color w:val="000000"/>
          <w:sz w:val="22"/>
          <w:szCs w:val="22"/>
        </w:rPr>
        <w:t xml:space="preserve">UNIVERSITI TEKNIKAL MALAYSIA MELAKA</w:t>
      </w:r>
    </w:p>
    <w:p>
      <w:pPr>
        <w:spacing w:after="400" w:line="360"/>
        <w:jc w:val="center"/>
      </w:pPr>
      <w:r>
        <w:rPr>
          <w:rFonts w:ascii="Times New Roman" w:cs="Times New Roman" w:eastAsia="Times New Roman" w:hAnsi="Times New Roman"/>
          <w:color w:val="000000"/>
          <w:sz w:val="22"/>
          <w:szCs w:val="22"/>
        </w:rPr>
        <w:t xml:space="preserve">2026</w:t>
      </w:r>
    </w:p>
    <w:p>
      <w:r>
        <w:br w:type="page"/>
      </w:r>
    </w:p>
    <w:p>
      <w:pPr>
        <w:pStyle w:val="Heading1"/>
        <w:spacing w:after="260" w:before="400"/>
      </w:pPr>
      <w:r>
        <w:rPr>
          <w:rFonts w:ascii="Times New Roman" w:cs="Times New Roman" w:eastAsia="Times New Roman" w:hAnsi="Times New Roman"/>
          <w:b/>
          <w:bCs/>
          <w:sz w:val="32"/>
          <w:szCs w:val="32"/>
        </w:rPr>
        <w:t xml:space="preserve">ABOUT THIS DOCUMENT</w:t>
      </w:r>
    </w:p>
    <w:p>
      <w:pPr>
        <w:spacing w:after="200" w:line="360"/>
        <w:jc w:val="both"/>
      </w:pPr>
      <w:r>
        <w:rPr>
          <w:rFonts w:ascii="Times New Roman" w:cs="Times New Roman" w:eastAsia="Times New Roman" w:hAnsi="Times New Roman"/>
          <w:color w:val="000000"/>
          <w:sz w:val="24"/>
          <w:szCs w:val="24"/>
        </w:rPr>
        <w:t xml:space="preserve">This report documents the design, implementation and testing of the Smart Odour Monitoring Platform, a continuous air quality monitoring system deployed across the UTeM campus. All seven chapters are included.</w:t>
      </w:r>
    </w:p>
    <w:p>
      <w:pPr>
        <w:spacing w:after="200" w:line="360"/>
        <w:jc w:val="both"/>
      </w:pPr>
      <w:r>
        <w:rPr>
          <w:rFonts w:ascii="Times New Roman" w:cs="Times New Roman" w:eastAsia="Times New Roman" w:hAnsi="Times New Roman"/>
          <w:color w:val="000000"/>
          <w:sz w:val="24"/>
          <w:szCs w:val="24"/>
        </w:rPr>
        <w:t xml:space="preserve">Every quantitative figure in Chapters 5 and 6 was taken from the deployed system or from a test that was executed. Where a test has not yet been run it is recorded as pending, rather than reported as passing.</w:t>
      </w:r>
    </w:p>
    <w:p>
      <w:pPr>
        <w:spacing w:after="200" w:line="360"/>
        <w:jc w:val="both"/>
      </w:pPr>
      <w:r>
        <w:rPr>
          <w:rFonts w:ascii="Times New Roman" w:cs="Times New Roman" w:eastAsia="Times New Roman" w:hAnsi="Times New Roman"/>
          <w:color w:val="000000"/>
          <w:sz w:val="24"/>
          <w:szCs w:val="24"/>
        </w:rPr>
        <w:t xml:space="preserve">Chapter 2 was written from the collected corpus of 71 sources. Titles, publication years and abstracts were read from the source documents. Author names and full pagination were not extractable from every file, so the reference list gives title, venue and year. These should be completed from the publisher records and converted to the required citation style before submission.</w:t>
      </w:r>
    </w:p>
    <w:p>
      <w:pPr>
        <w:spacing w:after="200" w:line="360"/>
        <w:jc w:val="both"/>
      </w:pPr>
      <w:r>
        <w:rPr>
          <w:rFonts w:ascii="Times New Roman" w:cs="Times New Roman" w:eastAsia="Times New Roman" w:hAnsi="Times New Roman"/>
          <w:i/>
          <w:iCs/>
          <w:color w:val="000000"/>
          <w:sz w:val="24"/>
          <w:szCs w:val="24"/>
        </w:rPr>
        <w:t xml:space="preserve">Two further items require attention before submission. The problem statements and objectives in Chapter 1 should be checked against the supervisor’s framing. Chapter 4 describes the system architecture and processing flow in text; the corresponding figures should be drawn and inserted.</w:t>
      </w:r>
    </w:p>
    <w:p>
      <w:r>
        <w:br w:type="page"/>
      </w:r>
    </w:p>
    <w:p>
      <w:pPr>
        <w:pStyle w:val="Heading1"/>
        <w:spacing w:after="260" w:before="400"/>
      </w:pPr>
      <w:r>
        <w:rPr>
          <w:rFonts w:ascii="Times New Roman" w:cs="Times New Roman" w:eastAsia="Times New Roman" w:hAnsi="Times New Roman"/>
          <w:b/>
          <w:bCs/>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60" w:before="400"/>
      </w:pPr>
      <w:r>
        <w:rPr>
          <w:rFonts w:ascii="Times New Roman" w:cs="Times New Roman" w:eastAsia="Times New Roman" w:hAnsi="Times New Roman"/>
          <w:b/>
          <w:bCs/>
          <w:sz w:val="32"/>
          <w:szCs w:val="32"/>
        </w:rPr>
        <w:t xml:space="preserve">CHAPTER 1: INTRODUCTION</w:t>
      </w:r>
    </w:p>
    <w:p>
      <w:pPr>
        <w:pStyle w:val="Heading2"/>
        <w:spacing w:after="180" w:before="320"/>
      </w:pPr>
      <w:r>
        <w:rPr>
          <w:rFonts w:ascii="Times New Roman" w:cs="Times New Roman" w:eastAsia="Times New Roman" w:hAnsi="Times New Roman"/>
          <w:b/>
          <w:bCs/>
          <w:sz w:val="26"/>
          <w:szCs w:val="26"/>
        </w:rPr>
        <w:t xml:space="preserve">1.1 Introduction</w:t>
      </w:r>
    </w:p>
    <w:p>
      <w:pPr>
        <w:spacing w:after="200" w:line="360"/>
        <w:jc w:val="both"/>
      </w:pPr>
      <w:r>
        <w:rPr>
          <w:rFonts w:ascii="Times New Roman" w:cs="Times New Roman" w:eastAsia="Times New Roman" w:hAnsi="Times New Roman"/>
          <w:color w:val="000000"/>
          <w:sz w:val="24"/>
          <w:szCs w:val="24"/>
        </w:rPr>
        <w:t xml:space="preserve">Airborne odour is among the most frequent environmental complaints in communities situated near agricultural and waste-handling operations. Unlike noise or visible pollution, odour is transient, highly variable, and difficult to substantiate after the fact. A resident who experiences a strong smell at four in the morning has, by the time an inspector arrives, no evidence that it occurred.</w:t>
      </w:r>
    </w:p>
    <w:p>
      <w:pPr>
        <w:spacing w:after="200" w:line="360"/>
        <w:jc w:val="both"/>
      </w:pPr>
      <w:r>
        <w:rPr>
          <w:rFonts w:ascii="Times New Roman" w:cs="Times New Roman" w:eastAsia="Times New Roman" w:hAnsi="Times New Roman"/>
          <w:color w:val="000000"/>
          <w:sz w:val="24"/>
          <w:szCs w:val="24"/>
        </w:rPr>
        <w:t xml:space="preserve">The campus of Universiti Teknikal Malaysia Melaka lies adjacent to agricultural land. Residential colleges, faculty buildings and food-service areas are subject to intermittent odour episodes whose intensity, timing and origin are not currently recorded. Facility management therefore responds to complaints rather than to measurements, and cannot demonstrate whether conditions are improving or worsening.</w:t>
      </w:r>
    </w:p>
    <w:p>
      <w:pPr>
        <w:spacing w:after="200" w:line="360"/>
        <w:jc w:val="both"/>
      </w:pPr>
      <w:r>
        <w:rPr>
          <w:rFonts w:ascii="Times New Roman" w:cs="Times New Roman" w:eastAsia="Times New Roman" w:hAnsi="Times New Roman"/>
          <w:color w:val="000000"/>
          <w:sz w:val="24"/>
          <w:szCs w:val="24"/>
        </w:rPr>
        <w:t xml:space="preserve">This project develops a monitoring platform that measures odour-associated gas concentrations continuously at fixed points across the campus, records every reading in a form that can be audited, evaluates readings against configurable thresholds, and notifies responsible staff automatically when limits are exceeded. Where a breach is severe, the system activates exhaust ventilation without human intervention.</w:t>
      </w:r>
    </w:p>
    <w:p>
      <w:pPr>
        <w:spacing w:after="200" w:line="360"/>
        <w:jc w:val="both"/>
      </w:pPr>
      <w:r>
        <w:rPr>
          <w:rFonts w:ascii="Times New Roman" w:cs="Times New Roman" w:eastAsia="Times New Roman" w:hAnsi="Times New Roman"/>
          <w:color w:val="000000"/>
          <w:sz w:val="24"/>
          <w:szCs w:val="24"/>
        </w:rPr>
        <w:t xml:space="preserve">The platform is built on distributed edge computing rather than on conventional server infrastructure. This decision is central to the project: environmental monitoring has value only if it is continuous, and a monitoring system that is itself unreliable produces gaps precisely when conditions are abnormal.</w:t>
      </w:r>
    </w:p>
    <w:p>
      <w:pPr>
        <w:pStyle w:val="Heading2"/>
        <w:spacing w:after="180" w:before="320"/>
      </w:pPr>
      <w:r>
        <w:rPr>
          <w:rFonts w:ascii="Times New Roman" w:cs="Times New Roman" w:eastAsia="Times New Roman" w:hAnsi="Times New Roman"/>
          <w:b/>
          <w:bCs/>
          <w:sz w:val="26"/>
          <w:szCs w:val="26"/>
        </w:rPr>
        <w:t xml:space="preserve">1.2 Problem Statement</w:t>
      </w:r>
    </w:p>
    <w:p>
      <w:pPr>
        <w:spacing w:after="200" w:line="360"/>
        <w:jc w:val="both"/>
      </w:pPr>
      <w:r>
        <w:rPr>
          <w:rFonts w:ascii="Times New Roman" w:cs="Times New Roman" w:eastAsia="Times New Roman" w:hAnsi="Times New Roman"/>
          <w:color w:val="000000"/>
          <w:sz w:val="24"/>
          <w:szCs w:val="24"/>
        </w:rPr>
        <w:t xml:space="preserve">The problems addressed by this project are summarised in Table 1.1.</w:t>
      </w:r>
    </w:p>
    <w:p>
      <w:pPr>
        <w:spacing w:after="300" w:before="100"/>
        <w:jc w:val="center"/>
      </w:pPr>
      <w:r>
        <w:rPr>
          <w:rFonts w:ascii="Times New Roman" w:cs="Times New Roman" w:eastAsia="Times New Roman" w:hAnsi="Times New Roman"/>
          <w:b/>
          <w:bCs/>
          <w:sz w:val="21"/>
          <w:szCs w:val="21"/>
        </w:rPr>
        <w:t xml:space="preserve">TABLE 1.1: PROBLEM STATEMENT</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900"/>
        <w:gridCol w:w="7500"/>
      </w:tblGrid>
      <w:tr>
        <w:trPr>
          <w:tblHeader/>
        </w:trPr>
        <w:tc>
          <w:tcPr>
            <w:tcW w:type="dxa" w:w="9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PS</w:t>
            </w:r>
          </w:p>
        </w:tc>
        <w:tc>
          <w:tcPr>
            <w:tcW w:type="dxa" w:w="75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Problem Statement</w:t>
            </w:r>
          </w:p>
        </w:tc>
      </w:tr>
      <w:tr>
        <w:tc>
          <w:tcPr>
            <w:tcW w:type="dxa" w:w="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PS1</w:t>
            </w:r>
          </w:p>
        </w:tc>
        <w:tc>
          <w:tcPr>
            <w:tcW w:type="dxa" w:w="7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Odour episodes on campus are transient and are not recorded, so complaints cannot be substantiated and no evidence exists to support remediation or to demonstrate whether conditions change over time.</w:t>
            </w:r>
          </w:p>
        </w:tc>
      </w:tr>
      <w:tr>
        <w:tc>
          <w:tcPr>
            <w:tcW w:type="dxa" w:w="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PS2</w:t>
            </w:r>
          </w:p>
        </w:tc>
        <w:tc>
          <w:tcPr>
            <w:tcW w:type="dxa" w:w="7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Detection depends on human reporting, which is delayed and intermittent. An episode occurring overnight or in an unoccupied area is not observed at all.</w:t>
            </w:r>
          </w:p>
        </w:tc>
      </w:tr>
      <w:tr>
        <w:tc>
          <w:tcPr>
            <w:tcW w:type="dxa" w:w="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PS3</w:t>
            </w:r>
          </w:p>
        </w:tc>
        <w:tc>
          <w:tcPr>
            <w:tcW w:type="dxa" w:w="7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Environmental monitoring deployments commonly depend on a single server or gateway, creating a point of failure that causes data loss during the very periods when conditions are abnormal.</w:t>
            </w:r>
          </w:p>
        </w:tc>
      </w:tr>
    </w:tbl>
    <w:p>
      <w:pPr>
        <w:pStyle w:val="Heading2"/>
        <w:spacing w:after="180" w:before="320"/>
      </w:pPr>
      <w:r>
        <w:rPr>
          <w:rFonts w:ascii="Times New Roman" w:cs="Times New Roman" w:eastAsia="Times New Roman" w:hAnsi="Times New Roman"/>
          <w:b/>
          <w:bCs/>
          <w:sz w:val="26"/>
          <w:szCs w:val="26"/>
        </w:rPr>
        <w:t xml:space="preserve">1.3 Project Question</w:t>
      </w:r>
    </w:p>
    <w:p>
      <w:pPr>
        <w:spacing w:after="200" w:line="360"/>
        <w:jc w:val="both"/>
      </w:pPr>
      <w:r>
        <w:rPr>
          <w:rFonts w:ascii="Times New Roman" w:cs="Times New Roman" w:eastAsia="Times New Roman" w:hAnsi="Times New Roman"/>
          <w:color w:val="000000"/>
          <w:sz w:val="24"/>
          <w:szCs w:val="24"/>
        </w:rPr>
        <w:t xml:space="preserve">The problem statements give rise to the questions summarised in Table 1.2.</w:t>
      </w:r>
    </w:p>
    <w:p>
      <w:pPr>
        <w:spacing w:after="300" w:before="100"/>
        <w:jc w:val="center"/>
      </w:pPr>
      <w:r>
        <w:rPr>
          <w:rFonts w:ascii="Times New Roman" w:cs="Times New Roman" w:eastAsia="Times New Roman" w:hAnsi="Times New Roman"/>
          <w:b/>
          <w:bCs/>
          <w:sz w:val="21"/>
          <w:szCs w:val="21"/>
        </w:rPr>
        <w:t xml:space="preserve">TABLE 1.2: SUMMARY OF PROJECT QUESTION</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800"/>
        <w:gridCol w:w="800"/>
        <w:gridCol w:w="6800"/>
      </w:tblGrid>
      <w:tr>
        <w:trPr>
          <w:tblHeader/>
        </w:trPr>
        <w:tc>
          <w:tcPr>
            <w:tcW w:type="dxa" w:w="8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PS</w:t>
            </w:r>
          </w:p>
        </w:tc>
        <w:tc>
          <w:tcPr>
            <w:tcW w:type="dxa" w:w="8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PQ</w:t>
            </w:r>
          </w:p>
        </w:tc>
        <w:tc>
          <w:tcPr>
            <w:tcW w:type="dxa" w:w="68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Project Question</w:t>
            </w:r>
          </w:p>
        </w:tc>
      </w:tr>
      <w:tr>
        <w:tc>
          <w:tcPr>
            <w:tcW w:type="dxa" w:w="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PS1</w:t>
            </w:r>
          </w:p>
        </w:tc>
        <w:tc>
          <w:tcPr>
            <w:tcW w:type="dxa" w:w="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PQ1</w:t>
            </w:r>
          </w:p>
        </w:tc>
        <w:tc>
          <w:tcPr>
            <w:tcW w:type="dxa" w:w="6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How can odour-associated gas concentrations be measured continuously and recorded such that each reading is attributable to specific hardware and cannot be forged or altered?</w:t>
            </w:r>
          </w:p>
        </w:tc>
      </w:tr>
      <w:tr>
        <w:tc>
          <w:tcPr>
            <w:tcW w:type="dxa" w:w="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PS2</w:t>
            </w:r>
          </w:p>
        </w:tc>
        <w:tc>
          <w:tcPr>
            <w:tcW w:type="dxa" w:w="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PQ2</w:t>
            </w:r>
          </w:p>
        </w:tc>
        <w:tc>
          <w:tcPr>
            <w:tcW w:type="dxa" w:w="6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How can threshold breaches be detected and communicated to responsible staff automatically, and how can ventilation be actuated without human intervention?</w:t>
            </w:r>
          </w:p>
        </w:tc>
      </w:tr>
      <w:tr>
        <w:tc>
          <w:tcPr>
            <w:tcW w:type="dxa" w:w="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PS3</w:t>
            </w:r>
          </w:p>
        </w:tc>
        <w:tc>
          <w:tcPr>
            <w:tcW w:type="dxa" w:w="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PQ3</w:t>
            </w:r>
          </w:p>
        </w:tc>
        <w:tc>
          <w:tcPr>
            <w:tcW w:type="dxa" w:w="6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How can the platform be architected so that no single component failure interrupts measurement or loses data, and how can that property be measured rather than asserted?</w:t>
            </w:r>
          </w:p>
        </w:tc>
      </w:tr>
    </w:tbl>
    <w:p>
      <w:pPr>
        <w:pStyle w:val="Heading2"/>
        <w:spacing w:after="180" w:before="320"/>
      </w:pPr>
      <w:r>
        <w:rPr>
          <w:rFonts w:ascii="Times New Roman" w:cs="Times New Roman" w:eastAsia="Times New Roman" w:hAnsi="Times New Roman"/>
          <w:b/>
          <w:bCs/>
          <w:sz w:val="26"/>
          <w:szCs w:val="26"/>
        </w:rPr>
        <w:t xml:space="preserve">1.4 Project Objective</w:t>
      </w:r>
    </w:p>
    <w:p>
      <w:pPr>
        <w:spacing w:after="300" w:before="100"/>
        <w:jc w:val="center"/>
      </w:pPr>
      <w:r>
        <w:rPr>
          <w:rFonts w:ascii="Times New Roman" w:cs="Times New Roman" w:eastAsia="Times New Roman" w:hAnsi="Times New Roman"/>
          <w:b/>
          <w:bCs/>
          <w:sz w:val="21"/>
          <w:szCs w:val="21"/>
        </w:rPr>
        <w:t xml:space="preserve">TABLE 1.3: SUMMARY OF PROJECT OBJECTIVE</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700"/>
        <w:gridCol w:w="700"/>
        <w:gridCol w:w="700"/>
        <w:gridCol w:w="6300"/>
      </w:tblGrid>
      <w:tr>
        <w:trPr>
          <w:tblHeader/>
        </w:trPr>
        <w:tc>
          <w:tcPr>
            <w:tcW w:type="dxa" w:w="7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PS</w:t>
            </w:r>
          </w:p>
        </w:tc>
        <w:tc>
          <w:tcPr>
            <w:tcW w:type="dxa" w:w="7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PQ</w:t>
            </w:r>
          </w:p>
        </w:tc>
        <w:tc>
          <w:tcPr>
            <w:tcW w:type="dxa" w:w="7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PO</w:t>
            </w:r>
          </w:p>
        </w:tc>
        <w:tc>
          <w:tcPr>
            <w:tcW w:type="dxa" w:w="63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Project Objective</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PS1</w:t>
            </w:r>
          </w:p>
        </w:tc>
        <w:tc>
          <w:tcPr>
            <w:tcW w:type="dxa" w:w="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PQ1</w:t>
            </w:r>
          </w:p>
        </w:tc>
        <w:tc>
          <w:tcPr>
            <w:tcW w:type="dxa" w:w="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PO1</w:t>
            </w:r>
          </w:p>
        </w:tc>
        <w:tc>
          <w:tcPr>
            <w:tcW w:type="dxa" w:w="63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To develop IoT sensor nodes that sample gas concentration, temperature and humidity at fixed intervals and transmit each reading with a cryptographic signature that proves its origin and integrity.</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PS2</w:t>
            </w:r>
          </w:p>
        </w:tc>
        <w:tc>
          <w:tcPr>
            <w:tcW w:type="dxa" w:w="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PQ2</w:t>
            </w:r>
          </w:p>
        </w:tc>
        <w:tc>
          <w:tcPr>
            <w:tcW w:type="dxa" w:w="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PO2</w:t>
            </w:r>
          </w:p>
        </w:tc>
        <w:tc>
          <w:tcPr>
            <w:tcW w:type="dxa" w:w="63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To develop an evaluation and notification subsystem that compares readings against administrator-configured thresholds, raises incidents, delivers alerts through multiple channels, and triggers exhaust ventilation autonomously.</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PS3</w:t>
            </w:r>
          </w:p>
        </w:tc>
        <w:tc>
          <w:tcPr>
            <w:tcW w:type="dxa" w:w="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PQ3</w:t>
            </w:r>
          </w:p>
        </w:tc>
        <w:tc>
          <w:tcPr>
            <w:tcW w:type="dxa" w:w="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PO3</w:t>
            </w:r>
          </w:p>
        </w:tc>
        <w:tc>
          <w:tcPr>
            <w:tcW w:type="dxa" w:w="63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To design a distributed architecture without a single point of failure, incorporating local buffering for network outages, and to instrument the platform so that availability and data completeness are measured from recorded observations.</w:t>
            </w:r>
          </w:p>
        </w:tc>
      </w:tr>
    </w:tbl>
    <w:p>
      <w:pPr>
        <w:pStyle w:val="Heading2"/>
        <w:spacing w:after="180" w:before="320"/>
      </w:pPr>
      <w:r>
        <w:rPr>
          <w:rFonts w:ascii="Times New Roman" w:cs="Times New Roman" w:eastAsia="Times New Roman" w:hAnsi="Times New Roman"/>
          <w:b/>
          <w:bCs/>
          <w:sz w:val="26"/>
          <w:szCs w:val="26"/>
        </w:rPr>
        <w:t xml:space="preserve">1.5 Project Scope</w:t>
      </w:r>
    </w:p>
    <w:p>
      <w:pPr>
        <w:spacing w:after="200" w:line="360"/>
        <w:jc w:val="both"/>
      </w:pPr>
      <w:r>
        <w:rPr>
          <w:rFonts w:ascii="Times New Roman" w:cs="Times New Roman" w:eastAsia="Times New Roman" w:hAnsi="Times New Roman"/>
          <w:color w:val="000000"/>
          <w:sz w:val="24"/>
          <w:szCs w:val="24"/>
        </w:rPr>
        <w:t xml:space="preserve">The scope of the project is bounded as follows.</w:t>
      </w:r>
    </w:p>
    <w:p>
      <w:pPr>
        <w:pStyle w:val="Heading3"/>
        <w:spacing w:after="140" w:before="260"/>
      </w:pPr>
      <w:r>
        <w:rPr>
          <w:rFonts w:ascii="Times New Roman" w:cs="Times New Roman" w:eastAsia="Times New Roman" w:hAnsi="Times New Roman"/>
          <w:b/>
          <w:bCs/>
          <w:sz w:val="24"/>
          <w:szCs w:val="24"/>
        </w:rPr>
        <w:t xml:space="preserve">1.5.1 Within scope</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Design and construction of an ESP32-based sensor node carrying MQ-5, MQ-6 and two MQ-7 gas sensors, a DHT11 climate sensor, a local display and a relay-driven exhaust output.</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Cryptographically signed transmission of readings and their storage in a cloud database.</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Threshold evaluation, incident management and multi-channel notification.</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Three web interfaces: a public view requiring no account, a portal for registered residents, and an administrative portal with role-separated privileges.</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Historical querying and export for compliance reporting.</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A predictive component forecasting short-term trends from recorded readings.</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Instrumentation for availability measurement.</w:t>
      </w:r>
    </w:p>
    <w:p>
      <w:pPr>
        <w:pStyle w:val="Heading3"/>
        <w:spacing w:after="140" w:before="260"/>
      </w:pPr>
      <w:r>
        <w:rPr>
          <w:rFonts w:ascii="Times New Roman" w:cs="Times New Roman" w:eastAsia="Times New Roman" w:hAnsi="Times New Roman"/>
          <w:b/>
          <w:bCs/>
          <w:sz w:val="24"/>
          <w:szCs w:val="24"/>
        </w:rPr>
        <w:t xml:space="preserve">1.5.2 Outside scope</w:t>
      </w:r>
    </w:p>
    <w:p>
      <w:pPr>
        <w:pStyle w:val="ListParagraph"/>
        <w:numPr>
          <w:ilvl w:val="0"/>
          <w:numId w:val="3"/>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Laboratory calibration of sensors against reference gases. The platform reports a relative severity index and does not claim absolute concentrations.</w:t>
      </w:r>
    </w:p>
    <w:p>
      <w:pPr>
        <w:pStyle w:val="ListParagraph"/>
        <w:numPr>
          <w:ilvl w:val="0"/>
          <w:numId w:val="3"/>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Identification of specific chemical species. The sensors respond to families of gases rather than to individual compounds.</w:t>
      </w:r>
    </w:p>
    <w:p>
      <w:pPr>
        <w:pStyle w:val="ListParagraph"/>
        <w:numPr>
          <w:ilvl w:val="0"/>
          <w:numId w:val="3"/>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Regulatory compliance certification. Output supports internal decision-making, not statutory reporting.</w:t>
      </w:r>
    </w:p>
    <w:p>
      <w:pPr>
        <w:pStyle w:val="ListParagraph"/>
        <w:numPr>
          <w:ilvl w:val="0"/>
          <w:numId w:val="3"/>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Control of the odour source itself. The system measures and mitigates locally; it does not intervene at origin.</w:t>
      </w:r>
    </w:p>
    <w:p>
      <w:pPr>
        <w:pStyle w:val="Heading2"/>
        <w:spacing w:after="180" w:before="320"/>
      </w:pPr>
      <w:r>
        <w:rPr>
          <w:rFonts w:ascii="Times New Roman" w:cs="Times New Roman" w:eastAsia="Times New Roman" w:hAnsi="Times New Roman"/>
          <w:b/>
          <w:bCs/>
          <w:sz w:val="26"/>
          <w:szCs w:val="26"/>
        </w:rPr>
        <w:t xml:space="preserve">1.6 Project Significance</w:t>
      </w:r>
    </w:p>
    <w:p>
      <w:pPr>
        <w:spacing w:after="200" w:line="360"/>
        <w:jc w:val="both"/>
      </w:pPr>
      <w:r>
        <w:rPr>
          <w:rFonts w:ascii="Times New Roman" w:cs="Times New Roman" w:eastAsia="Times New Roman" w:hAnsi="Times New Roman"/>
          <w:color w:val="000000"/>
          <w:sz w:val="24"/>
          <w:szCs w:val="24"/>
        </w:rPr>
        <w:t xml:space="preserve">The project produces a record where none exists. Once episodes are logged with timestamps and intensities, facility management can determine whether complaints correlate with measurable conditions, whether episodes follow a daily or seasonal pattern, and whether any intervention has an effect.</w:t>
      </w:r>
    </w:p>
    <w:p>
      <w:pPr>
        <w:spacing w:after="200" w:line="360"/>
        <w:jc w:val="both"/>
      </w:pPr>
      <w:r>
        <w:rPr>
          <w:rFonts w:ascii="Times New Roman" w:cs="Times New Roman" w:eastAsia="Times New Roman" w:hAnsi="Times New Roman"/>
          <w:color w:val="000000"/>
          <w:sz w:val="24"/>
          <w:szCs w:val="24"/>
        </w:rPr>
        <w:t xml:space="preserve">Two design decisions extend beyond this deployment. First, signing readings at the point of measurement means a stored value is attributable to specific hardware rather than to any party holding a shared credential, which matters whenever environmental data may be contested. Second, pairing local buffering with monotonic sequence numbers and a uniqueness constraint makes delivery idempotent by construction, so a node can lose connectivity without losing data and without double-counting on recovery.</w:t>
      </w:r>
    </w:p>
    <w:p>
      <w:pPr>
        <w:spacing w:after="200" w:line="360"/>
        <w:jc w:val="both"/>
      </w:pPr>
      <w:r>
        <w:rPr>
          <w:rFonts w:ascii="Times New Roman" w:cs="Times New Roman" w:eastAsia="Times New Roman" w:hAnsi="Times New Roman"/>
          <w:color w:val="000000"/>
          <w:sz w:val="24"/>
          <w:szCs w:val="24"/>
        </w:rPr>
        <w:t xml:space="preserve">The platform also operates entirely within free-tier infrastructure, demonstrating that continuous environmental monitoring at this scale need not carry recurring cost.</w:t>
      </w:r>
    </w:p>
    <w:p>
      <w:pPr>
        <w:pStyle w:val="Heading2"/>
        <w:spacing w:after="180" w:before="320"/>
      </w:pPr>
      <w:r>
        <w:rPr>
          <w:rFonts w:ascii="Times New Roman" w:cs="Times New Roman" w:eastAsia="Times New Roman" w:hAnsi="Times New Roman"/>
          <w:b/>
          <w:bCs/>
          <w:sz w:val="26"/>
          <w:szCs w:val="26"/>
        </w:rPr>
        <w:t xml:space="preserve">1.7 Foundations for the Literature Review</w:t>
      </w:r>
    </w:p>
    <w:p>
      <w:pPr>
        <w:spacing w:after="200" w:line="360"/>
        <w:jc w:val="both"/>
      </w:pPr>
      <w:r>
        <w:rPr>
          <w:rFonts w:ascii="Times New Roman" w:cs="Times New Roman" w:eastAsia="Times New Roman" w:hAnsi="Times New Roman"/>
          <w:color w:val="000000"/>
          <w:sz w:val="24"/>
          <w:szCs w:val="24"/>
        </w:rPr>
        <w:t xml:space="preserve">This section records the areas the literature review in Chapter 2 should address. It is not itself a review.</w:t>
      </w:r>
    </w:p>
    <w:p>
      <w:pPr>
        <w:pStyle w:val="ListParagraph"/>
        <w:numPr>
          <w:ilvl w:val="0"/>
          <w:numId w:val="4"/>
        </w:numPr>
        <w:spacing w:after="140" w:line="340"/>
        <w:jc w:val="both"/>
      </w:pPr>
      <w:r>
        <w:rPr>
          <w:rFonts w:ascii="Times New Roman" w:cs="Times New Roman" w:eastAsia="Times New Roman" w:hAnsi="Times New Roman"/>
          <w:b/>
          <w:bCs/>
          <w:sz w:val="24"/>
          <w:szCs w:val="24"/>
        </w:rPr>
        <w:t xml:space="preserve">Gas sensing: </w:t>
      </w:r>
      <w:r>
        <w:rPr>
          <w:rFonts w:ascii="Times New Roman" w:cs="Times New Roman" w:eastAsia="Times New Roman" w:hAnsi="Times New Roman"/>
          <w:sz w:val="24"/>
          <w:szCs w:val="24"/>
        </w:rPr>
        <w:t xml:space="preserve">the response characteristics of MQ-series metal-oxide sensors, their cross-sensitivity between gas families, the influence of temperature and humidity on output, drift over sensor lifetime, and the calibration procedures required to convert resistance to concentration.</w:t>
      </w:r>
    </w:p>
    <w:p>
      <w:pPr>
        <w:pStyle w:val="ListParagraph"/>
        <w:numPr>
          <w:ilvl w:val="0"/>
          <w:numId w:val="4"/>
        </w:numPr>
        <w:spacing w:after="140" w:line="340"/>
        <w:jc w:val="both"/>
      </w:pPr>
      <w:r>
        <w:rPr>
          <w:rFonts w:ascii="Times New Roman" w:cs="Times New Roman" w:eastAsia="Times New Roman" w:hAnsi="Times New Roman"/>
          <w:b/>
          <w:bCs/>
          <w:sz w:val="24"/>
          <w:szCs w:val="24"/>
        </w:rPr>
        <w:t xml:space="preserve">Agricultural environmental monitoring: </w:t>
      </w:r>
      <w:r>
        <w:rPr>
          <w:rFonts w:ascii="Times New Roman" w:cs="Times New Roman" w:eastAsia="Times New Roman" w:hAnsi="Times New Roman"/>
          <w:sz w:val="24"/>
          <w:szCs w:val="24"/>
        </w:rPr>
        <w:t xml:space="preserve">existing deployments monitoring ammonia, carbon dioxide and related gases in poultry and composting environments, including reported thresholds, sampling intervals and observed diurnal patterns.</w:t>
      </w:r>
    </w:p>
    <w:p>
      <w:pPr>
        <w:pStyle w:val="ListParagraph"/>
        <w:numPr>
          <w:ilvl w:val="0"/>
          <w:numId w:val="4"/>
        </w:numPr>
        <w:spacing w:after="140" w:line="340"/>
        <w:jc w:val="both"/>
      </w:pPr>
      <w:r>
        <w:rPr>
          <w:rFonts w:ascii="Times New Roman" w:cs="Times New Roman" w:eastAsia="Times New Roman" w:hAnsi="Times New Roman"/>
          <w:b/>
          <w:bCs/>
          <w:sz w:val="24"/>
          <w:szCs w:val="24"/>
        </w:rPr>
        <w:t xml:space="preserve">IoT system architecture: </w:t>
      </w:r>
      <w:r>
        <w:rPr>
          <w:rFonts w:ascii="Times New Roman" w:cs="Times New Roman" w:eastAsia="Times New Roman" w:hAnsi="Times New Roman"/>
          <w:sz w:val="24"/>
          <w:szCs w:val="24"/>
        </w:rPr>
        <w:t xml:space="preserve">architectural patterns for sensor networks, comparing gateway-centric designs against direct-to-cloud transmission, and the reliability implications of each.</w:t>
      </w:r>
    </w:p>
    <w:p>
      <w:pPr>
        <w:pStyle w:val="ListParagraph"/>
        <w:numPr>
          <w:ilvl w:val="0"/>
          <w:numId w:val="4"/>
        </w:numPr>
        <w:spacing w:after="140" w:line="340"/>
        <w:jc w:val="both"/>
      </w:pPr>
      <w:r>
        <w:rPr>
          <w:rFonts w:ascii="Times New Roman" w:cs="Times New Roman" w:eastAsia="Times New Roman" w:hAnsi="Times New Roman"/>
          <w:b/>
          <w:bCs/>
          <w:sz w:val="24"/>
          <w:szCs w:val="24"/>
        </w:rPr>
        <w:t xml:space="preserve">Edge computing: </w:t>
      </w:r>
      <w:r>
        <w:rPr>
          <w:rFonts w:ascii="Times New Roman" w:cs="Times New Roman" w:eastAsia="Times New Roman" w:hAnsi="Times New Roman"/>
          <w:sz w:val="24"/>
          <w:szCs w:val="24"/>
        </w:rPr>
        <w:t xml:space="preserve">the migration of processing from centralised cloud to distributed edge, and the availability characteristics that motivate it.</w:t>
      </w:r>
    </w:p>
    <w:p>
      <w:pPr>
        <w:pStyle w:val="ListParagraph"/>
        <w:numPr>
          <w:ilvl w:val="0"/>
          <w:numId w:val="4"/>
        </w:numPr>
        <w:spacing w:after="140" w:line="340"/>
        <w:jc w:val="both"/>
      </w:pPr>
      <w:r>
        <w:rPr>
          <w:rFonts w:ascii="Times New Roman" w:cs="Times New Roman" w:eastAsia="Times New Roman" w:hAnsi="Times New Roman"/>
          <w:b/>
          <w:bCs/>
          <w:sz w:val="24"/>
          <w:szCs w:val="24"/>
        </w:rPr>
        <w:t xml:space="preserve">IoT security: </w:t>
      </w:r>
      <w:r>
        <w:rPr>
          <w:rFonts w:ascii="Times New Roman" w:cs="Times New Roman" w:eastAsia="Times New Roman" w:hAnsi="Times New Roman"/>
          <w:sz w:val="24"/>
          <w:szCs w:val="24"/>
        </w:rPr>
        <w:t xml:space="preserve">device authentication in constrained environments, comparing bearer credentials, certificate-based mutual authentication and message-level signing.</w:t>
      </w:r>
    </w:p>
    <w:p>
      <w:pPr>
        <w:pStyle w:val="ListParagraph"/>
        <w:numPr>
          <w:ilvl w:val="0"/>
          <w:numId w:val="4"/>
        </w:numPr>
        <w:spacing w:after="140" w:line="340"/>
        <w:jc w:val="both"/>
      </w:pPr>
      <w:r>
        <w:rPr>
          <w:rFonts w:ascii="Times New Roman" w:cs="Times New Roman" w:eastAsia="Times New Roman" w:hAnsi="Times New Roman"/>
          <w:b/>
          <w:bCs/>
          <w:sz w:val="24"/>
          <w:szCs w:val="24"/>
        </w:rPr>
        <w:t xml:space="preserve">Predictive modelling: </w:t>
      </w:r>
      <w:r>
        <w:rPr>
          <w:rFonts w:ascii="Times New Roman" w:cs="Times New Roman" w:eastAsia="Times New Roman" w:hAnsi="Times New Roman"/>
          <w:sz w:val="24"/>
          <w:szCs w:val="24"/>
        </w:rPr>
        <w:t xml:space="preserve">short-horizon forecasting from environmental sensor data, including model selection under limited sample counts and the treatment of temporal dependence in validation.</w:t>
      </w:r>
    </w:p>
    <w:p>
      <w:pPr>
        <w:spacing w:after="200" w:line="360"/>
        <w:jc w:val="both"/>
      </w:pPr>
      <w:r>
        <w:rPr>
          <w:rFonts w:ascii="Times New Roman" w:cs="Times New Roman" w:eastAsia="Times New Roman" w:hAnsi="Times New Roman"/>
          <w:i/>
          <w:iCs/>
          <w:color w:val="000000"/>
          <w:sz w:val="24"/>
          <w:szCs w:val="24"/>
        </w:rPr>
        <w:t xml:space="preserve">The review should conclude by identifying the gap this project addresses. On the evidence of the system as built, that gap concerns verifiable data provenance and measured availability: many deployments report readings, fewer establish that a reading originated from the claimed device, and fewer still measure their own uptime rather than assuming it.</w:t>
      </w:r>
    </w:p>
    <w:p>
      <w:r>
        <w:br w:type="page"/>
      </w:r>
    </w:p>
    <w:p>
      <w:pPr>
        <w:pStyle w:val="Heading1"/>
        <w:spacing w:after="260" w:before="400"/>
      </w:pPr>
      <w:r>
        <w:rPr>
          <w:rFonts w:ascii="Times New Roman" w:cs="Times New Roman" w:eastAsia="Times New Roman" w:hAnsi="Times New Roman"/>
          <w:b/>
          <w:bCs/>
          <w:sz w:val="32"/>
          <w:szCs w:val="32"/>
        </w:rPr>
        <w:t xml:space="preserve">CHAPTER 2: LITERATURE REVIEW</w:t>
      </w:r>
    </w:p>
    <w:p>
      <w:pPr>
        <w:pStyle w:val="Heading2"/>
        <w:spacing w:after="180" w:before="320"/>
      </w:pPr>
      <w:r>
        <w:rPr>
          <w:rFonts w:ascii="Times New Roman" w:cs="Times New Roman" w:eastAsia="Times New Roman" w:hAnsi="Times New Roman"/>
          <w:b/>
          <w:bCs/>
          <w:sz w:val="26"/>
          <w:szCs w:val="26"/>
        </w:rPr>
        <w:t xml:space="preserve">2.1 Introduction</w:t>
      </w:r>
    </w:p>
    <w:p>
      <w:pPr>
        <w:spacing w:after="200" w:line="360"/>
        <w:jc w:val="both"/>
      </w:pPr>
      <w:r>
        <w:rPr>
          <w:rFonts w:ascii="Times New Roman" w:cs="Times New Roman" w:eastAsia="Times New Roman" w:hAnsi="Times New Roman"/>
          <w:color w:val="000000"/>
          <w:sz w:val="24"/>
          <w:szCs w:val="24"/>
        </w:rPr>
        <w:t xml:space="preserve">This chapter reviews existing work relevant to the design of a continuous odour monitoring platform. The review covers six areas: the effect of gas concentration on the environments being monitored, sensing hardware and its limitations, system architectures for agricultural and environmental monitoring, the migration of processing from cloud to edge, security and data integrity in sensor networks, and predictive modelling from sensor data.</w:t>
      </w:r>
    </w:p>
    <w:p>
      <w:pPr>
        <w:spacing w:after="200" w:line="360"/>
        <w:jc w:val="both"/>
      </w:pPr>
      <w:r>
        <w:rPr>
          <w:rFonts w:ascii="Times New Roman" w:cs="Times New Roman" w:eastAsia="Times New Roman" w:hAnsi="Times New Roman"/>
          <w:color w:val="000000"/>
          <w:sz w:val="24"/>
          <w:szCs w:val="24"/>
        </w:rPr>
        <w:t xml:space="preserve">Seventy-one sources were examined, comprising journal articles, conference proceedings and two IEEE standards, published between 2020 and 2026. The distribution across the six themes is given in Table 2.1. The chapter concludes by identifying what the reviewed work does not address, and how the present project responds to that gap.</w:t>
      </w:r>
    </w:p>
    <w:p>
      <w:pPr>
        <w:spacing w:after="300" w:before="100"/>
        <w:jc w:val="center"/>
      </w:pPr>
      <w:r>
        <w:rPr>
          <w:rFonts w:ascii="Times New Roman" w:cs="Times New Roman" w:eastAsia="Times New Roman" w:hAnsi="Times New Roman"/>
          <w:b/>
          <w:bCs/>
          <w:sz w:val="21"/>
          <w:szCs w:val="21"/>
        </w:rPr>
        <w:t xml:space="preserve">TABLE 2.1: DISTRIBUTION OF REVIEWED SOURCES BY THEME</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4600"/>
        <w:gridCol w:w="1600"/>
        <w:gridCol w:w="2200"/>
      </w:tblGrid>
      <w:tr>
        <w:trPr>
          <w:tblHeader/>
        </w:trPr>
        <w:tc>
          <w:tcPr>
            <w:tcW w:type="dxa" w:w="46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Theme</w:t>
            </w:r>
          </w:p>
        </w:tc>
        <w:tc>
          <w:tcPr>
            <w:tcW w:type="dxa" w:w="16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Sources</w:t>
            </w:r>
          </w:p>
        </w:tc>
        <w:tc>
          <w:tcPr>
            <w:tcW w:type="dxa" w:w="22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Period</w:t>
            </w:r>
          </w:p>
        </w:tc>
      </w:tr>
      <w:tr>
        <w:tc>
          <w:tcPr>
            <w:tcW w:type="dxa" w:w="4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Poultry and agricultural environmental monitoring</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47</w:t>
            </w:r>
          </w:p>
        </w:tc>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2021–2026</w:t>
            </w:r>
          </w:p>
        </w:tc>
      </w:tr>
      <w:tr>
        <w:tc>
          <w:tcPr>
            <w:tcW w:type="dxa" w:w="4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Gas sensing and air quality measurement</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23</w:t>
            </w:r>
          </w:p>
        </w:tc>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2021–2026</w:t>
            </w:r>
          </w:p>
        </w:tc>
      </w:tr>
      <w:tr>
        <w:tc>
          <w:tcPr>
            <w:tcW w:type="dxa" w:w="4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Edge, fog and serverless computing</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22</w:t>
            </w:r>
          </w:p>
        </w:tc>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2020–2026</w:t>
            </w:r>
          </w:p>
        </w:tc>
      </w:tr>
      <w:tr>
        <w:tc>
          <w:tcPr>
            <w:tcW w:type="dxa" w:w="4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IoT architecture and platforms</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49</w:t>
            </w:r>
          </w:p>
        </w:tc>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2020–2026</w:t>
            </w:r>
          </w:p>
        </w:tc>
      </w:tr>
      <w:tr>
        <w:tc>
          <w:tcPr>
            <w:tcW w:type="dxa" w:w="4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Security, privacy and data integrity</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13</w:t>
            </w:r>
          </w:p>
        </w:tc>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2020–2026</w:t>
            </w:r>
          </w:p>
        </w:tc>
      </w:tr>
      <w:tr>
        <w:tc>
          <w:tcPr>
            <w:tcW w:type="dxa" w:w="4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Machine learning and forecasting</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15</w:t>
            </w:r>
          </w:p>
        </w:tc>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2023–2026</w:t>
            </w:r>
          </w:p>
        </w:tc>
      </w:tr>
    </w:tbl>
    <w:p>
      <w:pPr>
        <w:spacing w:after="200" w:line="360"/>
        <w:jc w:val="both"/>
      </w:pPr>
      <w:r>
        <w:rPr>
          <w:rFonts w:ascii="Times New Roman" w:cs="Times New Roman" w:eastAsia="Times New Roman" w:hAnsi="Times New Roman"/>
          <w:color w:val="5A5A5A"/>
          <w:sz w:val="20"/>
          <w:szCs w:val="20"/>
        </w:rPr>
        <w:t xml:space="preserve">Totals exceed 71 because most sources address more than one theme.</w:t>
      </w:r>
    </w:p>
    <w:p>
      <w:pPr>
        <w:pStyle w:val="Heading2"/>
        <w:spacing w:after="180" w:before="320"/>
      </w:pPr>
      <w:r>
        <w:rPr>
          <w:rFonts w:ascii="Times New Roman" w:cs="Times New Roman" w:eastAsia="Times New Roman" w:hAnsi="Times New Roman"/>
          <w:b/>
          <w:bCs/>
          <w:sz w:val="26"/>
          <w:szCs w:val="26"/>
        </w:rPr>
        <w:t xml:space="preserve">2.2 Gas Emissions in Agricultural and Waste Environments</w:t>
      </w:r>
    </w:p>
    <w:p>
      <w:pPr>
        <w:spacing w:after="200" w:line="360"/>
        <w:jc w:val="both"/>
      </w:pPr>
      <w:r>
        <w:rPr>
          <w:rFonts w:ascii="Times New Roman" w:cs="Times New Roman" w:eastAsia="Times New Roman" w:hAnsi="Times New Roman"/>
          <w:color w:val="000000"/>
          <w:sz w:val="24"/>
          <w:szCs w:val="24"/>
        </w:rPr>
        <w:t xml:space="preserve">The reviewed literature establishes a consistent account of why gas concentration in these environments requires monitoring. Poultry operations and composting facilities generate ammonia, carbon dioxide, carbon monoxide, methane and hydrogen sulphide through the decomposition of organic matter. One study of monitoring in poultry housing notes that elevated temperature and humidity favour bacterial growth and therefore accelerate ammonia production from decomposing organic material, identifying ammonia, carbon monoxide, carbon dioxide, methane and hydrogen sulphide as gases harmful to poultry health (iJIM, 2023).</w:t>
      </w:r>
    </w:p>
    <w:p>
      <w:pPr>
        <w:spacing w:after="200" w:line="360"/>
        <w:jc w:val="both"/>
      </w:pPr>
      <w:r>
        <w:rPr>
          <w:rFonts w:ascii="Times New Roman" w:cs="Times New Roman" w:eastAsia="Times New Roman" w:hAnsi="Times New Roman"/>
          <w:color w:val="000000"/>
          <w:sz w:val="24"/>
          <w:szCs w:val="24"/>
        </w:rPr>
        <w:t xml:space="preserve">The consequences are documented in operational terms. Work predicting air quality parameters in laying-hen housing reports that exceeding permissible gas concentrations induces stress in birds, impairs respiration, reduces egg production and raises disease risk, and argues that monitoring is therefore critical to both welfare and productivity (Journal of Biosystems Engineering, 2026). A study of precision livestock farming makes the same connection, associating suboptimal temperature and humidity with toxic gas production and consequently with increased disease and mortality (ROBOTHIA, 2025).</w:t>
      </w:r>
    </w:p>
    <w:p>
      <w:pPr>
        <w:spacing w:after="200" w:line="360"/>
        <w:jc w:val="both"/>
      </w:pPr>
      <w:r>
        <w:rPr>
          <w:rFonts w:ascii="Times New Roman" w:cs="Times New Roman" w:eastAsia="Times New Roman" w:hAnsi="Times New Roman"/>
          <w:color w:val="000000"/>
          <w:sz w:val="24"/>
          <w:szCs w:val="24"/>
        </w:rPr>
        <w:t xml:space="preserve">Beyond the enclosure, emissions affect the surrounding area. Work on ammonia and carbon dioxide detection at poultry farms and compost plants observes that intensive production has been linked to atmospheric pollutant emission with detrimental effects on air quality and public health, and contributes to greenhouse gas concentrations (ICSPIS, 2023). This external dimension is directly relevant to the present project, whose monitoring points are situated in a community adjacent to agricultural land rather than inside a production facility.</w:t>
      </w:r>
    </w:p>
    <w:p>
      <w:pPr>
        <w:spacing w:after="200" w:line="360"/>
        <w:jc w:val="both"/>
      </w:pPr>
      <w:r>
        <w:rPr>
          <w:rFonts w:ascii="Times New Roman" w:cs="Times New Roman" w:eastAsia="Times New Roman" w:hAnsi="Times New Roman"/>
          <w:color w:val="000000"/>
          <w:sz w:val="24"/>
          <w:szCs w:val="24"/>
        </w:rPr>
        <w:t xml:space="preserve">The literature is largely concerned with conditions inside enclosures, where the objective is to protect livestock. The reviewed corpus contains comparatively little work on monitoring the effect of such emissions on neighbouring populations, which is the situation this project addresses.</w:t>
      </w:r>
    </w:p>
    <w:p>
      <w:pPr>
        <w:pStyle w:val="Heading2"/>
        <w:spacing w:after="180" w:before="320"/>
      </w:pPr>
      <w:r>
        <w:rPr>
          <w:rFonts w:ascii="Times New Roman" w:cs="Times New Roman" w:eastAsia="Times New Roman" w:hAnsi="Times New Roman"/>
          <w:b/>
          <w:bCs/>
          <w:sz w:val="26"/>
          <w:szCs w:val="26"/>
        </w:rPr>
        <w:t xml:space="preserve">2.3 Sensing Hardware and Its Limitations</w:t>
      </w:r>
    </w:p>
    <w:p>
      <w:pPr>
        <w:spacing w:after="200" w:line="360"/>
        <w:jc w:val="both"/>
      </w:pPr>
      <w:r>
        <w:rPr>
          <w:rFonts w:ascii="Times New Roman" w:cs="Times New Roman" w:eastAsia="Times New Roman" w:hAnsi="Times New Roman"/>
          <w:color w:val="000000"/>
          <w:sz w:val="24"/>
          <w:szCs w:val="24"/>
        </w:rPr>
        <w:t xml:space="preserve">Low-cost sensing is the dominant approach in the reviewed deployments. Work on ammonia and carbon dioxide detection describes a low-cost smart sensing system applied to both poultry farms and compost plants (ICSPIS, 2023), and a study forecasting air quality in poultry housing likewise presents a low-cost system combining IoT sensing with machine learning (Journal of Biosystems Engineering, 2026).</w:t>
      </w:r>
    </w:p>
    <w:p>
      <w:pPr>
        <w:spacing w:after="200" w:line="360"/>
        <w:jc w:val="both"/>
      </w:pPr>
      <w:r>
        <w:rPr>
          <w:rFonts w:ascii="Times New Roman" w:cs="Times New Roman" w:eastAsia="Times New Roman" w:hAnsi="Times New Roman"/>
          <w:color w:val="000000"/>
          <w:sz w:val="24"/>
          <w:szCs w:val="24"/>
        </w:rPr>
        <w:t xml:space="preserve">The ESP32 microcontroller recurs throughout. A prototype for multi-gas air quality monitoring in poultry environments employs dual ESP32 microcontrollers with nRF24L01 wireless modules, integrating temperature, humidity and gas sensors for ammonia, methane and hydrogen sulphide (AIDE, 2026). Notably, that system samples every 20 seconds and averages over 10 minutes before transmission, a deliberate trade of temporal resolution for reduced transmission load. The present project samples every eight seconds and transmits each reading individually, accepting higher volume in exchange for the ability to detect short-duration episodes, which are characteristic of odour complaints.</w:t>
      </w:r>
    </w:p>
    <w:p>
      <w:pPr>
        <w:spacing w:after="200" w:line="360"/>
        <w:jc w:val="both"/>
      </w:pPr>
      <w:r>
        <w:rPr>
          <w:rFonts w:ascii="Times New Roman" w:cs="Times New Roman" w:eastAsia="Times New Roman" w:hAnsi="Times New Roman"/>
          <w:color w:val="000000"/>
          <w:sz w:val="24"/>
          <w:szCs w:val="24"/>
        </w:rPr>
        <w:t xml:space="preserve">Sensor selection varies with target gas. Deployments commonly pair a DHT-series climate sensor with one or more MQ-series metal-oxide gas sensors, an arrangement adopted by work on temperature and humidity monitoring frameworks for poultry housing (ICSET, 2021) and by several automation systems reviewed below.</w:t>
      </w:r>
    </w:p>
    <w:p>
      <w:pPr>
        <w:spacing w:after="200" w:line="360"/>
        <w:jc w:val="both"/>
      </w:pPr>
      <w:r>
        <w:rPr>
          <w:rFonts w:ascii="Times New Roman" w:cs="Times New Roman" w:eastAsia="Times New Roman" w:hAnsi="Times New Roman"/>
          <w:color w:val="000000"/>
          <w:sz w:val="24"/>
          <w:szCs w:val="24"/>
        </w:rPr>
        <w:t xml:space="preserve">A limitation is apparent across the corpus rather than stated within it. The reviewed deployments report concentrations in parts per million, yet few describe a calibration procedure against reference gases. Metal-oxide sensors produce a resistance change that varies with the target gas, with ambient temperature and humidity, and with sensor age. Converting that response to an absolute concentration requires per-sensor calibration. Where this step is not documented, reported concentrations should be treated as relative indications. The present project responds to this by reporting a bounded severity index rather than a concentration, a decision discussed in section 2.8.</w:t>
      </w:r>
    </w:p>
    <w:p>
      <w:pPr>
        <w:pStyle w:val="Heading2"/>
        <w:spacing w:after="180" w:before="320"/>
      </w:pPr>
      <w:r>
        <w:rPr>
          <w:rFonts w:ascii="Times New Roman" w:cs="Times New Roman" w:eastAsia="Times New Roman" w:hAnsi="Times New Roman"/>
          <w:b/>
          <w:bCs/>
          <w:sz w:val="26"/>
          <w:szCs w:val="26"/>
        </w:rPr>
        <w:t xml:space="preserve">2.4 System Architectures for Environmental Monitoring</w:t>
      </w:r>
    </w:p>
    <w:p>
      <w:pPr>
        <w:spacing w:after="200" w:line="360"/>
        <w:jc w:val="both"/>
      </w:pPr>
      <w:r>
        <w:rPr>
          <w:rFonts w:ascii="Times New Roman" w:cs="Times New Roman" w:eastAsia="Times New Roman" w:hAnsi="Times New Roman"/>
          <w:color w:val="000000"/>
          <w:sz w:val="24"/>
          <w:szCs w:val="24"/>
        </w:rPr>
        <w:t xml:space="preserve">Three architectural patterns appear in the reviewed work.</w:t>
      </w:r>
    </w:p>
    <w:p>
      <w:pPr>
        <w:pStyle w:val="Heading3"/>
        <w:spacing w:after="140" w:before="260"/>
      </w:pPr>
      <w:r>
        <w:rPr>
          <w:rFonts w:ascii="Times New Roman" w:cs="Times New Roman" w:eastAsia="Times New Roman" w:hAnsi="Times New Roman"/>
          <w:b/>
          <w:bCs/>
          <w:sz w:val="24"/>
          <w:szCs w:val="24"/>
        </w:rPr>
        <w:t xml:space="preserve">2.4.1 Cloud-centric architectures</w:t>
      </w:r>
    </w:p>
    <w:p>
      <w:pPr>
        <w:spacing w:after="200" w:line="360"/>
        <w:jc w:val="both"/>
      </w:pPr>
      <w:r>
        <w:rPr>
          <w:rFonts w:ascii="Times New Roman" w:cs="Times New Roman" w:eastAsia="Times New Roman" w:hAnsi="Times New Roman"/>
          <w:color w:val="000000"/>
          <w:sz w:val="24"/>
          <w:szCs w:val="24"/>
        </w:rPr>
        <w:t xml:space="preserve">The most common pattern transmits sensor data to a cloud service for storage and presentation. A cloud-based solution for poultry farm management collects temperature, humidity and ammonia and uses a cloud platform for storage, real-time monitoring and remote access (ICIPTM, 2024). Another system regulates temperature, humidity, wetness and light intensity with minimal human contact, accessible remotely from mobile devices (ICCRAIDS, 2026).</w:t>
      </w:r>
    </w:p>
    <w:p>
      <w:pPr>
        <w:spacing w:after="200" w:line="360"/>
        <w:jc w:val="both"/>
      </w:pPr>
      <w:r>
        <w:rPr>
          <w:rFonts w:ascii="Times New Roman" w:cs="Times New Roman" w:eastAsia="Times New Roman" w:hAnsi="Times New Roman"/>
          <w:color w:val="000000"/>
          <w:sz w:val="24"/>
          <w:szCs w:val="24"/>
        </w:rPr>
        <w:t xml:space="preserve">This pattern is straightforward to implement and is adequate where connectivity is reliable. Its weakness is that measurement continuity depends on a link the deployment does not control, and the reviewed sources rarely address what happens to readings taken while that link is unavailable.</w:t>
      </w:r>
    </w:p>
    <w:p>
      <w:pPr>
        <w:pStyle w:val="Heading3"/>
        <w:spacing w:after="140" w:before="260"/>
      </w:pPr>
      <w:r>
        <w:rPr>
          <w:rFonts w:ascii="Times New Roman" w:cs="Times New Roman" w:eastAsia="Times New Roman" w:hAnsi="Times New Roman"/>
          <w:b/>
          <w:bCs/>
          <w:sz w:val="24"/>
          <w:szCs w:val="24"/>
        </w:rPr>
        <w:t xml:space="preserve">2.4.2 Gateway and wireless sensor network architectures</w:t>
      </w:r>
    </w:p>
    <w:p>
      <w:pPr>
        <w:spacing w:after="200" w:line="360"/>
        <w:jc w:val="both"/>
      </w:pPr>
      <w:r>
        <w:rPr>
          <w:rFonts w:ascii="Times New Roman" w:cs="Times New Roman" w:eastAsia="Times New Roman" w:hAnsi="Times New Roman"/>
          <w:color w:val="000000"/>
          <w:sz w:val="24"/>
          <w:szCs w:val="24"/>
        </w:rPr>
        <w:t xml:space="preserve">A second pattern places multiple sensor nodes behind a local gateway. Work integrating wireless sensor networks with IoT for broiler closed-house monitoring follows this approach (ICSGRC, 2024), as does a consolidated farming system combining IoT and wireless sensor networks with cloud processing (ESCI, 2026).</w:t>
      </w:r>
    </w:p>
    <w:p>
      <w:pPr>
        <w:spacing w:after="200" w:line="360"/>
        <w:jc w:val="both"/>
      </w:pPr>
      <w:r>
        <w:rPr>
          <w:rFonts w:ascii="Times New Roman" w:cs="Times New Roman" w:eastAsia="Times New Roman" w:hAnsi="Times New Roman"/>
          <w:color w:val="000000"/>
          <w:sz w:val="24"/>
          <w:szCs w:val="24"/>
        </w:rPr>
        <w:t xml:space="preserve">The gateway reduces per-node cost and power consumption. It also introduces a single component whose failure silences every node behind it, which is material for a system whose purpose is continuous observation.</w:t>
      </w:r>
    </w:p>
    <w:p>
      <w:pPr>
        <w:pStyle w:val="Heading3"/>
        <w:spacing w:after="140" w:before="260"/>
      </w:pPr>
      <w:r>
        <w:rPr>
          <w:rFonts w:ascii="Times New Roman" w:cs="Times New Roman" w:eastAsia="Times New Roman" w:hAnsi="Times New Roman"/>
          <w:b/>
          <w:bCs/>
          <w:sz w:val="24"/>
          <w:szCs w:val="24"/>
        </w:rPr>
        <w:t xml:space="preserve">2.4.3 Edge-processing architectures</w:t>
      </w:r>
    </w:p>
    <w:p>
      <w:pPr>
        <w:spacing w:after="200" w:line="360"/>
        <w:jc w:val="both"/>
      </w:pPr>
      <w:r>
        <w:rPr>
          <w:rFonts w:ascii="Times New Roman" w:cs="Times New Roman" w:eastAsia="Times New Roman" w:hAnsi="Times New Roman"/>
          <w:color w:val="000000"/>
          <w:sz w:val="24"/>
          <w:szCs w:val="24"/>
        </w:rPr>
        <w:t xml:space="preserve">A third pattern processes data near the point of collection. Work on IoT in poultry farming describes incorporating an edge server for local sensor data processing to enable task automation and inform decisions (JBCS, 2024). A study of precision livestock farming integrates hybrid artificial intelligence with IoT, cloud and edge computing for welfare monitoring (ROBOTHIA, 2025), and an AIoT anomaly detection system for poultry farms combines IoT sensing with artificial intelligence for real-time monitoring and automated control (IIPEM, 2026).</w:t>
      </w:r>
    </w:p>
    <w:p>
      <w:pPr>
        <w:spacing w:after="200" w:line="360"/>
        <w:jc w:val="both"/>
      </w:pPr>
      <w:r>
        <w:rPr>
          <w:rFonts w:ascii="Times New Roman" w:cs="Times New Roman" w:eastAsia="Times New Roman" w:hAnsi="Times New Roman"/>
          <w:color w:val="000000"/>
          <w:sz w:val="24"/>
          <w:szCs w:val="24"/>
        </w:rPr>
        <w:t xml:space="preserve">The motivation is latency and autonomy: a control decision computed locally does not wait for a network round trip. The present project extends this reasoning to safety, placing the ventilation decision on the node so that actuation continues during a network outage.</w:t>
      </w:r>
    </w:p>
    <w:p>
      <w:pPr>
        <w:pStyle w:val="Heading2"/>
        <w:spacing w:after="180" w:before="320"/>
      </w:pPr>
      <w:r>
        <w:rPr>
          <w:rFonts w:ascii="Times New Roman" w:cs="Times New Roman" w:eastAsia="Times New Roman" w:hAnsi="Times New Roman"/>
          <w:b/>
          <w:bCs/>
          <w:sz w:val="26"/>
          <w:szCs w:val="26"/>
        </w:rPr>
        <w:t xml:space="preserve">2.5 Edge, Fog and Serverless Computing</w:t>
      </w:r>
    </w:p>
    <w:p>
      <w:pPr>
        <w:spacing w:after="200" w:line="360"/>
        <w:jc w:val="both"/>
      </w:pPr>
      <w:r>
        <w:rPr>
          <w:rFonts w:ascii="Times New Roman" w:cs="Times New Roman" w:eastAsia="Times New Roman" w:hAnsi="Times New Roman"/>
          <w:color w:val="000000"/>
          <w:sz w:val="24"/>
          <w:szCs w:val="24"/>
        </w:rPr>
        <w:t xml:space="preserve">The broader computing literature in the corpus documents a sustained migration of processing away from centralised infrastructure. A survey of the computing continuum observes that integrating the evolving Internet of Things with established cloud infrastructure typically requires intermediate layers to address cloud limitations such as latency (Computer Science Review, 2025). A survey of multi-access edge computing similarly reports that obtaining computational services at the network edge substantially reduces transmission latency for low-latency applications (JNCA, 2026).</w:t>
      </w:r>
    </w:p>
    <w:p>
      <w:pPr>
        <w:spacing w:after="200" w:line="360"/>
        <w:jc w:val="both"/>
      </w:pPr>
      <w:r>
        <w:rPr>
          <w:rFonts w:ascii="Times New Roman" w:cs="Times New Roman" w:eastAsia="Times New Roman" w:hAnsi="Times New Roman"/>
          <w:color w:val="000000"/>
          <w:sz w:val="24"/>
          <w:szCs w:val="24"/>
        </w:rPr>
        <w:t xml:space="preserve">Serverless execution appears as a further step. Work on serverless functions at the edge examines their lifecycle, performance and resource utilisation (FGCS, 2024), and a study of the cloud-to-edge continuum argues that serverless computing enables greater flexibility and efficiency across it (FGCS, 2024). A serverless blockchain-enabled architecture for societal applications explicitly includes air quality analysis among its target domains (IEEE, 2020).</w:t>
      </w:r>
    </w:p>
    <w:p>
      <w:pPr>
        <w:spacing w:after="200" w:line="360"/>
        <w:jc w:val="both"/>
      </w:pPr>
      <w:r>
        <w:rPr>
          <w:rFonts w:ascii="Times New Roman" w:cs="Times New Roman" w:eastAsia="Times New Roman" w:hAnsi="Times New Roman"/>
          <w:color w:val="000000"/>
          <w:sz w:val="24"/>
          <w:szCs w:val="24"/>
        </w:rPr>
        <w:t xml:space="preserve">This body of work supports the architectural decision taken in the present project. Executing application logic on a distributed serverless platform removes the origin server as a failure point rather than mitigating it through redundancy, which is a stronger property than the load-balanced virtual machine arrangement the project originally specified.</w:t>
      </w:r>
    </w:p>
    <w:p>
      <w:pPr>
        <w:spacing w:after="200" w:line="360"/>
        <w:jc w:val="both"/>
      </w:pPr>
      <w:r>
        <w:rPr>
          <w:rFonts w:ascii="Times New Roman" w:cs="Times New Roman" w:eastAsia="Times New Roman" w:hAnsi="Times New Roman"/>
          <w:color w:val="000000"/>
          <w:sz w:val="24"/>
          <w:szCs w:val="24"/>
        </w:rPr>
        <w:t xml:space="preserve">One source frames the choice as a question rather than a conclusion, examining the applicability of edge versus cloud architecture for new data workloads (2025). The reviewed corpus does not establish that edge execution is universally preferable; it establishes that it is preferable where latency or availability is the binding constraint, which is the case here.</w:t>
      </w:r>
    </w:p>
    <w:p>
      <w:pPr>
        <w:pStyle w:val="Heading2"/>
        <w:spacing w:after="180" w:before="320"/>
      </w:pPr>
      <w:r>
        <w:rPr>
          <w:rFonts w:ascii="Times New Roman" w:cs="Times New Roman" w:eastAsia="Times New Roman" w:hAnsi="Times New Roman"/>
          <w:b/>
          <w:bCs/>
          <w:sz w:val="26"/>
          <w:szCs w:val="26"/>
        </w:rPr>
        <w:t xml:space="preserve">2.6 Security, Data Integrity and Standardisation</w:t>
      </w:r>
    </w:p>
    <w:p>
      <w:pPr>
        <w:spacing w:after="200" w:line="360"/>
        <w:jc w:val="both"/>
      </w:pPr>
      <w:r>
        <w:rPr>
          <w:rFonts w:ascii="Times New Roman" w:cs="Times New Roman" w:eastAsia="Times New Roman" w:hAnsi="Times New Roman"/>
          <w:color w:val="000000"/>
          <w:sz w:val="24"/>
          <w:szCs w:val="24"/>
        </w:rPr>
        <w:t xml:space="preserve">Security in sensor networks receives substantial attention in the corpus, though largely at a level above the individual reading. Work on integrating edge computing and blockchain with IoT identifies lack of security, high latency and energy inefficiency as persistent limitations of IoT systems (JNCA, 2024). A review of security and privacy in industrial big data identifies these issues as principal obstacles to wider adoption (Computer Science Review, 2025).</w:t>
      </w:r>
    </w:p>
    <w:p>
      <w:pPr>
        <w:spacing w:after="200" w:line="360"/>
        <w:jc w:val="both"/>
      </w:pPr>
      <w:r>
        <w:rPr>
          <w:rFonts w:ascii="Times New Roman" w:cs="Times New Roman" w:eastAsia="Times New Roman" w:hAnsi="Times New Roman"/>
          <w:color w:val="000000"/>
          <w:sz w:val="24"/>
          <w:szCs w:val="24"/>
        </w:rPr>
        <w:t xml:space="preserve">Blockchain is the most frequently proposed remedy, appearing in work on IoT societal applications (IEEE, 2020) and in a framework for secure blockchain in fog-cloud networks (FGCS, 2024). The objective in these proposals is tamper-evident storage: establishing that a record has not been altered after the fact.</w:t>
      </w:r>
    </w:p>
    <w:p>
      <w:pPr>
        <w:spacing w:after="200" w:line="360"/>
        <w:jc w:val="both"/>
      </w:pPr>
      <w:r>
        <w:rPr>
          <w:rFonts w:ascii="Times New Roman" w:cs="Times New Roman" w:eastAsia="Times New Roman" w:hAnsi="Times New Roman"/>
          <w:color w:val="000000"/>
          <w:sz w:val="24"/>
          <w:szCs w:val="24"/>
        </w:rPr>
        <w:t xml:space="preserve">The reviewed corpus gives less attention to provenance at the point of measurement, that is, to establishing that a reading originated from the device it claims to have come from. This distinction matters for environmental data that may be contested. Tamper-evident storage of a fabricated reading preserves the fabrication. The present project addresses this by signing each reading at the node with a message authentication code over the payload, so that a stored value is attributable to specific hardware rather than to any party able to reach the endpoint.</w:t>
      </w:r>
    </w:p>
    <w:p>
      <w:pPr>
        <w:spacing w:after="200" w:line="360"/>
        <w:jc w:val="both"/>
      </w:pPr>
      <w:r>
        <w:rPr>
          <w:rFonts w:ascii="Times New Roman" w:cs="Times New Roman" w:eastAsia="Times New Roman" w:hAnsi="Times New Roman"/>
          <w:color w:val="000000"/>
          <w:sz w:val="24"/>
          <w:szCs w:val="24"/>
        </w:rPr>
        <w:t xml:space="preserve">Two standards in the corpus address interoperability rather than security. IEEE Std 2796-2024 provides an architectural framework for Internet of Food applications, addressing interoperability, scalability and data trust across the food chain sector. IEEE Std 2992-2025 establishes recommended practice for data formats, tags, naming conventions and transfer protocols in smart agriculture, to enable exchange between heterogeneous systems. Both indicate that the field is maturing toward common data structures, and either would be a reasonable basis for future interoperability work on the present platform.</w:t>
      </w:r>
    </w:p>
    <w:p>
      <w:pPr>
        <w:pStyle w:val="Heading2"/>
        <w:spacing w:after="180" w:before="320"/>
      </w:pPr>
      <w:r>
        <w:rPr>
          <w:rFonts w:ascii="Times New Roman" w:cs="Times New Roman" w:eastAsia="Times New Roman" w:hAnsi="Times New Roman"/>
          <w:b/>
          <w:bCs/>
          <w:sz w:val="26"/>
          <w:szCs w:val="26"/>
        </w:rPr>
        <w:t xml:space="preserve">2.7 Predictive Modelling from Sensor Data</w:t>
      </w:r>
    </w:p>
    <w:p>
      <w:pPr>
        <w:spacing w:after="200" w:line="360"/>
        <w:jc w:val="both"/>
      </w:pPr>
      <w:r>
        <w:rPr>
          <w:rFonts w:ascii="Times New Roman" w:cs="Times New Roman" w:eastAsia="Times New Roman" w:hAnsi="Times New Roman"/>
          <w:color w:val="000000"/>
          <w:sz w:val="24"/>
          <w:szCs w:val="24"/>
        </w:rPr>
        <w:t xml:space="preserve">Prediction appears in the corpus in two forms. The first is anomaly detection: an AIoT system for poultry farms addresses productivity losses arising from delayed detection of abnormal conditions (IIPEM, 2026). The second is forecasting of environmental parameters themselves, as in the machine learning approach to predicting air quality in poultry houses, which aims to enable proactive rather than reactive environmental management (Journal of Biosystems Engineering, 2026).</w:t>
      </w:r>
    </w:p>
    <w:p>
      <w:pPr>
        <w:spacing w:after="200" w:line="360"/>
        <w:jc w:val="both"/>
      </w:pPr>
      <w:r>
        <w:rPr>
          <w:rFonts w:ascii="Times New Roman" w:cs="Times New Roman" w:eastAsia="Times New Roman" w:hAnsi="Times New Roman"/>
          <w:color w:val="000000"/>
          <w:sz w:val="24"/>
          <w:szCs w:val="24"/>
        </w:rPr>
        <w:t xml:space="preserve">Model choice varies. Work on growth prediction in smart poultry farming applies explainable techniques to interpret model output (2025), and other studies apply deep learning to poultry monitoring (2026). A survey of machine learning for streaming time series forecasting provides the general treatment (Computer Science Review, 2026).</w:t>
      </w:r>
    </w:p>
    <w:p>
      <w:pPr>
        <w:spacing w:after="200" w:line="360"/>
        <w:jc w:val="both"/>
      </w:pPr>
      <w:r>
        <w:rPr>
          <w:rFonts w:ascii="Times New Roman" w:cs="Times New Roman" w:eastAsia="Times New Roman" w:hAnsi="Times New Roman"/>
          <w:color w:val="000000"/>
          <w:sz w:val="24"/>
          <w:szCs w:val="24"/>
        </w:rPr>
        <w:t xml:space="preserve">Two methodological points bear on the present project. First, the reviewed deployments generally do not state a minimum data requirement below which forecasting is not attempted; a model fitted to a small sample will still produce output, and that output will appear no less confident. Second, validation methodology is rarely described in detail. For time series data, a randomly partitioned validation set allows future observations to inform training and produces an optimistic and misleading accuracy figure. The present project responds to both by selecting the model according to available sample count, declining to forecast below a minimum, and validating on a chronologically ordered hold-out partition.</w:t>
      </w:r>
    </w:p>
    <w:p>
      <w:pPr>
        <w:pStyle w:val="Heading2"/>
        <w:spacing w:after="180" w:before="320"/>
      </w:pPr>
      <w:r>
        <w:rPr>
          <w:rFonts w:ascii="Times New Roman" w:cs="Times New Roman" w:eastAsia="Times New Roman" w:hAnsi="Times New Roman"/>
          <w:b/>
          <w:bCs/>
          <w:sz w:val="26"/>
          <w:szCs w:val="26"/>
        </w:rPr>
        <w:t xml:space="preserve">2.8 Comparison of Reviewed Systems</w:t>
      </w:r>
    </w:p>
    <w:p>
      <w:pPr>
        <w:spacing w:after="200" w:line="360"/>
        <w:jc w:val="both"/>
      </w:pPr>
      <w:r>
        <w:rPr>
          <w:rFonts w:ascii="Times New Roman" w:cs="Times New Roman" w:eastAsia="Times New Roman" w:hAnsi="Times New Roman"/>
          <w:color w:val="000000"/>
          <w:sz w:val="24"/>
          <w:szCs w:val="24"/>
        </w:rPr>
        <w:t xml:space="preserve">Table 2.2 compares representative systems from the corpus against the present project on the dimensions most relevant to its design.</w:t>
      </w:r>
    </w:p>
    <w:p>
      <w:pPr>
        <w:spacing w:after="300" w:before="100"/>
        <w:jc w:val="center"/>
      </w:pPr>
      <w:r>
        <w:rPr>
          <w:rFonts w:ascii="Times New Roman" w:cs="Times New Roman" w:eastAsia="Times New Roman" w:hAnsi="Times New Roman"/>
          <w:b/>
          <w:bCs/>
          <w:sz w:val="21"/>
          <w:szCs w:val="21"/>
        </w:rPr>
        <w:t xml:space="preserve">TABLE 2.2: COMPARISON OF REVIEWED SYSTEMS</w:t>
      </w:r>
    </w:p>
    <w:tbl>
      <w:tblPr>
        <w:tblW w:type="dxa" w:w="9000"/>
        <w:tblBorders>
          <w:top w:val="single" w:color="000000" w:sz="4"/>
          <w:left w:val="single" w:color="000000" w:sz="4"/>
          <w:bottom w:val="single" w:color="000000" w:sz="4"/>
          <w:right w:val="single" w:color="000000" w:sz="4"/>
          <w:insideH w:val="single" w:color="808080" w:sz="2"/>
          <w:insideV w:val="single" w:color="808080" w:sz="2"/>
        </w:tblBorders>
      </w:tblPr>
      <w:tblGrid>
        <w:gridCol w:w="2500"/>
        <w:gridCol w:w="1900"/>
        <w:gridCol w:w="2000"/>
        <w:gridCol w:w="2600"/>
      </w:tblGrid>
      <w:tr>
        <w:trPr>
          <w:tblHeader/>
        </w:trPr>
        <w:tc>
          <w:tcPr>
            <w:tcW w:type="dxa" w:w="25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System</w:t>
            </w:r>
          </w:p>
        </w:tc>
        <w:tc>
          <w:tcPr>
            <w:tcW w:type="dxa" w:w="19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Sensing</w:t>
            </w:r>
          </w:p>
        </w:tc>
        <w:tc>
          <w:tcPr>
            <w:tcW w:type="dxa" w:w="20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Architecture</w:t>
            </w:r>
          </w:p>
        </w:tc>
        <w:tc>
          <w:tcPr>
            <w:tcW w:type="dxa" w:w="26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Notable property</w:t>
            </w:r>
          </w:p>
        </w:tc>
      </w:tr>
      <w:tr>
        <w:tc>
          <w:tcPr>
            <w:tcW w:type="dxa" w:w="2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Ammonia and CO2 detection at farms and compost plants (2023)</w:t>
            </w:r>
          </w:p>
        </w:tc>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Low-cost NH3, CO2</w:t>
            </w:r>
          </w:p>
        </w:tc>
        <w:tc>
          <w:tcPr>
            <w:tcW w:type="dxa" w:w="2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Cloud</w:t>
            </w:r>
          </w:p>
        </w:tc>
        <w:tc>
          <w:tcPr>
            <w:tcW w:type="dxa" w:w="2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Addresses external emission, not only enclosure</w:t>
            </w:r>
          </w:p>
        </w:tc>
      </w:tr>
      <w:tr>
        <w:tc>
          <w:tcPr>
            <w:tcW w:type="dxa" w:w="2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Air quality prediction in poultry houses (2026)</w:t>
            </w:r>
          </w:p>
        </w:tc>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Multi-gas, low cost</w:t>
            </w:r>
          </w:p>
        </w:tc>
        <w:tc>
          <w:tcPr>
            <w:tcW w:type="dxa" w:w="2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IoT with ML</w:t>
            </w:r>
          </w:p>
        </w:tc>
        <w:tc>
          <w:tcPr>
            <w:tcW w:type="dxa" w:w="2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Forecasting for proactive management</w:t>
            </w:r>
          </w:p>
        </w:tc>
      </w:tr>
      <w:tr>
        <w:tc>
          <w:tcPr>
            <w:tcW w:type="dxa" w:w="2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Dual-MCU multi-gas monitoring prototype (2026)</w:t>
            </w:r>
          </w:p>
        </w:tc>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NH3, CH4, H2S</w:t>
            </w:r>
          </w:p>
        </w:tc>
        <w:tc>
          <w:tcPr>
            <w:tcW w:type="dxa" w:w="2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Dual ESP32, nRF24L01</w:t>
            </w:r>
          </w:p>
        </w:tc>
        <w:tc>
          <w:tcPr>
            <w:tcW w:type="dxa" w:w="2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Averages 10 minutes before transmission</w:t>
            </w:r>
          </w:p>
        </w:tc>
      </w:tr>
      <w:tr>
        <w:tc>
          <w:tcPr>
            <w:tcW w:type="dxa" w:w="2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AIoT anomaly detection for poultry farms (2026)</w:t>
            </w:r>
          </w:p>
        </w:tc>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Temperature, humidity, NH3</w:t>
            </w:r>
          </w:p>
        </w:tc>
        <w:tc>
          <w:tcPr>
            <w:tcW w:type="dxa" w:w="2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AIoT with automated control</w:t>
            </w:r>
          </w:p>
        </w:tc>
        <w:tc>
          <w:tcPr>
            <w:tcW w:type="dxa" w:w="2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Automated actuation on anomaly</w:t>
            </w:r>
          </w:p>
        </w:tc>
      </w:tr>
      <w:tr>
        <w:tc>
          <w:tcPr>
            <w:tcW w:type="dxa" w:w="2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Cloud-based poultry farm management (2024)</w:t>
            </w:r>
          </w:p>
        </w:tc>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Temperature, humidity, NH3</w:t>
            </w:r>
          </w:p>
        </w:tc>
        <w:tc>
          <w:tcPr>
            <w:tcW w:type="dxa" w:w="2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Cloud with messaging platform</w:t>
            </w:r>
          </w:p>
        </w:tc>
        <w:tc>
          <w:tcPr>
            <w:tcW w:type="dxa" w:w="2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Alerting through a messaging service</w:t>
            </w:r>
          </w:p>
        </w:tc>
      </w:tr>
      <w:tr>
        <w:tc>
          <w:tcPr>
            <w:tcW w:type="dxa" w:w="2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Precision livestock farming with hybrid AI (2025)</w:t>
            </w:r>
          </w:p>
        </w:tc>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Multi-gas</w:t>
            </w:r>
          </w:p>
        </w:tc>
        <w:tc>
          <w:tcPr>
            <w:tcW w:type="dxa" w:w="2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Cloud and edge</w:t>
            </w:r>
          </w:p>
        </w:tc>
        <w:tc>
          <w:tcPr>
            <w:tcW w:type="dxa" w:w="2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Combines cloud and edge processing</w:t>
            </w:r>
          </w:p>
        </w:tc>
      </w:tr>
      <w:tr>
        <w:tc>
          <w:tcPr>
            <w:tcW w:type="dxa" w:w="2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Present project (2026)</w:t>
            </w:r>
          </w:p>
        </w:tc>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MQ-5, MQ-6, MQ-7 × 2, DHT11</w:t>
            </w:r>
          </w:p>
        </w:tc>
        <w:tc>
          <w:tcPr>
            <w:tcW w:type="dxa" w:w="2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Distributed edge, serverless</w:t>
            </w:r>
          </w:p>
        </w:tc>
        <w:tc>
          <w:tcPr>
            <w:tcW w:type="dxa" w:w="2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Signed readings, buffered delivery, measured availability</w:t>
            </w:r>
          </w:p>
        </w:tc>
      </w:tr>
    </w:tbl>
    <w:p>
      <w:pPr>
        <w:pStyle w:val="Heading2"/>
        <w:spacing w:after="180" w:before="320"/>
      </w:pPr>
      <w:r>
        <w:rPr>
          <w:rFonts w:ascii="Times New Roman" w:cs="Times New Roman" w:eastAsia="Times New Roman" w:hAnsi="Times New Roman"/>
          <w:b/>
          <w:bCs/>
          <w:sz w:val="26"/>
          <w:szCs w:val="26"/>
        </w:rPr>
        <w:t xml:space="preserve">2.9 Research Gap</w:t>
      </w:r>
    </w:p>
    <w:p>
      <w:pPr>
        <w:spacing w:after="200" w:line="360"/>
        <w:jc w:val="both"/>
      </w:pPr>
      <w:r>
        <w:rPr>
          <w:rFonts w:ascii="Times New Roman" w:cs="Times New Roman" w:eastAsia="Times New Roman" w:hAnsi="Times New Roman"/>
          <w:color w:val="000000"/>
          <w:sz w:val="24"/>
          <w:szCs w:val="24"/>
        </w:rPr>
        <w:t xml:space="preserve">Three gaps emerge from the reviewed work.</w:t>
      </w:r>
    </w:p>
    <w:p>
      <w:pPr>
        <w:spacing w:after="200" w:line="360"/>
        <w:jc w:val="both"/>
      </w:pPr>
      <w:r>
        <w:rPr>
          <w:rFonts w:ascii="Times New Roman" w:cs="Times New Roman" w:eastAsia="Times New Roman" w:hAnsi="Times New Roman"/>
          <w:color w:val="000000"/>
          <w:sz w:val="24"/>
          <w:szCs w:val="24"/>
        </w:rPr>
        <w:t xml:space="preserve">First, the corpus concentrates on conditions within production enclosures, where the beneficiary of monitoring is the livestock. Monitoring the effect of the same emissions on an adjacent population, where the beneficiary is a resident community, is comparatively unaddressed. The present project monitors at points of human occupancy rather than at the source.</w:t>
      </w:r>
    </w:p>
    <w:p>
      <w:pPr>
        <w:spacing w:after="200" w:line="360"/>
        <w:jc w:val="both"/>
      </w:pPr>
      <w:r>
        <w:rPr>
          <w:rFonts w:ascii="Times New Roman" w:cs="Times New Roman" w:eastAsia="Times New Roman" w:hAnsi="Times New Roman"/>
          <w:color w:val="000000"/>
          <w:sz w:val="24"/>
          <w:szCs w:val="24"/>
        </w:rPr>
        <w:t xml:space="preserve">Second, security in the reviewed work is predominantly concerned with protecting stored data from subsequent alteration. Establishing that a reading is genuinely attributable to the device that claims to have produced it receives less attention. For data that may be used to substantiate or refute a complaint, provenance at the point of measurement is the property that carries evidential weight.</w:t>
      </w:r>
    </w:p>
    <w:p>
      <w:pPr>
        <w:spacing w:after="200" w:line="360"/>
        <w:jc w:val="both"/>
      </w:pPr>
      <w:r>
        <w:rPr>
          <w:rFonts w:ascii="Times New Roman" w:cs="Times New Roman" w:eastAsia="Times New Roman" w:hAnsi="Times New Roman"/>
          <w:color w:val="000000"/>
          <w:sz w:val="24"/>
          <w:szCs w:val="24"/>
        </w:rPr>
        <w:t xml:space="preserve">Third, reliability is widely asserted and rarely measured. Systems are described as providing continuous or real-time monitoring, but the reviewed sources seldom report observed availability, nor account for readings taken while connectivity was unavailable. A monitoring system that silently discards data during an outage produces gaps precisely when conditions may be abnormal, and cannot demonstrate that it did not.</w:t>
      </w:r>
    </w:p>
    <w:p>
      <w:pPr>
        <w:spacing w:after="200" w:line="360"/>
        <w:jc w:val="both"/>
      </w:pPr>
      <w:r>
        <w:rPr>
          <w:rFonts w:ascii="Times New Roman" w:cs="Times New Roman" w:eastAsia="Times New Roman" w:hAnsi="Times New Roman"/>
          <w:color w:val="000000"/>
          <w:sz w:val="24"/>
          <w:szCs w:val="24"/>
        </w:rPr>
        <w:t xml:space="preserve">The present project addresses these three gaps respectively by siting measurement at points of human occupancy, by signing readings at the node so that provenance is verifiable, and by buffering readings locally with sequence numbering so that delivery is idempotent, while instrumenting the platform so that availability is recorded rather than claimed.</w:t>
      </w:r>
    </w:p>
    <w:p>
      <w:pPr>
        <w:pStyle w:val="Heading2"/>
        <w:spacing w:after="180" w:before="320"/>
      </w:pPr>
      <w:r>
        <w:rPr>
          <w:rFonts w:ascii="Times New Roman" w:cs="Times New Roman" w:eastAsia="Times New Roman" w:hAnsi="Times New Roman"/>
          <w:b/>
          <w:bCs/>
          <w:sz w:val="26"/>
          <w:szCs w:val="26"/>
        </w:rPr>
        <w:t xml:space="preserve">2.10 Conclusion</w:t>
      </w:r>
    </w:p>
    <w:p>
      <w:pPr>
        <w:spacing w:after="200" w:line="360"/>
        <w:jc w:val="both"/>
      </w:pPr>
      <w:r>
        <w:rPr>
          <w:rFonts w:ascii="Times New Roman" w:cs="Times New Roman" w:eastAsia="Times New Roman" w:hAnsi="Times New Roman"/>
          <w:color w:val="000000"/>
          <w:sz w:val="24"/>
          <w:szCs w:val="24"/>
        </w:rPr>
        <w:t xml:space="preserve">The reviewed literature establishes that gas concentration in agricultural and waste environments is consequential for both animal welfare and surrounding air quality, that low-cost sensing with microcontroller platforms is the established approach, and that processing is migrating from centralised cloud services toward edge execution for reasons of latency and autonomy.</w:t>
      </w:r>
    </w:p>
    <w:p>
      <w:pPr>
        <w:spacing w:after="200" w:line="360"/>
        <w:jc w:val="both"/>
      </w:pPr>
      <w:r>
        <w:rPr>
          <w:rFonts w:ascii="Times New Roman" w:cs="Times New Roman" w:eastAsia="Times New Roman" w:hAnsi="Times New Roman"/>
          <w:color w:val="000000"/>
          <w:sz w:val="24"/>
          <w:szCs w:val="24"/>
        </w:rPr>
        <w:t xml:space="preserve">It also reveals limitations that shaped the present design: concentrations are commonly reported without a documented calibration procedure, provenance at the point of measurement receives less attention than tamper-evident storage, and reliability is asserted more often than measured. Chapter 3 describes the methodology by which the resulting system was developed.</w:t>
      </w:r>
    </w:p>
    <w:p>
      <w:r>
        <w:br w:type="page"/>
      </w:r>
    </w:p>
    <w:p>
      <w:pPr>
        <w:pStyle w:val="Heading1"/>
        <w:spacing w:after="260" w:before="400"/>
      </w:pPr>
      <w:r>
        <w:rPr>
          <w:rFonts w:ascii="Times New Roman" w:cs="Times New Roman" w:eastAsia="Times New Roman" w:hAnsi="Times New Roman"/>
          <w:b/>
          <w:bCs/>
          <w:sz w:val="32"/>
          <w:szCs w:val="32"/>
        </w:rPr>
        <w:t xml:space="preserve">REFERENCES</w:t>
      </w:r>
    </w:p>
    <w:p>
      <w:pPr>
        <w:spacing w:after="200" w:line="360"/>
        <w:jc w:val="both"/>
      </w:pPr>
      <w:r>
        <w:rPr>
          <w:rFonts w:ascii="Times New Roman" w:cs="Times New Roman" w:eastAsia="Times New Roman" w:hAnsi="Times New Roman"/>
          <w:color w:val="5A5A5A"/>
          <w:sz w:val="21"/>
          <w:szCs w:val="21"/>
        </w:rPr>
        <w:t xml:space="preserve">The following sources were reviewed. Author names and full pagination should be completed from the publisher record before submission.</w:t>
      </w:r>
    </w:p>
    <w:p>
      <w:pPr>
        <w:pStyle w:val="Heading3"/>
        <w:spacing w:after="140" w:before="260"/>
      </w:pPr>
      <w:r>
        <w:rPr>
          <w:rFonts w:ascii="Times New Roman" w:cs="Times New Roman" w:eastAsia="Times New Roman" w:hAnsi="Times New Roman"/>
          <w:b/>
          <w:bCs/>
          <w:sz w:val="24"/>
          <w:szCs w:val="24"/>
        </w:rPr>
        <w:t xml:space="preserve">Poultry and agricultural environmental monitoring</w:t>
      </w:r>
    </w:p>
    <w:p>
      <w:pPr>
        <w:spacing w:after="140" w:line="300"/>
        <w:ind w:left="480" w:hanging="480"/>
        <w:jc w:val="both"/>
      </w:pPr>
      <w:r>
        <w:rPr>
          <w:rFonts w:ascii="Times New Roman" w:cs="Times New Roman" w:eastAsia="Times New Roman" w:hAnsi="Times New Roman"/>
          <w:sz w:val="22"/>
          <w:szCs w:val="22"/>
        </w:rPr>
        <w:t xml:space="preserve">Ammonia &amp; CO2 Gas Detection of Poultry Farms and Compost Plants by Low-Cost Smart Sensing System. 9th International Conference on Signal Processing and Intelligent Systems (ICSPIS), 2023.</w:t>
      </w:r>
    </w:p>
    <w:p>
      <w:pPr>
        <w:spacing w:after="140" w:line="300"/>
        <w:ind w:left="480" w:hanging="480"/>
        <w:jc w:val="both"/>
      </w:pPr>
      <w:r>
        <w:rPr>
          <w:rFonts w:ascii="Times New Roman" w:cs="Times New Roman" w:eastAsia="Times New Roman" w:hAnsi="Times New Roman"/>
          <w:sz w:val="22"/>
          <w:szCs w:val="22"/>
        </w:rPr>
        <w:t xml:space="preserve">An IoT and Machine Learning Approach for Predicting Air Quality Parameters in Poultry Houses. Journal of Biosystems Engineering, vol. 51, 2026.</w:t>
      </w:r>
    </w:p>
    <w:p>
      <w:pPr>
        <w:spacing w:after="140" w:line="300"/>
        <w:ind w:left="480" w:hanging="480"/>
        <w:jc w:val="both"/>
      </w:pPr>
      <w:r>
        <w:rPr>
          <w:rFonts w:ascii="Times New Roman" w:cs="Times New Roman" w:eastAsia="Times New Roman" w:hAnsi="Times New Roman"/>
          <w:sz w:val="22"/>
          <w:szCs w:val="22"/>
        </w:rPr>
        <w:t xml:space="preserve">AIoT-Based Anomaly Detection and Monitoring System for Smart Poultry Farms. International Conference on Intelligent &amp; Innovative Practices in Engineering &amp; Management (IIPEM), 2026.</w:t>
      </w:r>
    </w:p>
    <w:p>
      <w:pPr>
        <w:spacing w:after="140" w:line="300"/>
        <w:ind w:left="480" w:hanging="480"/>
        <w:jc w:val="both"/>
      </w:pPr>
      <w:r>
        <w:rPr>
          <w:rFonts w:ascii="Times New Roman" w:cs="Times New Roman" w:eastAsia="Times New Roman" w:hAnsi="Times New Roman"/>
          <w:sz w:val="22"/>
          <w:szCs w:val="22"/>
        </w:rPr>
        <w:t xml:space="preserve">Design and Prototype Development of a Dual-MCU Wireless IoT System for Multi-Gas Air Quality Monitoring in Poultry Environments. International Conference on Artificial Intelligence and Data Engineering (AIDE), 2026.</w:t>
      </w:r>
    </w:p>
    <w:p>
      <w:pPr>
        <w:spacing w:after="140" w:line="300"/>
        <w:ind w:left="480" w:hanging="480"/>
        <w:jc w:val="both"/>
      </w:pPr>
      <w:r>
        <w:rPr>
          <w:rFonts w:ascii="Times New Roman" w:cs="Times New Roman" w:eastAsia="Times New Roman" w:hAnsi="Times New Roman"/>
          <w:sz w:val="22"/>
          <w:szCs w:val="22"/>
        </w:rPr>
        <w:t xml:space="preserve">Cloud-Based IoT Solution for Enhanced Poultry Farm Management. 4th International Conference on Innovative Practices in Technology and Management (ICIPTM), 2024.</w:t>
      </w:r>
    </w:p>
    <w:p>
      <w:pPr>
        <w:spacing w:after="140" w:line="300"/>
        <w:ind w:left="480" w:hanging="480"/>
        <w:jc w:val="both"/>
      </w:pPr>
      <w:r>
        <w:rPr>
          <w:rFonts w:ascii="Times New Roman" w:cs="Times New Roman" w:eastAsia="Times New Roman" w:hAnsi="Times New Roman"/>
          <w:sz w:val="22"/>
          <w:szCs w:val="22"/>
        </w:rPr>
        <w:t xml:space="preserve">Cloud IoT based Poultry Environment Analysis System. International Conference on Current Research in Artificial Intelligence and Data Science (ICCRAIDS), 2026.</w:t>
      </w:r>
    </w:p>
    <w:p>
      <w:pPr>
        <w:spacing w:after="140" w:line="300"/>
        <w:ind w:left="480" w:hanging="480"/>
        <w:jc w:val="both"/>
      </w:pPr>
      <w:r>
        <w:rPr>
          <w:rFonts w:ascii="Times New Roman" w:cs="Times New Roman" w:eastAsia="Times New Roman" w:hAnsi="Times New Roman"/>
          <w:sz w:val="22"/>
          <w:szCs w:val="22"/>
        </w:rPr>
        <w:t xml:space="preserve">Assessment of Conceptual Framework for Monitoring Poultry Farm’s Temperature and Humidity. IEEE 11th International Conference on System Engineering and Technology (ICSET), 2021.</w:t>
      </w:r>
    </w:p>
    <w:p>
      <w:pPr>
        <w:spacing w:after="140" w:line="300"/>
        <w:ind w:left="480" w:hanging="480"/>
        <w:jc w:val="both"/>
      </w:pPr>
      <w:r>
        <w:rPr>
          <w:rFonts w:ascii="Times New Roman" w:cs="Times New Roman" w:eastAsia="Times New Roman" w:hAnsi="Times New Roman"/>
          <w:sz w:val="22"/>
          <w:szCs w:val="22"/>
        </w:rPr>
        <w:t xml:space="preserve">Integration of Wireless Sensor Network and IoT for Enhanced Broiler Closed-House Monitoring. IEEE 15th Control and System Graduate Research Colloquium (ICSGRC), 2024.</w:t>
      </w:r>
    </w:p>
    <w:p>
      <w:pPr>
        <w:spacing w:after="140" w:line="300"/>
        <w:ind w:left="480" w:hanging="480"/>
        <w:jc w:val="both"/>
      </w:pPr>
      <w:r>
        <w:rPr>
          <w:rFonts w:ascii="Times New Roman" w:cs="Times New Roman" w:eastAsia="Times New Roman" w:hAnsi="Times New Roman"/>
          <w:sz w:val="22"/>
          <w:szCs w:val="22"/>
        </w:rPr>
        <w:t xml:space="preserve">Engineering Framework for Smart Poultry Farming Using Internet of Things. International Journal on Recent and Innovation Trends in Computing and Communication, 2024.</w:t>
      </w:r>
    </w:p>
    <w:p>
      <w:pPr>
        <w:spacing w:after="140" w:line="300"/>
        <w:ind w:left="480" w:hanging="480"/>
        <w:jc w:val="both"/>
      </w:pPr>
      <w:r>
        <w:rPr>
          <w:rFonts w:ascii="Times New Roman" w:cs="Times New Roman" w:eastAsia="Times New Roman" w:hAnsi="Times New Roman"/>
          <w:sz w:val="22"/>
          <w:szCs w:val="22"/>
        </w:rPr>
        <w:t xml:space="preserve">Advancing Precision Livestock Farming: Integrating Hybrid AI, IoT, Cloud and Edge Computing for Enhanced Welfare. IEEE International Conference on Robotics and Technologies for Industrial Automation (ROBOTHIA), 2025.</w:t>
      </w:r>
    </w:p>
    <w:p>
      <w:pPr>
        <w:spacing w:after="140" w:line="300"/>
        <w:ind w:left="480" w:hanging="480"/>
        <w:jc w:val="both"/>
      </w:pPr>
      <w:r>
        <w:rPr>
          <w:rFonts w:ascii="Times New Roman" w:cs="Times New Roman" w:eastAsia="Times New Roman" w:hAnsi="Times New Roman"/>
          <w:sz w:val="22"/>
          <w:szCs w:val="22"/>
        </w:rPr>
        <w:t xml:space="preserve">IoT-based Dynamic Poultry Stress Monitoring and Smart Environmental Control System. 2026.</w:t>
      </w:r>
    </w:p>
    <w:p>
      <w:pPr>
        <w:spacing w:after="140" w:line="300"/>
        <w:ind w:left="480" w:hanging="480"/>
        <w:jc w:val="both"/>
      </w:pPr>
      <w:r>
        <w:rPr>
          <w:rFonts w:ascii="Times New Roman" w:cs="Times New Roman" w:eastAsia="Times New Roman" w:hAnsi="Times New Roman"/>
          <w:sz w:val="22"/>
          <w:szCs w:val="22"/>
        </w:rPr>
        <w:t xml:space="preserve">Poultry-Edge-AI-IoT System for Real-Time Monitoring and Predicting by Using Artificial Intelligence. International Journal of Interactive Mobile Technologies (iJIM), vol. 17, no. 12, 2023.</w:t>
      </w:r>
    </w:p>
    <w:p>
      <w:pPr>
        <w:spacing w:after="140" w:line="300"/>
        <w:ind w:left="480" w:hanging="480"/>
        <w:jc w:val="both"/>
      </w:pPr>
      <w:r>
        <w:rPr>
          <w:rFonts w:ascii="Times New Roman" w:cs="Times New Roman" w:eastAsia="Times New Roman" w:hAnsi="Times New Roman"/>
          <w:sz w:val="22"/>
          <w:szCs w:val="22"/>
        </w:rPr>
        <w:t xml:space="preserve">Smart Poultry Farm: An IoT-based Environmental Monitoring and Control System. 2023.</w:t>
      </w:r>
    </w:p>
    <w:p>
      <w:pPr>
        <w:spacing w:after="140" w:line="300"/>
        <w:ind w:left="480" w:hanging="480"/>
        <w:jc w:val="both"/>
      </w:pPr>
      <w:r>
        <w:rPr>
          <w:rFonts w:ascii="Times New Roman" w:cs="Times New Roman" w:eastAsia="Times New Roman" w:hAnsi="Times New Roman"/>
          <w:sz w:val="22"/>
          <w:szCs w:val="22"/>
        </w:rPr>
        <w:t xml:space="preserve">The Efficiency in Controlling and Monitoring a Poultry Farm based on Internet of Things (IoT). 2024.</w:t>
      </w:r>
    </w:p>
    <w:p>
      <w:pPr>
        <w:spacing w:after="140" w:line="300"/>
        <w:ind w:left="480" w:hanging="480"/>
        <w:jc w:val="both"/>
      </w:pPr>
      <w:r>
        <w:rPr>
          <w:rFonts w:ascii="Times New Roman" w:cs="Times New Roman" w:eastAsia="Times New Roman" w:hAnsi="Times New Roman"/>
          <w:sz w:val="22"/>
          <w:szCs w:val="22"/>
        </w:rPr>
        <w:t xml:space="preserve">Enhancing Poultry Farm Productivity Using IoT-Based Smart Farming Automation System. 2025.</w:t>
      </w:r>
    </w:p>
    <w:p>
      <w:pPr>
        <w:spacing w:after="140" w:line="300"/>
        <w:ind w:left="480" w:hanging="480"/>
        <w:jc w:val="both"/>
      </w:pPr>
      <w:r>
        <w:rPr>
          <w:rFonts w:ascii="Times New Roman" w:cs="Times New Roman" w:eastAsia="Times New Roman" w:hAnsi="Times New Roman"/>
          <w:sz w:val="22"/>
          <w:szCs w:val="22"/>
        </w:rPr>
        <w:t xml:space="preserve">Development of an IoT-Based System with AI-Driven Robotic Feeder and Rice Hull Management for Chickens. 2025.</w:t>
      </w:r>
    </w:p>
    <w:p>
      <w:pPr>
        <w:spacing w:after="140" w:line="300"/>
        <w:ind w:left="480" w:hanging="480"/>
        <w:jc w:val="both"/>
      </w:pPr>
      <w:r>
        <w:rPr>
          <w:rFonts w:ascii="Times New Roman" w:cs="Times New Roman" w:eastAsia="Times New Roman" w:hAnsi="Times New Roman"/>
          <w:sz w:val="22"/>
          <w:szCs w:val="22"/>
        </w:rPr>
        <w:t xml:space="preserve">Intelligent IoT Poultry System for Automated Feed and Environmental Monitoring. 2025.</w:t>
      </w:r>
    </w:p>
    <w:p>
      <w:pPr>
        <w:spacing w:after="140" w:line="300"/>
        <w:ind w:left="480" w:hanging="480"/>
        <w:jc w:val="both"/>
      </w:pPr>
      <w:r>
        <w:rPr>
          <w:rFonts w:ascii="Times New Roman" w:cs="Times New Roman" w:eastAsia="Times New Roman" w:hAnsi="Times New Roman"/>
          <w:sz w:val="22"/>
          <w:szCs w:val="22"/>
        </w:rPr>
        <w:t xml:space="preserve">An IoT-Based System for Measuring Diurnal Gas Emissions. 2025.</w:t>
      </w:r>
    </w:p>
    <w:p>
      <w:pPr>
        <w:spacing w:after="140" w:line="300"/>
        <w:ind w:left="480" w:hanging="480"/>
        <w:jc w:val="both"/>
      </w:pPr>
      <w:r>
        <w:rPr>
          <w:rFonts w:ascii="Times New Roman" w:cs="Times New Roman" w:eastAsia="Times New Roman" w:hAnsi="Times New Roman"/>
          <w:sz w:val="22"/>
          <w:szCs w:val="22"/>
        </w:rPr>
        <w:t xml:space="preserve">Proposing A Cloud and Edge Computing Based Decision Supportive Consolidated Farming System. International Conference on Emerging Smart Computing and Informatics (ESCI), 2026.</w:t>
      </w:r>
    </w:p>
    <w:p>
      <w:pPr>
        <w:spacing w:after="140" w:line="300"/>
        <w:ind w:left="480" w:hanging="480"/>
        <w:jc w:val="both"/>
      </w:pPr>
      <w:r>
        <w:rPr>
          <w:rFonts w:ascii="Times New Roman" w:cs="Times New Roman" w:eastAsia="Times New Roman" w:hAnsi="Times New Roman"/>
          <w:sz w:val="22"/>
          <w:szCs w:val="22"/>
        </w:rPr>
        <w:t xml:space="preserve">5G Enabled Agriculture Ecosystem: Food Supply Chain, Rural Development, and Climate Resilience. 2026.</w:t>
      </w:r>
    </w:p>
    <w:p>
      <w:pPr>
        <w:pStyle w:val="Heading3"/>
        <w:spacing w:after="140" w:before="260"/>
      </w:pPr>
      <w:r>
        <w:rPr>
          <w:rFonts w:ascii="Times New Roman" w:cs="Times New Roman" w:eastAsia="Times New Roman" w:hAnsi="Times New Roman"/>
          <w:b/>
          <w:bCs/>
          <w:sz w:val="24"/>
          <w:szCs w:val="24"/>
        </w:rPr>
        <w:t xml:space="preserve">Edge, fog and serverless computing</w:t>
      </w:r>
    </w:p>
    <w:p>
      <w:pPr>
        <w:spacing w:after="140" w:line="300"/>
        <w:ind w:left="480" w:hanging="480"/>
        <w:jc w:val="both"/>
      </w:pPr>
      <w:r>
        <w:rPr>
          <w:rFonts w:ascii="Times New Roman" w:cs="Times New Roman" w:eastAsia="Times New Roman" w:hAnsi="Times New Roman"/>
          <w:sz w:val="22"/>
          <w:szCs w:val="22"/>
        </w:rPr>
        <w:t xml:space="preserve">The computing continuum: Past, present, and future. Computer Science Review, vol. 58, 2025.</w:t>
      </w:r>
    </w:p>
    <w:p>
      <w:pPr>
        <w:spacing w:after="140" w:line="300"/>
        <w:ind w:left="480" w:hanging="480"/>
        <w:jc w:val="both"/>
      </w:pPr>
      <w:r>
        <w:rPr>
          <w:rFonts w:ascii="Times New Roman" w:cs="Times New Roman" w:eastAsia="Times New Roman" w:hAnsi="Times New Roman"/>
          <w:sz w:val="22"/>
          <w:szCs w:val="22"/>
        </w:rPr>
        <w:t xml:space="preserve">Contemporary advances in multi-access edge computing: A survey of fundamentals, architecture, technologies. Journal of Network and Computer Applications, vol. 248, 2026.</w:t>
      </w:r>
    </w:p>
    <w:p>
      <w:pPr>
        <w:spacing w:after="140" w:line="300"/>
        <w:ind w:left="480" w:hanging="480"/>
        <w:jc w:val="both"/>
      </w:pPr>
      <w:r>
        <w:rPr>
          <w:rFonts w:ascii="Times New Roman" w:cs="Times New Roman" w:eastAsia="Times New Roman" w:hAnsi="Times New Roman"/>
          <w:sz w:val="22"/>
          <w:szCs w:val="22"/>
        </w:rPr>
        <w:t xml:space="preserve">Microservices and serverless functions — lifecycle, performance, and resource utilisation of edge based systems. Future Generation Computer Systems, vol. 150, 2024.</w:t>
      </w:r>
    </w:p>
    <w:p>
      <w:pPr>
        <w:spacing w:after="140" w:line="300"/>
        <w:ind w:left="480" w:hanging="480"/>
        <w:jc w:val="both"/>
      </w:pPr>
      <w:r>
        <w:rPr>
          <w:rFonts w:ascii="Times New Roman" w:cs="Times New Roman" w:eastAsia="Times New Roman" w:hAnsi="Times New Roman"/>
          <w:sz w:val="22"/>
          <w:szCs w:val="22"/>
        </w:rPr>
        <w:t xml:space="preserve">Expanding the cloud-to-edge continuum to the IoT in serverless federated learning. Future Generation Computer Systems, vol. 155, 2024.</w:t>
      </w:r>
    </w:p>
    <w:p>
      <w:pPr>
        <w:spacing w:after="140" w:line="300"/>
        <w:ind w:left="480" w:hanging="480"/>
        <w:jc w:val="both"/>
      </w:pPr>
      <w:r>
        <w:rPr>
          <w:rFonts w:ascii="Times New Roman" w:cs="Times New Roman" w:eastAsia="Times New Roman" w:hAnsi="Times New Roman"/>
          <w:sz w:val="22"/>
          <w:szCs w:val="22"/>
        </w:rPr>
        <w:t xml:space="preserve">AI augmented Edge and Fog computing: Trends and challenges. Journal of Network and Computer Applications, vol. 216, 2023.</w:t>
      </w:r>
    </w:p>
    <w:p>
      <w:pPr>
        <w:spacing w:after="140" w:line="300"/>
        <w:ind w:left="480" w:hanging="480"/>
        <w:jc w:val="both"/>
      </w:pPr>
      <w:r>
        <w:rPr>
          <w:rFonts w:ascii="Times New Roman" w:cs="Times New Roman" w:eastAsia="Times New Roman" w:hAnsi="Times New Roman"/>
          <w:sz w:val="22"/>
          <w:szCs w:val="22"/>
        </w:rPr>
        <w:t xml:space="preserve">Edge-AI empowered Cyber-Physical Systems: A comprehensive review on performance analysis. Computer Science Review, vol. 58, 2025.</w:t>
      </w:r>
    </w:p>
    <w:p>
      <w:pPr>
        <w:spacing w:after="140" w:line="300"/>
        <w:ind w:left="480" w:hanging="480"/>
        <w:jc w:val="both"/>
      </w:pPr>
      <w:r>
        <w:rPr>
          <w:rFonts w:ascii="Times New Roman" w:cs="Times New Roman" w:eastAsia="Times New Roman" w:hAnsi="Times New Roman"/>
          <w:sz w:val="22"/>
          <w:szCs w:val="22"/>
        </w:rPr>
        <w:t xml:space="preserve">Revisiting workflow scheduling with the power of edge computing: Taxonomy, review, and open challenges. Computer Science Review, vol. 60, 2026.</w:t>
      </w:r>
    </w:p>
    <w:p>
      <w:pPr>
        <w:spacing w:after="140" w:line="300"/>
        <w:ind w:left="480" w:hanging="480"/>
        <w:jc w:val="both"/>
      </w:pPr>
      <w:r>
        <w:rPr>
          <w:rFonts w:ascii="Times New Roman" w:cs="Times New Roman" w:eastAsia="Times New Roman" w:hAnsi="Times New Roman"/>
          <w:sz w:val="22"/>
          <w:szCs w:val="22"/>
        </w:rPr>
        <w:t xml:space="preserve">Edge or Cloud Architecture: The Applicability of New Data Processing. 2025.</w:t>
      </w:r>
    </w:p>
    <w:p>
      <w:pPr>
        <w:spacing w:after="140" w:line="300"/>
        <w:ind w:left="480" w:hanging="480"/>
        <w:jc w:val="both"/>
      </w:pPr>
      <w:r>
        <w:rPr>
          <w:rFonts w:ascii="Times New Roman" w:cs="Times New Roman" w:eastAsia="Times New Roman" w:hAnsi="Times New Roman"/>
          <w:sz w:val="22"/>
          <w:szCs w:val="22"/>
        </w:rPr>
        <w:t xml:space="preserve">Serverless Blockchain-Enabled Architecture for IoT Societal Applications. IEEE, 2020.</w:t>
      </w:r>
    </w:p>
    <w:p>
      <w:pPr>
        <w:pStyle w:val="Heading3"/>
        <w:spacing w:after="140" w:before="260"/>
      </w:pPr>
      <w:r>
        <w:rPr>
          <w:rFonts w:ascii="Times New Roman" w:cs="Times New Roman" w:eastAsia="Times New Roman" w:hAnsi="Times New Roman"/>
          <w:b/>
          <w:bCs/>
          <w:sz w:val="24"/>
          <w:szCs w:val="24"/>
        </w:rPr>
        <w:t xml:space="preserve">Security, integrity and standards</w:t>
      </w:r>
    </w:p>
    <w:p>
      <w:pPr>
        <w:spacing w:after="140" w:line="300"/>
        <w:ind w:left="480" w:hanging="480"/>
        <w:jc w:val="both"/>
      </w:pPr>
      <w:r>
        <w:rPr>
          <w:rFonts w:ascii="Times New Roman" w:cs="Times New Roman" w:eastAsia="Times New Roman" w:hAnsi="Times New Roman"/>
          <w:sz w:val="22"/>
          <w:szCs w:val="22"/>
        </w:rPr>
        <w:t xml:space="preserve">Exploring the integration of edge computing and blockchain IoT: Principles, architectures, security, and applications. Journal of Network and Computer Applications, vol. 226, 2024.</w:t>
      </w:r>
    </w:p>
    <w:p>
      <w:pPr>
        <w:spacing w:after="140" w:line="300"/>
        <w:ind w:left="480" w:hanging="480"/>
        <w:jc w:val="both"/>
      </w:pPr>
      <w:r>
        <w:rPr>
          <w:rFonts w:ascii="Times New Roman" w:cs="Times New Roman" w:eastAsia="Times New Roman" w:hAnsi="Times New Roman"/>
          <w:sz w:val="22"/>
          <w:szCs w:val="22"/>
        </w:rPr>
        <w:t xml:space="preserve">Security and privacy of industrial big data: Motivation, opportunities, and challenges. Computer Science Review, vol. 58, 2025.</w:t>
      </w:r>
    </w:p>
    <w:p>
      <w:pPr>
        <w:spacing w:after="140" w:line="300"/>
        <w:ind w:left="480" w:hanging="480"/>
        <w:jc w:val="both"/>
      </w:pPr>
      <w:r>
        <w:rPr>
          <w:rFonts w:ascii="Times New Roman" w:cs="Times New Roman" w:eastAsia="Times New Roman" w:hAnsi="Times New Roman"/>
          <w:sz w:val="22"/>
          <w:szCs w:val="22"/>
        </w:rPr>
        <w:t xml:space="preserve">A multi-objectives framework for secure blockchain in fog–cloud network. Future Generation Computer Systems, vol. 155, 2024.</w:t>
      </w:r>
    </w:p>
    <w:p>
      <w:pPr>
        <w:spacing w:after="140" w:line="300"/>
        <w:ind w:left="480" w:hanging="480"/>
        <w:jc w:val="both"/>
      </w:pPr>
      <w:r>
        <w:rPr>
          <w:rFonts w:ascii="Times New Roman" w:cs="Times New Roman" w:eastAsia="Times New Roman" w:hAnsi="Times New Roman"/>
          <w:sz w:val="22"/>
          <w:szCs w:val="22"/>
        </w:rPr>
        <w:t xml:space="preserve">IEEE Std 2796-2024, IEEE Standard for Framework for the Internet of Food (IoF). IEEE, 2024.</w:t>
      </w:r>
    </w:p>
    <w:p>
      <w:pPr>
        <w:spacing w:after="140" w:line="300"/>
        <w:ind w:left="480" w:hanging="480"/>
        <w:jc w:val="both"/>
      </w:pPr>
      <w:r>
        <w:rPr>
          <w:rFonts w:ascii="Times New Roman" w:cs="Times New Roman" w:eastAsia="Times New Roman" w:hAnsi="Times New Roman"/>
          <w:sz w:val="22"/>
          <w:szCs w:val="22"/>
        </w:rPr>
        <w:t xml:space="preserve">IEEE Std 2992-2025, IEEE Recommended Practice for Data Expression, Exchange, and Processing in Smart Agriculture. IEEE, 2025.</w:t>
      </w:r>
    </w:p>
    <w:p>
      <w:pPr>
        <w:pStyle w:val="Heading3"/>
        <w:spacing w:after="140" w:before="260"/>
      </w:pPr>
      <w:r>
        <w:rPr>
          <w:rFonts w:ascii="Times New Roman" w:cs="Times New Roman" w:eastAsia="Times New Roman" w:hAnsi="Times New Roman"/>
          <w:b/>
          <w:bCs/>
          <w:sz w:val="24"/>
          <w:szCs w:val="24"/>
        </w:rPr>
        <w:t xml:space="preserve">Machine learning and forecasting</w:t>
      </w:r>
    </w:p>
    <w:p>
      <w:pPr>
        <w:spacing w:after="140" w:line="300"/>
        <w:ind w:left="480" w:hanging="480"/>
        <w:jc w:val="both"/>
      </w:pPr>
      <w:r>
        <w:rPr>
          <w:rFonts w:ascii="Times New Roman" w:cs="Times New Roman" w:eastAsia="Times New Roman" w:hAnsi="Times New Roman"/>
          <w:sz w:val="22"/>
          <w:szCs w:val="22"/>
        </w:rPr>
        <w:t xml:space="preserve">A survey on machine learning for streaming time series forecasting. Computer Science Review, vol. 62, 2026.</w:t>
      </w:r>
    </w:p>
    <w:p>
      <w:pPr>
        <w:spacing w:after="140" w:line="300"/>
        <w:ind w:left="480" w:hanging="480"/>
        <w:jc w:val="both"/>
      </w:pPr>
      <w:r>
        <w:rPr>
          <w:rFonts w:ascii="Times New Roman" w:cs="Times New Roman" w:eastAsia="Times New Roman" w:hAnsi="Times New Roman"/>
          <w:sz w:val="22"/>
          <w:szCs w:val="22"/>
        </w:rPr>
        <w:t xml:space="preserve">Explainable AI with SHAP for Data-Driven Growth Prediction in Smart Poultry Farming. 2025.</w:t>
      </w:r>
    </w:p>
    <w:p>
      <w:pPr>
        <w:spacing w:after="140" w:line="300"/>
        <w:ind w:left="480" w:hanging="480"/>
        <w:jc w:val="both"/>
      </w:pPr>
      <w:r>
        <w:rPr>
          <w:rFonts w:ascii="Times New Roman" w:cs="Times New Roman" w:eastAsia="Times New Roman" w:hAnsi="Times New Roman"/>
          <w:sz w:val="22"/>
          <w:szCs w:val="22"/>
        </w:rPr>
        <w:t xml:space="preserve">IoT based Poultry Farm Monitoring System with Deep Learning Techniques. 2026.</w:t>
      </w:r>
    </w:p>
    <w:p>
      <w:pPr>
        <w:spacing w:after="140" w:line="300"/>
        <w:ind w:left="480" w:hanging="480"/>
        <w:jc w:val="both"/>
      </w:pPr>
      <w:r>
        <w:rPr>
          <w:rFonts w:ascii="Times New Roman" w:cs="Times New Roman" w:eastAsia="Times New Roman" w:hAnsi="Times New Roman"/>
          <w:sz w:val="22"/>
          <w:szCs w:val="22"/>
        </w:rPr>
        <w:t xml:space="preserve">Intelligent Control Shed Poultry Farm System Incorporating With Machine Learning. 2024.</w:t>
      </w:r>
    </w:p>
    <w:p>
      <w:pPr>
        <w:spacing w:after="140" w:line="300"/>
        <w:ind w:left="480" w:hanging="480"/>
        <w:jc w:val="both"/>
      </w:pPr>
      <w:r>
        <w:rPr>
          <w:rFonts w:ascii="Times New Roman" w:cs="Times New Roman" w:eastAsia="Times New Roman" w:hAnsi="Times New Roman"/>
          <w:sz w:val="22"/>
          <w:szCs w:val="22"/>
        </w:rPr>
        <w:t xml:space="preserve">Optimizing Poultry Farming Through Environmental Data Analytics Using IoT and ERP Systems. 2026.</w:t>
      </w:r>
    </w:p>
    <w:p>
      <w:pPr>
        <w:spacing w:after="140" w:line="300"/>
        <w:ind w:left="480" w:hanging="480"/>
        <w:jc w:val="both"/>
      </w:pPr>
      <w:r>
        <w:rPr>
          <w:rFonts w:ascii="Times New Roman" w:cs="Times New Roman" w:eastAsia="Times New Roman" w:hAnsi="Times New Roman"/>
          <w:sz w:val="22"/>
          <w:szCs w:val="22"/>
        </w:rPr>
        <w:t xml:space="preserve">Data drift-resilient inference: Maintaining model integrity via lightweight distribution correction. Future Generation Computer Systems, vol. 184, 2026.</w:t>
      </w:r>
    </w:p>
    <w:p>
      <w:pPr>
        <w:spacing w:before="300"/>
      </w:pPr>
    </w:p>
    <w:p>
      <w:pPr>
        <w:spacing w:after="200" w:line="360"/>
        <w:jc w:val="both"/>
      </w:pPr>
      <w:r>
        <w:rPr>
          <w:rFonts w:ascii="Times New Roman" w:cs="Times New Roman" w:eastAsia="Times New Roman" w:hAnsi="Times New Roman"/>
          <w:color w:val="5A5A5A"/>
          <w:sz w:val="21"/>
          <w:szCs w:val="21"/>
        </w:rPr>
        <w:t xml:space="preserve">A further 30 sources from the corpus, addressing adjacent topics in IoT architecture, scheduling, networking and smart cities, were examined but are not cited above as they do not bear directly on the design decisions discussed in this chapter. They remain available in the project source collection.</w:t>
      </w:r>
    </w:p>
    <w:p>
      <w:r>
        <w:br w:type="page"/>
      </w:r>
    </w:p>
    <w:p>
      <w:r>
        <w:br w:type="page"/>
      </w:r>
    </w:p>
    <w:p>
      <w:pPr>
        <w:pStyle w:val="Heading1"/>
        <w:spacing w:after="260" w:before="400"/>
      </w:pPr>
      <w:r>
        <w:rPr>
          <w:rFonts w:ascii="Times New Roman" w:cs="Times New Roman" w:eastAsia="Times New Roman" w:hAnsi="Times New Roman"/>
          <w:b/>
          <w:bCs/>
          <w:sz w:val="32"/>
          <w:szCs w:val="32"/>
        </w:rPr>
        <w:t xml:space="preserve">CHAPTER 3: METHODOLOGY</w:t>
      </w:r>
    </w:p>
    <w:p>
      <w:pPr>
        <w:pStyle w:val="Heading2"/>
        <w:spacing w:after="180" w:before="320"/>
      </w:pPr>
      <w:r>
        <w:rPr>
          <w:rFonts w:ascii="Times New Roman" w:cs="Times New Roman" w:eastAsia="Times New Roman" w:hAnsi="Times New Roman"/>
          <w:b/>
          <w:bCs/>
          <w:sz w:val="26"/>
          <w:szCs w:val="26"/>
        </w:rPr>
        <w:t xml:space="preserve">3.1 Introduction</w:t>
      </w:r>
    </w:p>
    <w:p>
      <w:pPr>
        <w:spacing w:after="200" w:line="360"/>
        <w:jc w:val="both"/>
      </w:pPr>
      <w:r>
        <w:rPr>
          <w:rFonts w:ascii="Times New Roman" w:cs="Times New Roman" w:eastAsia="Times New Roman" w:hAnsi="Times New Roman"/>
          <w:color w:val="000000"/>
          <w:sz w:val="24"/>
          <w:szCs w:val="24"/>
        </w:rPr>
        <w:t xml:space="preserve">This chapter describes the development methodology adopted, the activities performed at each stage, and the milestones by which progress was tracked.</w:t>
      </w:r>
    </w:p>
    <w:p>
      <w:pPr>
        <w:pStyle w:val="Heading2"/>
        <w:spacing w:after="180" w:before="320"/>
      </w:pPr>
      <w:r>
        <w:rPr>
          <w:rFonts w:ascii="Times New Roman" w:cs="Times New Roman" w:eastAsia="Times New Roman" w:hAnsi="Times New Roman"/>
          <w:b/>
          <w:bCs/>
          <w:sz w:val="26"/>
          <w:szCs w:val="26"/>
        </w:rPr>
        <w:t xml:space="preserve">3.2 Methodology</w:t>
      </w:r>
    </w:p>
    <w:p>
      <w:pPr>
        <w:spacing w:after="200" w:line="360"/>
        <w:jc w:val="both"/>
      </w:pPr>
      <w:r>
        <w:rPr>
          <w:rFonts w:ascii="Times New Roman" w:cs="Times New Roman" w:eastAsia="Times New Roman" w:hAnsi="Times New Roman"/>
          <w:color w:val="000000"/>
          <w:sz w:val="24"/>
          <w:szCs w:val="24"/>
        </w:rPr>
        <w:t xml:space="preserve">The project followed an iterative prototyping methodology within the System Development Life Cycle. Iterative prototyping was selected over a linear waterfall approach for a specific reason: the project integrates physical hardware with cloud services, and several constraints in that integration could not be known in advance of implementation.</w:t>
      </w:r>
    </w:p>
    <w:p>
      <w:pPr>
        <w:spacing w:after="200" w:line="360"/>
        <w:jc w:val="both"/>
      </w:pPr>
      <w:r>
        <w:rPr>
          <w:rFonts w:ascii="Times New Roman" w:cs="Times New Roman" w:eastAsia="Times New Roman" w:hAnsi="Times New Roman"/>
          <w:color w:val="000000"/>
          <w:sz w:val="24"/>
          <w:szCs w:val="24"/>
        </w:rPr>
        <w:t xml:space="preserve">This proved correct in practice. Three constraints emerged only during construction: a platform limit on cryptographic iteration count that no documentation review would have surfaced, a browser policy governing credentials across domains, and the unavailability of a hardware peripheral while the wireless radio is active. Each required design revision. A methodology assuming requirements could be fixed before implementation would have absorbed these as defects rather than as expected iteration.</w:t>
      </w:r>
    </w:p>
    <w:p>
      <w:pPr>
        <w:pStyle w:val="Heading3"/>
        <w:spacing w:after="140" w:before="260"/>
      </w:pPr>
      <w:r>
        <w:rPr>
          <w:rFonts w:ascii="Times New Roman" w:cs="Times New Roman" w:eastAsia="Times New Roman" w:hAnsi="Times New Roman"/>
          <w:b/>
          <w:bCs/>
          <w:sz w:val="24"/>
          <w:szCs w:val="24"/>
        </w:rPr>
        <w:t xml:space="preserve">3.2.1 Overview of the System Development Life Cycle</w:t>
      </w:r>
    </w:p>
    <w:p>
      <w:pPr>
        <w:spacing w:after="200" w:line="360"/>
        <w:jc w:val="both"/>
      </w:pPr>
      <w:r>
        <w:rPr>
          <w:rFonts w:ascii="Times New Roman" w:cs="Times New Roman" w:eastAsia="Times New Roman" w:hAnsi="Times New Roman"/>
          <w:color w:val="000000"/>
          <w:sz w:val="24"/>
          <w:szCs w:val="24"/>
        </w:rPr>
        <w:t xml:space="preserve">The lifecycle comprised requirements analysis, analysis and design, prototype creation, evaluation, review and update, development, testing and maintenance. The middle stages were revisited on each iteration rather than completed once.</w:t>
      </w:r>
    </w:p>
    <w:p>
      <w:pPr>
        <w:pStyle w:val="Heading3"/>
        <w:spacing w:after="140" w:before="260"/>
      </w:pPr>
      <w:r>
        <w:rPr>
          <w:rFonts w:ascii="Times New Roman" w:cs="Times New Roman" w:eastAsia="Times New Roman" w:hAnsi="Times New Roman"/>
          <w:b/>
          <w:bCs/>
          <w:sz w:val="24"/>
          <w:szCs w:val="24"/>
        </w:rPr>
        <w:t xml:space="preserve">3.2.2 Requirements Analysis</w:t>
      </w:r>
    </w:p>
    <w:p>
      <w:pPr>
        <w:spacing w:after="200" w:line="360"/>
        <w:jc w:val="both"/>
      </w:pPr>
      <w:r>
        <w:rPr>
          <w:rFonts w:ascii="Times New Roman" w:cs="Times New Roman" w:eastAsia="Times New Roman" w:hAnsi="Times New Roman"/>
          <w:color w:val="000000"/>
          <w:sz w:val="24"/>
          <w:szCs w:val="24"/>
        </w:rPr>
        <w:t xml:space="preserve">Requirements were elicited from the project brief and refined into functional groupings: predictive analytics, hardware and edge integration, cloud architecture, alerting, platform features, and observability. Each requirement was recorded in a form permitting later verification, and traced through to a test case in Chapter 6.</w:t>
      </w:r>
    </w:p>
    <w:p>
      <w:pPr>
        <w:pStyle w:val="Heading3"/>
        <w:spacing w:after="140" w:before="260"/>
      </w:pPr>
      <w:r>
        <w:rPr>
          <w:rFonts w:ascii="Times New Roman" w:cs="Times New Roman" w:eastAsia="Times New Roman" w:hAnsi="Times New Roman"/>
          <w:b/>
          <w:bCs/>
          <w:sz w:val="24"/>
          <w:szCs w:val="24"/>
        </w:rPr>
        <w:t xml:space="preserve">3.2.3 Analysis and Design</w:t>
      </w:r>
    </w:p>
    <w:p>
      <w:pPr>
        <w:spacing w:after="200" w:line="360"/>
        <w:jc w:val="both"/>
      </w:pPr>
      <w:r>
        <w:rPr>
          <w:rFonts w:ascii="Times New Roman" w:cs="Times New Roman" w:eastAsia="Times New Roman" w:hAnsi="Times New Roman"/>
          <w:color w:val="000000"/>
          <w:sz w:val="24"/>
          <w:szCs w:val="24"/>
        </w:rPr>
        <w:t xml:space="preserve">System architecture, data model and interface design were produced during this stage. The architecture was revised once during the project: an initial design based on virtual machines, a load balancer and an auto-scaling group was replaced by distributed edge compute, on the grounds that removing the origin server eliminates a failure mode rather than mitigating it. Chapter 4 documents the resulting design.</w:t>
      </w:r>
    </w:p>
    <w:p>
      <w:pPr>
        <w:pStyle w:val="Heading3"/>
        <w:spacing w:after="140" w:before="260"/>
      </w:pPr>
      <w:r>
        <w:rPr>
          <w:rFonts w:ascii="Times New Roman" w:cs="Times New Roman" w:eastAsia="Times New Roman" w:hAnsi="Times New Roman"/>
          <w:b/>
          <w:bCs/>
          <w:sz w:val="24"/>
          <w:szCs w:val="24"/>
        </w:rPr>
        <w:t xml:space="preserve">3.2.4 Prototype Creation</w:t>
      </w:r>
    </w:p>
    <w:p>
      <w:pPr>
        <w:spacing w:after="200" w:line="360"/>
        <w:jc w:val="both"/>
      </w:pPr>
      <w:r>
        <w:rPr>
          <w:rFonts w:ascii="Times New Roman" w:cs="Times New Roman" w:eastAsia="Times New Roman" w:hAnsi="Times New Roman"/>
          <w:color w:val="000000"/>
          <w:sz w:val="24"/>
          <w:szCs w:val="24"/>
        </w:rPr>
        <w:t xml:space="preserve">Prototypes were constructed for each subsystem independently before integration: firmware sampling and signing, cloud ingestion and storage, the web interfaces, and the predictive component. Constructing them separately allowed each to be verified in isolation, so that failures during integration could be localised.</w:t>
      </w:r>
    </w:p>
    <w:p>
      <w:pPr>
        <w:pStyle w:val="Heading3"/>
        <w:spacing w:after="140" w:before="260"/>
      </w:pPr>
      <w:r>
        <w:rPr>
          <w:rFonts w:ascii="Times New Roman" w:cs="Times New Roman" w:eastAsia="Times New Roman" w:hAnsi="Times New Roman"/>
          <w:b/>
          <w:bCs/>
          <w:sz w:val="24"/>
          <w:szCs w:val="24"/>
        </w:rPr>
        <w:t xml:space="preserve">3.2.5 User Evaluation</w:t>
      </w:r>
    </w:p>
    <w:p>
      <w:pPr>
        <w:spacing w:after="200" w:line="360"/>
        <w:jc w:val="both"/>
      </w:pPr>
      <w:r>
        <w:rPr>
          <w:rFonts w:ascii="Times New Roman" w:cs="Times New Roman" w:eastAsia="Times New Roman" w:hAnsi="Times New Roman"/>
          <w:color w:val="000000"/>
          <w:sz w:val="24"/>
          <w:szCs w:val="24"/>
        </w:rPr>
        <w:t xml:space="preserve">Interface prototypes were reviewed against the intended interaction for each role. Evaluation produced two substantive changes: the administrative portal was made to refuse users lacking privilege rather than presenting a console whose panels silently failed, and the first-run experience was changed to detect an uninitialised system and offer administrator creation directly, rather than presenting a registration form that no user could yet satisfy.</w:t>
      </w:r>
    </w:p>
    <w:p>
      <w:pPr>
        <w:pStyle w:val="Heading3"/>
        <w:spacing w:after="140" w:before="260"/>
      </w:pPr>
      <w:r>
        <w:rPr>
          <w:rFonts w:ascii="Times New Roman" w:cs="Times New Roman" w:eastAsia="Times New Roman" w:hAnsi="Times New Roman"/>
          <w:b/>
          <w:bCs/>
          <w:sz w:val="24"/>
          <w:szCs w:val="24"/>
        </w:rPr>
        <w:t xml:space="preserve">3.2.6 Review and Update</w:t>
      </w:r>
    </w:p>
    <w:p>
      <w:pPr>
        <w:spacing w:after="200" w:line="360"/>
        <w:jc w:val="both"/>
      </w:pPr>
      <w:r>
        <w:rPr>
          <w:rFonts w:ascii="Times New Roman" w:cs="Times New Roman" w:eastAsia="Times New Roman" w:hAnsi="Times New Roman"/>
          <w:color w:val="000000"/>
          <w:sz w:val="24"/>
          <w:szCs w:val="24"/>
        </w:rPr>
        <w:t xml:space="preserve">Each iteration concluded with a review of implemented functionality against requirements. Where implementation revealed a constraint, the design was updated and the change recorded with its rationale in the version control history.</w:t>
      </w:r>
    </w:p>
    <w:p>
      <w:pPr>
        <w:pStyle w:val="Heading3"/>
        <w:spacing w:after="140" w:before="260"/>
      </w:pPr>
      <w:r>
        <w:rPr>
          <w:rFonts w:ascii="Times New Roman" w:cs="Times New Roman" w:eastAsia="Times New Roman" w:hAnsi="Times New Roman"/>
          <w:b/>
          <w:bCs/>
          <w:sz w:val="24"/>
          <w:szCs w:val="24"/>
        </w:rPr>
        <w:t xml:space="preserve">3.2.7 Development</w:t>
      </w:r>
    </w:p>
    <w:p>
      <w:pPr>
        <w:spacing w:after="200" w:line="360"/>
        <w:jc w:val="both"/>
      </w:pPr>
      <w:r>
        <w:rPr>
          <w:rFonts w:ascii="Times New Roman" w:cs="Times New Roman" w:eastAsia="Times New Roman" w:hAnsi="Times New Roman"/>
          <w:color w:val="000000"/>
          <w:sz w:val="24"/>
          <w:szCs w:val="24"/>
        </w:rPr>
        <w:t xml:space="preserve">Development proceeded subsystem by subsystem. Version control was maintained throughout, with continuous deployment configured so that committed changes reached the running system without manual intervention. Chapter 5 documents the configuration in detail.</w:t>
      </w:r>
    </w:p>
    <w:p>
      <w:pPr>
        <w:pStyle w:val="Heading3"/>
        <w:spacing w:after="140" w:before="260"/>
      </w:pPr>
      <w:r>
        <w:rPr>
          <w:rFonts w:ascii="Times New Roman" w:cs="Times New Roman" w:eastAsia="Times New Roman" w:hAnsi="Times New Roman"/>
          <w:b/>
          <w:bCs/>
          <w:sz w:val="24"/>
          <w:szCs w:val="24"/>
        </w:rPr>
        <w:t xml:space="preserve">3.2.8 Testing</w:t>
      </w:r>
    </w:p>
    <w:p>
      <w:pPr>
        <w:spacing w:after="200" w:line="360"/>
        <w:jc w:val="both"/>
      </w:pPr>
      <w:r>
        <w:rPr>
          <w:rFonts w:ascii="Times New Roman" w:cs="Times New Roman" w:eastAsia="Times New Roman" w:hAnsi="Times New Roman"/>
          <w:color w:val="000000"/>
          <w:sz w:val="24"/>
          <w:szCs w:val="24"/>
        </w:rPr>
        <w:t xml:space="preserve">Testing was performed continuously rather than as a terminal phase. Each subsystem was tested on completion and the full suite re-executed after every defect fix. Testing was conducted against the deployed runtime rather than a simulator, a decision vindicated when a defect was found that the simulator could not reproduce. Chapter 6 presents the results.</w:t>
      </w:r>
    </w:p>
    <w:p>
      <w:pPr>
        <w:pStyle w:val="Heading3"/>
        <w:spacing w:after="140" w:before="260"/>
      </w:pPr>
      <w:r>
        <w:rPr>
          <w:rFonts w:ascii="Times New Roman" w:cs="Times New Roman" w:eastAsia="Times New Roman" w:hAnsi="Times New Roman"/>
          <w:b/>
          <w:bCs/>
          <w:sz w:val="24"/>
          <w:szCs w:val="24"/>
        </w:rPr>
        <w:t xml:space="preserve">3.2.9 Maintenance</w:t>
      </w:r>
    </w:p>
    <w:p>
      <w:pPr>
        <w:spacing w:after="200" w:line="360"/>
        <w:jc w:val="both"/>
      </w:pPr>
      <w:r>
        <w:rPr>
          <w:rFonts w:ascii="Times New Roman" w:cs="Times New Roman" w:eastAsia="Times New Roman" w:hAnsi="Times New Roman"/>
          <w:color w:val="000000"/>
          <w:sz w:val="24"/>
          <w:szCs w:val="24"/>
        </w:rPr>
        <w:t xml:space="preserve">Maintenance provisions include a version endpoint reporting the running build, an availability probe recording uptime continuously, and structured logging of notification delivery. The database schema is versioned through migration files so that structural changes are reproducible.</w:t>
      </w:r>
    </w:p>
    <w:p>
      <w:pPr>
        <w:pStyle w:val="Heading2"/>
        <w:spacing w:after="180" w:before="320"/>
      </w:pPr>
      <w:r>
        <w:rPr>
          <w:rFonts w:ascii="Times New Roman" w:cs="Times New Roman" w:eastAsia="Times New Roman" w:hAnsi="Times New Roman"/>
          <w:b/>
          <w:bCs/>
          <w:sz w:val="26"/>
          <w:szCs w:val="26"/>
        </w:rPr>
        <w:t xml:space="preserve">3.3 Project Milestones</w:t>
      </w:r>
    </w:p>
    <w:p>
      <w:pPr>
        <w:spacing w:after="300" w:before="100"/>
        <w:jc w:val="center"/>
      </w:pPr>
      <w:r>
        <w:rPr>
          <w:rFonts w:ascii="Times New Roman" w:cs="Times New Roman" w:eastAsia="Times New Roman" w:hAnsi="Times New Roman"/>
          <w:b/>
          <w:bCs/>
          <w:sz w:val="21"/>
          <w:szCs w:val="21"/>
        </w:rPr>
        <w:t xml:space="preserve">TABLE 3.1: PROJECT MILESTONES</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700"/>
        <w:gridCol w:w="3200"/>
        <w:gridCol w:w="4500"/>
      </w:tblGrid>
      <w:tr>
        <w:trPr>
          <w:tblHeader/>
        </w:trPr>
        <w:tc>
          <w:tcPr>
            <w:tcW w:type="dxa" w:w="7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No.</w:t>
            </w:r>
          </w:p>
        </w:tc>
        <w:tc>
          <w:tcPr>
            <w:tcW w:type="dxa" w:w="32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Milestone</w:t>
            </w:r>
          </w:p>
        </w:tc>
        <w:tc>
          <w:tcPr>
            <w:tcW w:type="dxa" w:w="45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Deliverable</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M1</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Requirements analysis</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Requirement groupings with verification criteria</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M2</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Architecture design</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System architecture and data model</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M3</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Database implementation</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Schema, migrations, seed dataset</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M4</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Ingestion and API</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Signed ingestion endpoint and data services</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M5</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Authentication and access control</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Accounts, sessions, three roles</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M6</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Web interfaces</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Public, resident and administrative portals</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M7</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Alerting subsystem</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Thresholds, incidents, notification channels</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M8</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Edge firmware</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Sampling, signing, buffering, actuation</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M9</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Predictive component</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Forecasting model with fallback tiers</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M10</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Testing</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Test cases executed and defects resolved</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M11</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Hardware commissioning</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Physical node assembled and reporting</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M12</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Documentation</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Project report</w:t>
            </w:r>
          </w:p>
        </w:tc>
      </w:tr>
    </w:tbl>
    <w:p>
      <w:pPr>
        <w:pStyle w:val="Heading2"/>
        <w:spacing w:after="180" w:before="320"/>
      </w:pPr>
      <w:r>
        <w:rPr>
          <w:rFonts w:ascii="Times New Roman" w:cs="Times New Roman" w:eastAsia="Times New Roman" w:hAnsi="Times New Roman"/>
          <w:b/>
          <w:bCs/>
          <w:sz w:val="26"/>
          <w:szCs w:val="26"/>
        </w:rPr>
        <w:t xml:space="preserve">3.4 Conclusion</w:t>
      </w:r>
    </w:p>
    <w:p>
      <w:pPr>
        <w:spacing w:after="200" w:line="360"/>
        <w:jc w:val="both"/>
      </w:pPr>
      <w:r>
        <w:rPr>
          <w:rFonts w:ascii="Times New Roman" w:cs="Times New Roman" w:eastAsia="Times New Roman" w:hAnsi="Times New Roman"/>
          <w:color w:val="000000"/>
          <w:sz w:val="24"/>
          <w:szCs w:val="24"/>
        </w:rPr>
        <w:t xml:space="preserve">The iterative prototyping methodology suited a project whose constraints could not be fully established before implementation. Three platform limitations that emerged during construction were absorbed as design revisions rather than as failures, and each is documented with its resolution in Chapter 6.</w:t>
      </w:r>
    </w:p>
    <w:p>
      <w:r>
        <w:br w:type="page"/>
      </w:r>
    </w:p>
    <w:p>
      <w:pPr>
        <w:pStyle w:val="Heading1"/>
        <w:spacing w:after="260" w:before="400"/>
      </w:pPr>
      <w:r>
        <w:rPr>
          <w:rFonts w:ascii="Times New Roman" w:cs="Times New Roman" w:eastAsia="Times New Roman" w:hAnsi="Times New Roman"/>
          <w:b/>
          <w:bCs/>
          <w:sz w:val="32"/>
          <w:szCs w:val="32"/>
        </w:rPr>
        <w:t xml:space="preserve">CHAPTER 4: ANALYSIS AND INTERFACE DESIGN</w:t>
      </w:r>
    </w:p>
    <w:p>
      <w:pPr>
        <w:pStyle w:val="Heading2"/>
        <w:spacing w:after="180" w:before="320"/>
      </w:pPr>
      <w:r>
        <w:rPr>
          <w:rFonts w:ascii="Times New Roman" w:cs="Times New Roman" w:eastAsia="Times New Roman" w:hAnsi="Times New Roman"/>
          <w:b/>
          <w:bCs/>
          <w:sz w:val="26"/>
          <w:szCs w:val="26"/>
        </w:rPr>
        <w:t xml:space="preserve">4.1 Introduction</w:t>
      </w:r>
    </w:p>
    <w:p>
      <w:pPr>
        <w:spacing w:after="200" w:line="360"/>
        <w:jc w:val="both"/>
      </w:pPr>
      <w:r>
        <w:rPr>
          <w:rFonts w:ascii="Times New Roman" w:cs="Times New Roman" w:eastAsia="Times New Roman" w:hAnsi="Times New Roman"/>
          <w:color w:val="000000"/>
          <w:sz w:val="24"/>
          <w:szCs w:val="24"/>
        </w:rPr>
        <w:t xml:space="preserve">This chapter presents the analysis underlying the system design, the resulting architecture, the processing flow, and the design of the user interfaces.</w:t>
      </w:r>
    </w:p>
    <w:p>
      <w:pPr>
        <w:pStyle w:val="Heading2"/>
        <w:spacing w:after="180" w:before="320"/>
      </w:pPr>
      <w:r>
        <w:rPr>
          <w:rFonts w:ascii="Times New Roman" w:cs="Times New Roman" w:eastAsia="Times New Roman" w:hAnsi="Times New Roman"/>
          <w:b/>
          <w:bCs/>
          <w:sz w:val="26"/>
          <w:szCs w:val="26"/>
        </w:rPr>
        <w:t xml:space="preserve">4.2 Problem Analysis</w:t>
      </w:r>
    </w:p>
    <w:p>
      <w:pPr>
        <w:spacing w:after="200" w:line="360"/>
        <w:jc w:val="both"/>
      </w:pPr>
      <w:r>
        <w:rPr>
          <w:rFonts w:ascii="Times New Roman" w:cs="Times New Roman" w:eastAsia="Times New Roman" w:hAnsi="Times New Roman"/>
          <w:color w:val="000000"/>
          <w:sz w:val="24"/>
          <w:szCs w:val="24"/>
        </w:rPr>
        <w:t xml:space="preserve">Analysis of the problem statements identified four properties the system must possess.</w:t>
      </w:r>
    </w:p>
    <w:p>
      <w:pPr>
        <w:pStyle w:val="ListParagraph"/>
        <w:numPr>
          <w:ilvl w:val="0"/>
          <w:numId w:val="5"/>
        </w:numPr>
        <w:spacing w:after="140" w:line="340"/>
        <w:jc w:val="both"/>
      </w:pPr>
      <w:r>
        <w:rPr>
          <w:rFonts w:ascii="Times New Roman" w:cs="Times New Roman" w:eastAsia="Times New Roman" w:hAnsi="Times New Roman"/>
          <w:b/>
          <w:bCs/>
          <w:sz w:val="24"/>
          <w:szCs w:val="24"/>
        </w:rPr>
        <w:t xml:space="preserve">Verifiable provenance: </w:t>
      </w:r>
      <w:r>
        <w:rPr>
          <w:rFonts w:ascii="Times New Roman" w:cs="Times New Roman" w:eastAsia="Times New Roman" w:hAnsi="Times New Roman"/>
          <w:sz w:val="24"/>
          <w:szCs w:val="24"/>
        </w:rPr>
        <w:t xml:space="preserve">a reading must be attributable to specific hardware. If environmental data may be contested, a value that could have originated from any party holding a shared credential has limited evidential weight. This requirement led to message-level signing rather than bearer authentication.</w:t>
      </w:r>
    </w:p>
    <w:p>
      <w:pPr>
        <w:pStyle w:val="ListParagraph"/>
        <w:numPr>
          <w:ilvl w:val="0"/>
          <w:numId w:val="5"/>
        </w:numPr>
        <w:spacing w:after="140" w:line="340"/>
        <w:jc w:val="both"/>
      </w:pPr>
      <w:r>
        <w:rPr>
          <w:rFonts w:ascii="Times New Roman" w:cs="Times New Roman" w:eastAsia="Times New Roman" w:hAnsi="Times New Roman"/>
          <w:b/>
          <w:bCs/>
          <w:sz w:val="24"/>
          <w:szCs w:val="24"/>
        </w:rPr>
        <w:t xml:space="preserve">Continuity under failure: </w:t>
      </w:r>
      <w:r>
        <w:rPr>
          <w:rFonts w:ascii="Times New Roman" w:cs="Times New Roman" w:eastAsia="Times New Roman" w:hAnsi="Times New Roman"/>
          <w:sz w:val="24"/>
          <w:szCs w:val="24"/>
        </w:rPr>
        <w:t xml:space="preserve">measurement must not stop when the network does. A node that discards readings during an outage produces gaps, and outages are not independent of the conditions being measured. This requirement led to local buffering with sequence numbering.</w:t>
      </w:r>
    </w:p>
    <w:p>
      <w:pPr>
        <w:pStyle w:val="ListParagraph"/>
        <w:numPr>
          <w:ilvl w:val="0"/>
          <w:numId w:val="5"/>
        </w:numPr>
        <w:spacing w:after="140" w:line="340"/>
        <w:jc w:val="both"/>
      </w:pPr>
      <w:r>
        <w:rPr>
          <w:rFonts w:ascii="Times New Roman" w:cs="Times New Roman" w:eastAsia="Times New Roman" w:hAnsi="Times New Roman"/>
          <w:b/>
          <w:bCs/>
          <w:sz w:val="24"/>
          <w:szCs w:val="24"/>
        </w:rPr>
        <w:t xml:space="preserve">Autonomous response: </w:t>
      </w:r>
      <w:r>
        <w:rPr>
          <w:rFonts w:ascii="Times New Roman" w:cs="Times New Roman" w:eastAsia="Times New Roman" w:hAnsi="Times New Roman"/>
          <w:sz w:val="24"/>
          <w:szCs w:val="24"/>
        </w:rPr>
        <w:t xml:space="preserve">a hazardous condition must produce a response without waiting for a person. This requirement led to autonomous actuation decided on the node, so that ventilation responds even when connectivity is lost.</w:t>
      </w:r>
    </w:p>
    <w:p>
      <w:pPr>
        <w:pStyle w:val="ListParagraph"/>
        <w:numPr>
          <w:ilvl w:val="0"/>
          <w:numId w:val="5"/>
        </w:numPr>
        <w:spacing w:after="140" w:line="340"/>
        <w:jc w:val="both"/>
      </w:pPr>
      <w:r>
        <w:rPr>
          <w:rFonts w:ascii="Times New Roman" w:cs="Times New Roman" w:eastAsia="Times New Roman" w:hAnsi="Times New Roman"/>
          <w:b/>
          <w:bCs/>
          <w:sz w:val="24"/>
          <w:szCs w:val="24"/>
        </w:rPr>
        <w:t xml:space="preserve">Measurable reliability: </w:t>
      </w:r>
      <w:r>
        <w:rPr>
          <w:rFonts w:ascii="Times New Roman" w:cs="Times New Roman" w:eastAsia="Times New Roman" w:hAnsi="Times New Roman"/>
          <w:sz w:val="24"/>
          <w:szCs w:val="24"/>
        </w:rPr>
        <w:t xml:space="preserve">availability must be recorded rather than assumed. This requirement led to a probe writing observations to persistent storage at fixed intervals.</w:t>
      </w:r>
    </w:p>
    <w:p>
      <w:pPr>
        <w:pStyle w:val="Heading2"/>
        <w:spacing w:after="180" w:before="320"/>
      </w:pPr>
      <w:r>
        <w:rPr>
          <w:rFonts w:ascii="Times New Roman" w:cs="Times New Roman" w:eastAsia="Times New Roman" w:hAnsi="Times New Roman"/>
          <w:b/>
          <w:bCs/>
          <w:sz w:val="26"/>
          <w:szCs w:val="26"/>
        </w:rPr>
        <w:t xml:space="preserve">4.3 System Architecture</w:t>
      </w:r>
    </w:p>
    <w:p>
      <w:pPr>
        <w:spacing w:after="200" w:line="360"/>
        <w:jc w:val="both"/>
      </w:pPr>
      <w:r>
        <w:rPr>
          <w:rFonts w:ascii="Times New Roman" w:cs="Times New Roman" w:eastAsia="Times New Roman" w:hAnsi="Times New Roman"/>
          <w:color w:val="000000"/>
          <w:sz w:val="24"/>
          <w:szCs w:val="24"/>
        </w:rPr>
        <w:t xml:space="preserve">The system comprises four layers.</w:t>
      </w:r>
    </w:p>
    <w:p>
      <w:pPr>
        <w:spacing w:after="300" w:before="100"/>
        <w:jc w:val="center"/>
      </w:pPr>
      <w:r>
        <w:rPr>
          <w:rFonts w:ascii="Times New Roman" w:cs="Times New Roman" w:eastAsia="Times New Roman" w:hAnsi="Times New Roman"/>
          <w:b/>
          <w:bCs/>
          <w:sz w:val="21"/>
          <w:szCs w:val="21"/>
        </w:rPr>
        <w:t xml:space="preserve">TABLE 4.1: SYSTEM ARCHITECTURE LAYERS</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1700"/>
        <w:gridCol w:w="3100"/>
        <w:gridCol w:w="3600"/>
      </w:tblGrid>
      <w:tr>
        <w:trPr>
          <w:tblHeader/>
        </w:trPr>
        <w:tc>
          <w:tcPr>
            <w:tcW w:type="dxa" w:w="17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Layer</w:t>
            </w:r>
          </w:p>
        </w:tc>
        <w:tc>
          <w:tcPr>
            <w:tcW w:type="dxa" w:w="31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Components</w:t>
            </w:r>
          </w:p>
        </w:tc>
        <w:tc>
          <w:tcPr>
            <w:tcW w:type="dxa" w:w="36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Responsibility</w:t>
            </w:r>
          </w:p>
        </w:tc>
      </w:tr>
      <w:tr>
        <w:tc>
          <w:tcPr>
            <w:tcW w:type="dxa" w:w="1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Edge</w:t>
            </w:r>
          </w:p>
        </w:tc>
        <w:tc>
          <w:tcPr>
            <w:tcW w:type="dxa" w:w="31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ESP32 node, gas and climate sensors, relay</w:t>
            </w:r>
          </w:p>
        </w:tc>
        <w:tc>
          <w:tcPr>
            <w:tcW w:type="dxa" w:w="3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Sampling, signing, buffering, local actuation</w:t>
            </w:r>
          </w:p>
        </w:tc>
      </w:tr>
      <w:tr>
        <w:tc>
          <w:tcPr>
            <w:tcW w:type="dxa" w:w="1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Compute and storage</w:t>
            </w:r>
          </w:p>
        </w:tc>
        <w:tc>
          <w:tcPr>
            <w:tcW w:type="dxa" w:w="31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Edge functions, database, object storage, key-value store</w:t>
            </w:r>
          </w:p>
        </w:tc>
        <w:tc>
          <w:tcPr>
            <w:tcW w:type="dxa" w:w="3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Verification, persistence, evaluation, notification</w:t>
            </w:r>
          </w:p>
        </w:tc>
      </w:tr>
      <w:tr>
        <w:tc>
          <w:tcPr>
            <w:tcW w:type="dxa" w:w="1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Presentation</w:t>
            </w:r>
          </w:p>
        </w:tc>
        <w:tc>
          <w:tcPr>
            <w:tcW w:type="dxa" w:w="31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Public view, resident portal, administrative portal</w:t>
            </w:r>
          </w:p>
        </w:tc>
        <w:tc>
          <w:tcPr>
            <w:tcW w:type="dxa" w:w="3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Visualisation, historical query, administration</w:t>
            </w:r>
          </w:p>
        </w:tc>
      </w:tr>
      <w:tr>
        <w:tc>
          <w:tcPr>
            <w:tcW w:type="dxa" w:w="1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Analytical</w:t>
            </w:r>
          </w:p>
        </w:tc>
        <w:tc>
          <w:tcPr>
            <w:tcW w:type="dxa" w:w="31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Compute sidecar</w:t>
            </w:r>
          </w:p>
        </w:tc>
        <w:tc>
          <w:tcPr>
            <w:tcW w:type="dxa" w:w="3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Forecasting, compliance report generation</w:t>
            </w:r>
          </w:p>
        </w:tc>
      </w:tr>
    </w:tbl>
    <w:p>
      <w:pPr>
        <w:spacing w:after="200" w:line="360"/>
        <w:jc w:val="both"/>
      </w:pPr>
      <w:r>
        <w:rPr>
          <w:rFonts w:ascii="Times New Roman" w:cs="Times New Roman" w:eastAsia="Times New Roman" w:hAnsi="Times New Roman"/>
          <w:color w:val="000000"/>
          <w:sz w:val="24"/>
          <w:szCs w:val="24"/>
        </w:rPr>
        <w:t xml:space="preserve">Data flows as follows:</w:t>
      </w:r>
    </w:p>
    <w:p>
      <w:pPr>
        <w:shd w:fill="F2F2F2" w:val="clear"/>
        <w:spacing w:after="80"/>
      </w:pPr>
      <w:r>
        <w:rPr>
          <w:rFonts w:ascii="Courier New" w:cs="Courier New" w:eastAsia="Courier New" w:hAnsi="Courier New"/>
          <w:sz w:val="19"/>
          <w:szCs w:val="19"/>
        </w:rPr>
        <w:t xml:space="preserve">Sensor node  --HTTPS+HMAC--&gt;  Edge function  --&gt;  Database</w:t>
      </w:r>
    </w:p>
    <w:p>
      <w:pPr>
        <w:shd w:fill="F2F2F2" w:val="clear"/>
        <w:spacing w:after="80"/>
      </w:pPr>
      <w:r>
        <w:rPr>
          <w:rFonts w:ascii="Courier New" w:cs="Courier New" w:eastAsia="Courier New" w:hAnsi="Courier New"/>
          <w:sz w:val="19"/>
          <w:szCs w:val="19"/>
        </w:rPr>
        <w:t xml:space="preserve">                                    |</w:t>
      </w:r>
    </w:p>
    <w:p>
      <w:pPr>
        <w:shd w:fill="F2F2F2" w:val="clear"/>
        <w:spacing w:after="80"/>
      </w:pPr>
      <w:r>
        <w:rPr>
          <w:rFonts w:ascii="Courier New" w:cs="Courier New" w:eastAsia="Courier New" w:hAnsi="Courier New"/>
          <w:sz w:val="19"/>
          <w:szCs w:val="19"/>
        </w:rPr>
        <w:t xml:space="preserve">                                    +--&gt; Object storage (raw archive)</w:t>
      </w:r>
    </w:p>
    <w:p>
      <w:pPr>
        <w:shd w:fill="F2F2F2" w:val="clear"/>
        <w:spacing w:after="80"/>
      </w:pPr>
      <w:r>
        <w:rPr>
          <w:rFonts w:ascii="Courier New" w:cs="Courier New" w:eastAsia="Courier New" w:hAnsi="Courier New"/>
          <w:sz w:val="19"/>
          <w:szCs w:val="19"/>
        </w:rPr>
        <w:t xml:space="preserve">                                    +--&gt; Threshold evaluation --&gt; Incident</w:t>
      </w:r>
    </w:p>
    <w:p>
      <w:pPr>
        <w:shd w:fill="F2F2F2" w:val="clear"/>
        <w:spacing w:after="80"/>
      </w:pPr>
      <w:r>
        <w:rPr>
          <w:rFonts w:ascii="Courier New" w:cs="Courier New" w:eastAsia="Courier New" w:hAnsi="Courier New"/>
          <w:sz w:val="19"/>
          <w:szCs w:val="19"/>
        </w:rPr>
        <w:t xml:space="preserve">                                    |                              |</w:t>
      </w:r>
    </w:p>
    <w:p>
      <w:pPr>
        <w:shd w:fill="F2F2F2" w:val="clear"/>
        <w:spacing w:after="80"/>
      </w:pPr>
      <w:r>
        <w:rPr>
          <w:rFonts w:ascii="Courier New" w:cs="Courier New" w:eastAsia="Courier New" w:hAnsi="Courier New"/>
          <w:sz w:val="19"/>
          <w:szCs w:val="19"/>
        </w:rPr>
        <w:t xml:space="preserve">                                    |                              +--&gt; Telegram</w:t>
      </w:r>
    </w:p>
    <w:p>
      <w:pPr>
        <w:shd w:fill="F2F2F2" w:val="clear"/>
        <w:spacing w:after="80"/>
      </w:pPr>
      <w:r>
        <w:rPr>
          <w:rFonts w:ascii="Courier New" w:cs="Courier New" w:eastAsia="Courier New" w:hAnsi="Courier New"/>
          <w:sz w:val="19"/>
          <w:szCs w:val="19"/>
        </w:rPr>
        <w:t xml:space="preserve">                                    |                              +--&gt; Email</w:t>
      </w:r>
    </w:p>
    <w:p>
      <w:pPr>
        <w:shd w:fill="F2F2F2" w:val="clear"/>
        <w:spacing w:after="80"/>
      </w:pPr>
      <w:r>
        <w:rPr>
          <w:rFonts w:ascii="Courier New" w:cs="Courier New" w:eastAsia="Courier New" w:hAnsi="Courier New"/>
          <w:sz w:val="19"/>
          <w:szCs w:val="19"/>
        </w:rPr>
        <w:t xml:space="preserve">                                    +--&gt; Portals (public / resident / admin)</w:t>
      </w:r>
    </w:p>
    <w:p>
      <w:pPr>
        <w:spacing w:after="200" w:line="360"/>
        <w:jc w:val="both"/>
      </w:pPr>
      <w:r>
        <w:rPr>
          <w:rFonts w:ascii="Times New Roman" w:cs="Times New Roman" w:eastAsia="Times New Roman" w:hAnsi="Times New Roman"/>
          <w:color w:val="000000"/>
          <w:sz w:val="24"/>
          <w:szCs w:val="24"/>
        </w:rPr>
        <w:t xml:space="preserve">The raw payload is written to object storage before it is parsed. If a later schema change renders a stored record incorrect, the original bytes remain recoverable.</w:t>
      </w:r>
    </w:p>
    <w:p>
      <w:pPr>
        <w:spacing w:after="200" w:line="360"/>
        <w:jc w:val="both"/>
      </w:pPr>
      <w:r>
        <w:rPr>
          <w:rFonts w:ascii="Times New Roman" w:cs="Times New Roman" w:eastAsia="Times New Roman" w:hAnsi="Times New Roman"/>
          <w:color w:val="000000"/>
          <w:sz w:val="24"/>
          <w:szCs w:val="24"/>
        </w:rPr>
        <w:t xml:space="preserve">The analytical layer is deliberately not on the critical path. If the compute sidecar is unavailable, forecasts become stale and report generation fails, while ingestion, evaluation, alerting and all three portals continue to function.</w:t>
      </w:r>
    </w:p>
    <w:p>
      <w:pPr>
        <w:pStyle w:val="Heading2"/>
        <w:spacing w:after="180" w:before="320"/>
      </w:pPr>
      <w:r>
        <w:rPr>
          <w:rFonts w:ascii="Times New Roman" w:cs="Times New Roman" w:eastAsia="Times New Roman" w:hAnsi="Times New Roman"/>
          <w:b/>
          <w:bCs/>
          <w:sz w:val="26"/>
          <w:szCs w:val="26"/>
        </w:rPr>
        <w:t xml:space="preserve">4.4 Flow Chart of the System</w:t>
      </w:r>
    </w:p>
    <w:p>
      <w:pPr>
        <w:spacing w:after="200" w:line="360"/>
        <w:jc w:val="both"/>
      </w:pPr>
      <w:r>
        <w:rPr>
          <w:rFonts w:ascii="Times New Roman" w:cs="Times New Roman" w:eastAsia="Times New Roman" w:hAnsi="Times New Roman"/>
          <w:color w:val="000000"/>
          <w:sz w:val="24"/>
          <w:szCs w:val="24"/>
        </w:rPr>
        <w:t xml:space="preserve">The principal processing sequence is as follows.</w:t>
      </w:r>
    </w:p>
    <w:p>
      <w:pPr>
        <w:pStyle w:val="ListParagraph"/>
        <w:numPr>
          <w:ilvl w:val="0"/>
          <w:numId w:val="6"/>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The node samples all sensors and computes a local severity index.</w:t>
      </w:r>
    </w:p>
    <w:p>
      <w:pPr>
        <w:pStyle w:val="ListParagraph"/>
        <w:numPr>
          <w:ilvl w:val="0"/>
          <w:numId w:val="6"/>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If the index exceeds the actuation threshold, the exhaust relay engages. This decision is local and does not depend on network availability.</w:t>
      </w:r>
    </w:p>
    <w:p>
      <w:pPr>
        <w:pStyle w:val="ListParagraph"/>
        <w:numPr>
          <w:ilvl w:val="0"/>
          <w:numId w:val="6"/>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The node constructs a payload, signs it, and attempts transmission.</w:t>
      </w:r>
    </w:p>
    <w:p>
      <w:pPr>
        <w:pStyle w:val="ListParagraph"/>
        <w:numPr>
          <w:ilvl w:val="0"/>
          <w:numId w:val="6"/>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If transmission fails, the reading is placed in the local buffer with a sequence number and the loop continues.</w:t>
      </w:r>
    </w:p>
    <w:p>
      <w:pPr>
        <w:pStyle w:val="ListParagraph"/>
        <w:numPr>
          <w:ilvl w:val="0"/>
          <w:numId w:val="6"/>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On receipt, the edge function verifies the signature in constant time. An invalid signature is rejected and nothing is stored.</w:t>
      </w:r>
    </w:p>
    <w:p>
      <w:pPr>
        <w:pStyle w:val="ListParagraph"/>
        <w:numPr>
          <w:ilvl w:val="0"/>
          <w:numId w:val="6"/>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The raw body is archived to object storage.</w:t>
      </w:r>
    </w:p>
    <w:p>
      <w:pPr>
        <w:pStyle w:val="ListParagraph"/>
        <w:numPr>
          <w:ilvl w:val="0"/>
          <w:numId w:val="6"/>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The reading is written to the database. A duplicate sequence number from a replayed buffer is discarded by the uniqueness constraint.</w:t>
      </w:r>
    </w:p>
    <w:p>
      <w:pPr>
        <w:pStyle w:val="ListParagraph"/>
        <w:numPr>
          <w:ilvl w:val="0"/>
          <w:numId w:val="6"/>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The reading is evaluated against configured thresholds. A breach opens an incident, subject to a rate limit of one per zone per cooldown period.</w:t>
      </w:r>
    </w:p>
    <w:p>
      <w:pPr>
        <w:pStyle w:val="ListParagraph"/>
        <w:numPr>
          <w:ilvl w:val="0"/>
          <w:numId w:val="6"/>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An incident triggers notification through the configured channels.</w:t>
      </w:r>
    </w:p>
    <w:p>
      <w:pPr>
        <w:pStyle w:val="ListParagraph"/>
        <w:numPr>
          <w:ilvl w:val="0"/>
          <w:numId w:val="6"/>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Portals reflect the updated state on their next poll.</w:t>
      </w:r>
    </w:p>
    <w:p>
      <w:pPr>
        <w:pStyle w:val="Heading2"/>
        <w:spacing w:after="180" w:before="320"/>
      </w:pPr>
      <w:r>
        <w:rPr>
          <w:rFonts w:ascii="Times New Roman" w:cs="Times New Roman" w:eastAsia="Times New Roman" w:hAnsi="Times New Roman"/>
          <w:b/>
          <w:bCs/>
          <w:sz w:val="26"/>
          <w:szCs w:val="26"/>
        </w:rPr>
        <w:t xml:space="preserve">4.5 User Interface Design</w:t>
      </w:r>
    </w:p>
    <w:p>
      <w:pPr>
        <w:spacing w:after="200" w:line="360"/>
        <w:jc w:val="both"/>
      </w:pPr>
      <w:r>
        <w:rPr>
          <w:rFonts w:ascii="Times New Roman" w:cs="Times New Roman" w:eastAsia="Times New Roman" w:hAnsi="Times New Roman"/>
          <w:color w:val="000000"/>
          <w:sz w:val="24"/>
          <w:szCs w:val="24"/>
        </w:rPr>
        <w:t xml:space="preserve">Three interfaces were designed, separated by the privilege they require rather than by the data they present.</w:t>
      </w:r>
    </w:p>
    <w:p>
      <w:pPr>
        <w:pStyle w:val="Heading3"/>
        <w:spacing w:after="140" w:before="260"/>
      </w:pPr>
      <w:r>
        <w:rPr>
          <w:rFonts w:ascii="Times New Roman" w:cs="Times New Roman" w:eastAsia="Times New Roman" w:hAnsi="Times New Roman"/>
          <w:b/>
          <w:bCs/>
          <w:sz w:val="24"/>
          <w:szCs w:val="24"/>
        </w:rPr>
        <w:t xml:space="preserve">4.5.1 Public View</w:t>
      </w:r>
    </w:p>
    <w:p>
      <w:pPr>
        <w:spacing w:after="200" w:line="360"/>
        <w:jc w:val="both"/>
      </w:pPr>
      <w:r>
        <w:rPr>
          <w:rFonts w:ascii="Times New Roman" w:cs="Times New Roman" w:eastAsia="Times New Roman" w:hAnsi="Times New Roman"/>
          <w:color w:val="000000"/>
          <w:sz w:val="24"/>
          <w:szCs w:val="24"/>
        </w:rPr>
        <w:t xml:space="preserve">Accessible without an account. Presents the current campus reading, the status of each station, a map of station positions, and any active advisories. Air quality in a shared environment is information residents have a reasonable interest in, and requiring authentication to view it would serve no protective purpose.</w:t>
      </w:r>
    </w:p>
    <w:p>
      <w:pPr>
        <w:pStyle w:val="Heading3"/>
        <w:spacing w:after="140" w:before="260"/>
      </w:pPr>
      <w:r>
        <w:rPr>
          <w:rFonts w:ascii="Times New Roman" w:cs="Times New Roman" w:eastAsia="Times New Roman" w:hAnsi="Times New Roman"/>
          <w:b/>
          <w:bCs/>
          <w:sz w:val="24"/>
          <w:szCs w:val="24"/>
        </w:rPr>
        <w:t xml:space="preserve">4.5.2 Resident Portal</w:t>
      </w:r>
    </w:p>
    <w:p>
      <w:pPr>
        <w:spacing w:after="200" w:line="360"/>
        <w:jc w:val="both"/>
      </w:pPr>
      <w:r>
        <w:rPr>
          <w:rFonts w:ascii="Times New Roman" w:cs="Times New Roman" w:eastAsia="Times New Roman" w:hAnsi="Times New Roman"/>
          <w:color w:val="000000"/>
          <w:sz w:val="24"/>
          <w:szCs w:val="24"/>
        </w:rPr>
        <w:t xml:space="preserve">Requires an account. Adds a selectable home zone, historical querying with export, notification preferences, and the ability to submit an observed odour report. Community reports are stored separately from sensor readings: a human observation is not a measurement, and merging the two would corrupt both the charts and the compliance record.</w:t>
      </w:r>
    </w:p>
    <w:p>
      <w:pPr>
        <w:pStyle w:val="Heading3"/>
        <w:spacing w:after="140" w:before="260"/>
      </w:pPr>
      <w:r>
        <w:rPr>
          <w:rFonts w:ascii="Times New Roman" w:cs="Times New Roman" w:eastAsia="Times New Roman" w:hAnsi="Times New Roman"/>
          <w:b/>
          <w:bCs/>
          <w:sz w:val="24"/>
          <w:szCs w:val="24"/>
        </w:rPr>
        <w:t xml:space="preserve">4.5.3 Administrative Portal</w:t>
      </w:r>
    </w:p>
    <w:p>
      <w:pPr>
        <w:spacing w:after="200" w:line="360"/>
        <w:jc w:val="both"/>
      </w:pPr>
      <w:r>
        <w:rPr>
          <w:rFonts w:ascii="Times New Roman" w:cs="Times New Roman" w:eastAsia="Times New Roman" w:hAnsi="Times New Roman"/>
          <w:color w:val="000000"/>
          <w:sz w:val="24"/>
          <w:szCs w:val="24"/>
        </w:rPr>
        <w:t xml:space="preserve">Requires the administrator or facility role. Provides live telemetry, historical reporting, the predictive view, threshold calibration, incident management and user administration. A user lacking privilege is refused at entry and directed to the resident portal.</w:t>
      </w:r>
    </w:p>
    <w:p>
      <w:pPr>
        <w:pStyle w:val="Heading3"/>
        <w:spacing w:after="140" w:before="260"/>
      </w:pPr>
      <w:r>
        <w:rPr>
          <w:rFonts w:ascii="Times New Roman" w:cs="Times New Roman" w:eastAsia="Times New Roman" w:hAnsi="Times New Roman"/>
          <w:b/>
          <w:bCs/>
          <w:sz w:val="24"/>
          <w:szCs w:val="24"/>
        </w:rPr>
        <w:t xml:space="preserve">4.5.4 Design principles</w:t>
      </w:r>
    </w:p>
    <w:p>
      <w:pPr>
        <w:pStyle w:val="ListParagraph"/>
        <w:numPr>
          <w:ilvl w:val="0"/>
          <w:numId w:val="7"/>
        </w:numPr>
        <w:spacing w:after="140" w:line="340"/>
        <w:jc w:val="both"/>
      </w:pPr>
      <w:r>
        <w:rPr>
          <w:rFonts w:ascii="Times New Roman" w:cs="Times New Roman" w:eastAsia="Times New Roman" w:hAnsi="Times New Roman"/>
          <w:b/>
          <w:bCs/>
          <w:sz w:val="24"/>
          <w:szCs w:val="24"/>
        </w:rPr>
        <w:t xml:space="preserve">Colour as information: </w:t>
      </w:r>
      <w:r>
        <w:rPr>
          <w:rFonts w:ascii="Times New Roman" w:cs="Times New Roman" w:eastAsia="Times New Roman" w:hAnsi="Times New Roman"/>
          <w:sz w:val="24"/>
          <w:szCs w:val="24"/>
        </w:rPr>
        <w:t xml:space="preserve">saturated colour is reserved for sensor state. Nothing decorative uses red, amber or green, so those three always carry meaning.</w:t>
      </w:r>
    </w:p>
    <w:p>
      <w:pPr>
        <w:pStyle w:val="ListParagraph"/>
        <w:numPr>
          <w:ilvl w:val="0"/>
          <w:numId w:val="7"/>
        </w:numPr>
        <w:spacing w:after="140" w:line="340"/>
        <w:jc w:val="both"/>
      </w:pPr>
      <w:r>
        <w:rPr>
          <w:rFonts w:ascii="Times New Roman" w:cs="Times New Roman" w:eastAsia="Times New Roman" w:hAnsi="Times New Roman"/>
          <w:b/>
          <w:bCs/>
          <w:sz w:val="24"/>
          <w:szCs w:val="24"/>
        </w:rPr>
        <w:t xml:space="preserve">Numeric legibility: </w:t>
      </w:r>
      <w:r>
        <w:rPr>
          <w:rFonts w:ascii="Times New Roman" w:cs="Times New Roman" w:eastAsia="Times New Roman" w:hAnsi="Times New Roman"/>
          <w:sz w:val="24"/>
          <w:szCs w:val="24"/>
        </w:rPr>
        <w:t xml:space="preserve">every measurement is set in a monospaced face with tabular figures, so digits remain in column as values update rather than shifting the layout.</w:t>
      </w:r>
    </w:p>
    <w:p>
      <w:pPr>
        <w:pStyle w:val="ListParagraph"/>
        <w:numPr>
          <w:ilvl w:val="0"/>
          <w:numId w:val="7"/>
        </w:numPr>
        <w:spacing w:after="140" w:line="340"/>
        <w:jc w:val="both"/>
      </w:pPr>
      <w:r>
        <w:rPr>
          <w:rFonts w:ascii="Times New Roman" w:cs="Times New Roman" w:eastAsia="Times New Roman" w:hAnsi="Times New Roman"/>
          <w:b/>
          <w:bCs/>
          <w:sz w:val="24"/>
          <w:szCs w:val="24"/>
        </w:rPr>
        <w:t xml:space="preserve">Explicit absence: </w:t>
      </w:r>
      <w:r>
        <w:rPr>
          <w:rFonts w:ascii="Times New Roman" w:cs="Times New Roman" w:eastAsia="Times New Roman" w:hAnsi="Times New Roman"/>
          <w:sz w:val="24"/>
          <w:szCs w:val="24"/>
        </w:rPr>
        <w:t xml:space="preserve">a panel that cannot show data states why. An empty chart is indistinguishable from a broken one, and a system that reports hazardous conditions must not appear broken when it is merely waiting.</w:t>
      </w:r>
    </w:p>
    <w:p>
      <w:pPr>
        <w:pStyle w:val="ListParagraph"/>
        <w:numPr>
          <w:ilvl w:val="0"/>
          <w:numId w:val="7"/>
        </w:numPr>
        <w:spacing w:after="140" w:line="340"/>
        <w:jc w:val="both"/>
      </w:pPr>
      <w:r>
        <w:rPr>
          <w:rFonts w:ascii="Times New Roman" w:cs="Times New Roman" w:eastAsia="Times New Roman" w:hAnsi="Times New Roman"/>
          <w:b/>
          <w:bCs/>
          <w:sz w:val="24"/>
          <w:szCs w:val="24"/>
        </w:rPr>
        <w:t xml:space="preserve">Honest labelling: </w:t>
      </w:r>
      <w:r>
        <w:rPr>
          <w:rFonts w:ascii="Times New Roman" w:cs="Times New Roman" w:eastAsia="Times New Roman" w:hAnsi="Times New Roman"/>
          <w:sz w:val="24"/>
          <w:szCs w:val="24"/>
        </w:rPr>
        <w:t xml:space="preserve">stations replaying recorded data are labelled as such wherever they appear, so that a reader is never misled about which values are live measurements.</w:t>
      </w:r>
    </w:p>
    <w:p>
      <w:pPr>
        <w:pStyle w:val="Heading2"/>
        <w:spacing w:after="180" w:before="320"/>
      </w:pPr>
      <w:r>
        <w:rPr>
          <w:rFonts w:ascii="Times New Roman" w:cs="Times New Roman" w:eastAsia="Times New Roman" w:hAnsi="Times New Roman"/>
          <w:b/>
          <w:bCs/>
          <w:sz w:val="26"/>
          <w:szCs w:val="26"/>
        </w:rPr>
        <w:t xml:space="preserve">4.6 Conclusion</w:t>
      </w:r>
    </w:p>
    <w:p>
      <w:pPr>
        <w:spacing w:after="200" w:line="360"/>
        <w:jc w:val="both"/>
      </w:pPr>
      <w:r>
        <w:rPr>
          <w:rFonts w:ascii="Times New Roman" w:cs="Times New Roman" w:eastAsia="Times New Roman" w:hAnsi="Times New Roman"/>
          <w:color w:val="000000"/>
          <w:sz w:val="24"/>
          <w:szCs w:val="24"/>
        </w:rPr>
        <w:t xml:space="preserve">The analysis identified four required properties, each of which is traceable to a specific design decision: signing for provenance, buffering with sequence numbering for continuity, local actuation for autonomous response, and probe instrumentation for measurable reliability. The architecture distributes compute to the edge, removing the origin server as a failure point, and isolates the analytical layer so that its unavailability degrades capability without interrupting measurement.</w:t>
      </w:r>
    </w:p>
    <w:p>
      <w:r>
        <w:br w:type="page"/>
      </w:r>
    </w:p>
    <w:p>
      <w:pPr>
        <w:pStyle w:val="Heading1"/>
        <w:spacing w:after="260" w:before="400"/>
      </w:pPr>
      <w:r>
        <w:rPr>
          <w:rFonts w:ascii="Times New Roman" w:cs="Times New Roman" w:eastAsia="Times New Roman" w:hAnsi="Times New Roman"/>
          <w:b/>
          <w:bCs/>
          <w:sz w:val="32"/>
          <w:szCs w:val="32"/>
        </w:rPr>
        <w:t xml:space="preserve">CHAPTER 5: IMPLEMENTATION</w:t>
      </w:r>
    </w:p>
    <w:p>
      <w:pPr>
        <w:pStyle w:val="Heading2"/>
        <w:spacing w:after="180" w:before="320"/>
      </w:pPr>
      <w:r>
        <w:rPr>
          <w:rFonts w:ascii="Times New Roman" w:cs="Times New Roman" w:eastAsia="Times New Roman" w:hAnsi="Times New Roman"/>
          <w:b/>
          <w:bCs/>
          <w:sz w:val="26"/>
          <w:szCs w:val="26"/>
        </w:rPr>
        <w:t xml:space="preserve">5.1 Introduction</w:t>
      </w:r>
    </w:p>
    <w:p>
      <w:pPr>
        <w:spacing w:after="200" w:line="360"/>
        <w:jc w:val="both"/>
      </w:pPr>
      <w:r>
        <w:rPr>
          <w:rFonts w:ascii="Times New Roman" w:cs="Times New Roman" w:eastAsia="Times New Roman" w:hAnsi="Times New Roman"/>
          <w:color w:val="000000"/>
          <w:sz w:val="24"/>
          <w:szCs w:val="24"/>
        </w:rPr>
        <w:t xml:space="preserve">This chapter describes the implementation of the Smart Odour Monitoring Platform. It covers the development environment, the configuration of each subsystem, the version control procedure adopted, and the final implementation status of every module.</w:t>
      </w:r>
    </w:p>
    <w:p>
      <w:pPr>
        <w:spacing w:after="200" w:line="360"/>
        <w:jc w:val="both"/>
      </w:pPr>
      <w:r>
        <w:rPr>
          <w:rFonts w:ascii="Times New Roman" w:cs="Times New Roman" w:eastAsia="Times New Roman" w:hAnsi="Times New Roman"/>
          <w:color w:val="000000"/>
          <w:sz w:val="24"/>
          <w:szCs w:val="24"/>
        </w:rPr>
        <w:t xml:space="preserve">The system comprises four layers: an edge layer of ESP32 sensor nodes, an edge compute and storage layer built on Cloudflare, a presentation layer of three web portals, and a compute sidecar hosting the predictive model. The platform is deployed and publicly reachable at odour.harnova.my.</w:t>
      </w:r>
    </w:p>
    <w:p>
      <w:pPr>
        <w:pStyle w:val="Heading2"/>
        <w:spacing w:after="180" w:before="320"/>
      </w:pPr>
      <w:r>
        <w:rPr>
          <w:rFonts w:ascii="Times New Roman" w:cs="Times New Roman" w:eastAsia="Times New Roman" w:hAnsi="Times New Roman"/>
          <w:b/>
          <w:bCs/>
          <w:sz w:val="26"/>
          <w:szCs w:val="26"/>
        </w:rPr>
        <w:t xml:space="preserve">5.2 Software Development Environment Setup</w:t>
      </w:r>
    </w:p>
    <w:p>
      <w:pPr>
        <w:pStyle w:val="Heading3"/>
        <w:spacing w:after="140" w:before="260"/>
      </w:pPr>
      <w:r>
        <w:rPr>
          <w:rFonts w:ascii="Times New Roman" w:cs="Times New Roman" w:eastAsia="Times New Roman" w:hAnsi="Times New Roman"/>
          <w:b/>
          <w:bCs/>
          <w:sz w:val="24"/>
          <w:szCs w:val="24"/>
        </w:rPr>
        <w:t xml:space="preserve">5.2.1 Configuration environment setup</w:t>
      </w:r>
    </w:p>
    <w:p>
      <w:pPr>
        <w:spacing w:after="200" w:line="360"/>
        <w:jc w:val="both"/>
      </w:pPr>
      <w:r>
        <w:rPr>
          <w:rFonts w:ascii="Times New Roman" w:cs="Times New Roman" w:eastAsia="Times New Roman" w:hAnsi="Times New Roman"/>
          <w:color w:val="000000"/>
          <w:sz w:val="24"/>
          <w:szCs w:val="24"/>
        </w:rPr>
        <w:t xml:space="preserve">The development and deployment environment was configured as follows.</w:t>
      </w:r>
    </w:p>
    <w:p>
      <w:pPr>
        <w:spacing w:after="300" w:before="100"/>
        <w:jc w:val="center"/>
      </w:pPr>
      <w:r>
        <w:rPr>
          <w:rFonts w:ascii="Times New Roman" w:cs="Times New Roman" w:eastAsia="Times New Roman" w:hAnsi="Times New Roman"/>
          <w:b/>
          <w:bCs/>
          <w:sz w:val="21"/>
          <w:szCs w:val="21"/>
        </w:rPr>
        <w:t xml:space="preserve">TABLE 5.1: DEVELOPMENT ENVIRONMENT</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3000"/>
        <w:gridCol w:w="5400"/>
      </w:tblGrid>
      <w:tr>
        <w:trPr>
          <w:tblHeader/>
        </w:trPr>
        <w:tc>
          <w:tcPr>
            <w:tcW w:type="dxa" w:w="30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Item</w:t>
            </w:r>
          </w:p>
        </w:tc>
        <w:tc>
          <w:tcPr>
            <w:tcW w:type="dxa" w:w="54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Specification</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Development machine</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Apple MacBook Air, macOS</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Runtime (local)</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Node.js v24.14.1</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Deployment tool</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Wrangler v4.124</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Firmware IDE</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Arduino IDE with ESP32 board package</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Microcontroller</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ESP32 Dev Module, 240 MHz dual core, WiFi 2.4 GHz</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Sensors</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MQ-5, MQ-6, MQ-7 × 2, DHT11</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Actuator</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5 V single-channel relay module</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Display</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LCD 16×2 with I2C backpack, address 0x27</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Version control</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Git, remote hosted on GitHub</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Edge runtime</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Cloudflare Workers (V8 isolates)</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Database</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Cloudflare D1 (SQLite), region APAC</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Object storage</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Cloudflare R2</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Compute sidecar</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Render, Python 3.12, Singapore region</w:t>
            </w:r>
          </w:p>
        </w:tc>
      </w:tr>
    </w:tbl>
    <w:p>
      <w:pPr>
        <w:pStyle w:val="Heading2"/>
        <w:spacing w:after="180" w:before="320"/>
      </w:pPr>
      <w:r>
        <w:rPr>
          <w:rFonts w:ascii="Times New Roman" w:cs="Times New Roman" w:eastAsia="Times New Roman" w:hAnsi="Times New Roman"/>
          <w:b/>
          <w:bCs/>
          <w:sz w:val="26"/>
          <w:szCs w:val="26"/>
        </w:rPr>
        <w:t xml:space="preserve">5.3 Software Configuration Management</w:t>
      </w:r>
    </w:p>
    <w:p>
      <w:pPr>
        <w:pStyle w:val="Heading3"/>
        <w:spacing w:after="140" w:before="260"/>
      </w:pPr>
      <w:r>
        <w:rPr>
          <w:rFonts w:ascii="Times New Roman" w:cs="Times New Roman" w:eastAsia="Times New Roman" w:hAnsi="Times New Roman"/>
          <w:b/>
          <w:bCs/>
          <w:sz w:val="24"/>
          <w:szCs w:val="24"/>
        </w:rPr>
        <w:t xml:space="preserve">5.3.1 Configuration environment setup</w:t>
      </w:r>
    </w:p>
    <w:p>
      <w:pPr>
        <w:spacing w:after="200" w:line="360"/>
        <w:jc w:val="both"/>
      </w:pPr>
      <w:r>
        <w:rPr>
          <w:rFonts w:ascii="Times New Roman" w:cs="Times New Roman" w:eastAsia="Times New Roman" w:hAnsi="Times New Roman"/>
          <w:color w:val="000000"/>
          <w:sz w:val="24"/>
          <w:szCs w:val="24"/>
        </w:rPr>
        <w:t xml:space="preserve">Each subsystem was configured as described below.</w:t>
      </w:r>
    </w:p>
    <w:p>
      <w:pPr>
        <w:spacing w:after="100" w:line="360"/>
        <w:jc w:val="both"/>
      </w:pPr>
      <w:r>
        <w:rPr>
          <w:rFonts w:ascii="Times New Roman" w:cs="Times New Roman" w:eastAsia="Times New Roman" w:hAnsi="Times New Roman"/>
          <w:b/>
          <w:bCs/>
          <w:color w:val="000000"/>
          <w:sz w:val="24"/>
          <w:szCs w:val="24"/>
        </w:rPr>
        <w:t xml:space="preserve">(a) Edge node firmware</w:t>
      </w:r>
    </w:p>
    <w:p>
      <w:pPr>
        <w:spacing w:after="200" w:line="360"/>
        <w:jc w:val="both"/>
      </w:pPr>
      <w:r>
        <w:rPr>
          <w:rFonts w:ascii="Times New Roman" w:cs="Times New Roman" w:eastAsia="Times New Roman" w:hAnsi="Times New Roman"/>
          <w:color w:val="000000"/>
          <w:sz w:val="24"/>
          <w:szCs w:val="24"/>
        </w:rPr>
        <w:t xml:space="preserve">The ESP32 samples all sensors every eight seconds. Gas sensors are connected to ADC1 channels exclusively, because ADC2 is unavailable while the WiFi radio is active. A sensor placed on ADC2 reads correctly on the bench and stops updating once the node joins the network, which presents as a sensor fault rather than a pin conflict.</w:t>
      </w:r>
    </w:p>
    <w:p>
      <w:pPr>
        <w:spacing w:after="300" w:before="100"/>
        <w:jc w:val="center"/>
      </w:pPr>
      <w:r>
        <w:rPr>
          <w:rFonts w:ascii="Times New Roman" w:cs="Times New Roman" w:eastAsia="Times New Roman" w:hAnsi="Times New Roman"/>
          <w:b/>
          <w:bCs/>
          <w:sz w:val="21"/>
          <w:szCs w:val="21"/>
        </w:rPr>
        <w:t xml:space="preserve">TABLE 5.2: EDGE NODE PIN ASSIGNMENT</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1900"/>
        <w:gridCol w:w="1700"/>
        <w:gridCol w:w="1500"/>
        <w:gridCol w:w="3300"/>
      </w:tblGrid>
      <w:tr>
        <w:trPr>
          <w:tblHeader/>
        </w:trPr>
        <w:tc>
          <w:tcPr>
            <w:tcW w:type="dxa" w:w="19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Component</w:t>
            </w:r>
          </w:p>
        </w:tc>
        <w:tc>
          <w:tcPr>
            <w:tcW w:type="dxa" w:w="17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Pin</w:t>
            </w:r>
          </w:p>
        </w:tc>
        <w:tc>
          <w:tcPr>
            <w:tcW w:type="dxa" w:w="15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Type</w:t>
            </w:r>
          </w:p>
        </w:tc>
        <w:tc>
          <w:tcPr>
            <w:tcW w:type="dxa" w:w="33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Function</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DHT11</w:t>
            </w:r>
          </w:p>
        </w:tc>
        <w:tc>
          <w:tcPr>
            <w:tcW w:type="dxa" w:w="17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GPIO 4</w:t>
            </w:r>
          </w:p>
        </w:tc>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Digital</w:t>
            </w:r>
          </w:p>
        </w:tc>
        <w:tc>
          <w:tcPr>
            <w:tcW w:type="dxa" w:w="33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Temperature and humidity</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MQ-5</w:t>
            </w:r>
          </w:p>
        </w:tc>
        <w:tc>
          <w:tcPr>
            <w:tcW w:type="dxa" w:w="17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GPIO 32</w:t>
            </w:r>
          </w:p>
        </w:tc>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ADC1</w:t>
            </w:r>
          </w:p>
        </w:tc>
        <w:tc>
          <w:tcPr>
            <w:tcW w:type="dxa" w:w="33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LPG and natural gas</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MQ-6</w:t>
            </w:r>
          </w:p>
        </w:tc>
        <w:tc>
          <w:tcPr>
            <w:tcW w:type="dxa" w:w="17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GPIO 33</w:t>
            </w:r>
          </w:p>
        </w:tc>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ADC1</w:t>
            </w:r>
          </w:p>
        </w:tc>
        <w:tc>
          <w:tcPr>
            <w:tcW w:type="dxa" w:w="33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LPG and butane</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MQ-7 #1</w:t>
            </w:r>
          </w:p>
        </w:tc>
        <w:tc>
          <w:tcPr>
            <w:tcW w:type="dxa" w:w="17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GPIO 34</w:t>
            </w:r>
          </w:p>
        </w:tc>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ADC1</w:t>
            </w:r>
          </w:p>
        </w:tc>
        <w:tc>
          <w:tcPr>
            <w:tcW w:type="dxa" w:w="33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Carbon monoxide</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MQ-7 #2</w:t>
            </w:r>
          </w:p>
        </w:tc>
        <w:tc>
          <w:tcPr>
            <w:tcW w:type="dxa" w:w="17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GPIO 35</w:t>
            </w:r>
          </w:p>
        </w:tc>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ADC1</w:t>
            </w:r>
          </w:p>
        </w:tc>
        <w:tc>
          <w:tcPr>
            <w:tcW w:type="dxa" w:w="33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Carbon monoxide, second channel</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LCD I2C</w:t>
            </w:r>
          </w:p>
        </w:tc>
        <w:tc>
          <w:tcPr>
            <w:tcW w:type="dxa" w:w="17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GPIO 21 / 22</w:t>
            </w:r>
          </w:p>
        </w:tc>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I2C</w:t>
            </w:r>
          </w:p>
        </w:tc>
        <w:tc>
          <w:tcPr>
            <w:tcW w:type="dxa" w:w="33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Local status display</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Relay</w:t>
            </w:r>
          </w:p>
        </w:tc>
        <w:tc>
          <w:tcPr>
            <w:tcW w:type="dxa" w:w="17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GPIO 26</w:t>
            </w:r>
          </w:p>
        </w:tc>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Digital out</w:t>
            </w:r>
          </w:p>
        </w:tc>
        <w:tc>
          <w:tcPr>
            <w:tcW w:type="dxa" w:w="33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Exhaust ventilation</w:t>
            </w:r>
          </w:p>
        </w:tc>
      </w:tr>
    </w:tbl>
    <w:p>
      <w:pPr>
        <w:spacing w:after="100" w:line="360"/>
        <w:jc w:val="both"/>
      </w:pPr>
      <w:r>
        <w:rPr>
          <w:rFonts w:ascii="Times New Roman" w:cs="Times New Roman" w:eastAsia="Times New Roman" w:hAnsi="Times New Roman"/>
          <w:b/>
          <w:bCs/>
          <w:color w:val="000000"/>
          <w:sz w:val="24"/>
          <w:szCs w:val="24"/>
        </w:rPr>
        <w:t xml:space="preserve">(b) Secure ingestion</w:t>
      </w:r>
    </w:p>
    <w:p>
      <w:pPr>
        <w:spacing w:after="200" w:line="360"/>
        <w:jc w:val="both"/>
      </w:pPr>
      <w:r>
        <w:rPr>
          <w:rFonts w:ascii="Times New Roman" w:cs="Times New Roman" w:eastAsia="Times New Roman" w:hAnsi="Times New Roman"/>
          <w:color w:val="000000"/>
          <w:sz w:val="24"/>
          <w:szCs w:val="24"/>
        </w:rPr>
        <w:t xml:space="preserve">Every transmission is signed with HMAC-SHA256 over the raw request body using a key shared with the cloud endpoint. The endpoint recomputes the digest and compares it in constant time, rejecting any payload whose signature does not match.</w:t>
      </w:r>
    </w:p>
    <w:p>
      <w:pPr>
        <w:shd w:fill="F2F2F2" w:val="clear"/>
        <w:spacing w:after="80"/>
      </w:pPr>
      <w:r>
        <w:rPr>
          <w:rFonts w:ascii="Courier New" w:cs="Courier New" w:eastAsia="Courier New" w:hAnsi="Courier New"/>
          <w:sz w:val="19"/>
          <w:szCs w:val="19"/>
        </w:rPr>
        <w:t xml:space="preserve">X-Signature: hex(HMAC-SHA256(DEVICE_KEY, raw_request_body))</w:t>
      </w:r>
    </w:p>
    <w:p>
      <w:pPr>
        <w:spacing w:after="200" w:line="360"/>
        <w:jc w:val="both"/>
      </w:pPr>
      <w:r>
        <w:rPr>
          <w:rFonts w:ascii="Times New Roman" w:cs="Times New Roman" w:eastAsia="Times New Roman" w:hAnsi="Times New Roman"/>
          <w:color w:val="000000"/>
          <w:sz w:val="24"/>
          <w:szCs w:val="24"/>
        </w:rPr>
        <w:t xml:space="preserve">A static bearer token was considered and rejected. Such a token would reside in the firmware and be recoverable from a flash dump, and would prove only possession of the credential rather than that the payload was unaltered in transit.</w:t>
      </w:r>
    </w:p>
    <w:p>
      <w:pPr>
        <w:spacing w:after="100" w:line="360"/>
        <w:jc w:val="both"/>
      </w:pPr>
      <w:r>
        <w:rPr>
          <w:rFonts w:ascii="Times New Roman" w:cs="Times New Roman" w:eastAsia="Times New Roman" w:hAnsi="Times New Roman"/>
          <w:b/>
          <w:bCs/>
          <w:color w:val="000000"/>
          <w:sz w:val="24"/>
          <w:szCs w:val="24"/>
        </w:rPr>
        <w:t xml:space="preserve">(c) Offline buffering</w:t>
      </w:r>
    </w:p>
    <w:p>
      <w:pPr>
        <w:spacing w:after="200" w:line="360"/>
        <w:jc w:val="both"/>
      </w:pPr>
      <w:r>
        <w:rPr>
          <w:rFonts w:ascii="Times New Roman" w:cs="Times New Roman" w:eastAsia="Times New Roman" w:hAnsi="Times New Roman"/>
          <w:color w:val="000000"/>
          <w:sz w:val="24"/>
          <w:szCs w:val="24"/>
        </w:rPr>
        <w:t xml:space="preserve">When connectivity is lost, readings are retained in a 48-slot ring buffer in RAM, each tagged with a monotonically increasing sequence number. On reconnection they are transmitted oldest first, one per cycle. The database enforces a unique index on the pair (node_id, seq), so a reading that has already been stored is silently discarded rather than duplicated. Without the sequence number this would be a retry mechanism that double counts; with it, delivery is idempotent.</w:t>
      </w:r>
    </w:p>
    <w:p>
      <w:pPr>
        <w:spacing w:after="100" w:line="360"/>
        <w:jc w:val="both"/>
      </w:pPr>
      <w:r>
        <w:rPr>
          <w:rFonts w:ascii="Times New Roman" w:cs="Times New Roman" w:eastAsia="Times New Roman" w:hAnsi="Times New Roman"/>
          <w:b/>
          <w:bCs/>
          <w:color w:val="000000"/>
          <w:sz w:val="24"/>
          <w:szCs w:val="24"/>
        </w:rPr>
        <w:t xml:space="preserve">(d) Automated actuation</w:t>
      </w:r>
    </w:p>
    <w:p>
      <w:pPr>
        <w:spacing w:after="200" w:line="360"/>
        <w:jc w:val="both"/>
      </w:pPr>
      <w:r>
        <w:rPr>
          <w:rFonts w:ascii="Times New Roman" w:cs="Times New Roman" w:eastAsia="Times New Roman" w:hAnsi="Times New Roman"/>
          <w:color w:val="000000"/>
          <w:sz w:val="24"/>
          <w:szCs w:val="24"/>
        </w:rPr>
        <w:t xml:space="preserve">The exhaust relay engages when the locally computed odour index reaches 65 and releases only after it falls below 40, subject to a minimum run time of 60 seconds. Two thresholds are used rather than one because a reading oscillating around a single value would switch a mains relay repeatedly within a minute. The decision is made on the node rather than the server, so ventilation still responds when connectivity is lost.</w:t>
      </w:r>
    </w:p>
    <w:p>
      <w:pPr>
        <w:spacing w:after="100" w:line="360"/>
        <w:jc w:val="both"/>
      </w:pPr>
      <w:r>
        <w:rPr>
          <w:rFonts w:ascii="Times New Roman" w:cs="Times New Roman" w:eastAsia="Times New Roman" w:hAnsi="Times New Roman"/>
          <w:b/>
          <w:bCs/>
          <w:color w:val="000000"/>
          <w:sz w:val="24"/>
          <w:szCs w:val="24"/>
        </w:rPr>
        <w:t xml:space="preserve">(e) Odour index computation</w:t>
      </w:r>
    </w:p>
    <w:p>
      <w:pPr>
        <w:spacing w:after="200" w:line="360"/>
        <w:jc w:val="both"/>
      </w:pPr>
      <w:r>
        <w:rPr>
          <w:rFonts w:ascii="Times New Roman" w:cs="Times New Roman" w:eastAsia="Times New Roman" w:hAnsi="Times New Roman"/>
          <w:color w:val="000000"/>
          <w:sz w:val="24"/>
          <w:szCs w:val="24"/>
        </w:rPr>
        <w:t xml:space="preserve">Sensor values are combined into a single severity score in the range 0 to 100:</w:t>
      </w:r>
    </w:p>
    <w:p>
      <w:pPr>
        <w:shd w:fill="F2F2F2" w:val="clear"/>
        <w:spacing w:after="80"/>
      </w:pPr>
      <w:r>
        <w:rPr>
          <w:rFonts w:ascii="Courier New" w:cs="Courier New" w:eastAsia="Courier New" w:hAnsi="Courier New"/>
          <w:sz w:val="19"/>
          <w:szCs w:val="19"/>
        </w:rPr>
        <w:t xml:space="preserve">index = 100 × ( 0.200·n(MQ5,1200) + 0.450·n(MQ6,1200)</w:t>
      </w:r>
    </w:p>
    <w:p>
      <w:pPr>
        <w:shd w:fill="F2F2F2" w:val="clear"/>
        <w:spacing w:after="80"/>
      </w:pPr>
      <w:r>
        <w:rPr>
          <w:rFonts w:ascii="Courier New" w:cs="Courier New" w:eastAsia="Courier New" w:hAnsi="Courier New"/>
          <w:sz w:val="19"/>
          <w:szCs w:val="19"/>
        </w:rPr>
        <w:t xml:space="preserve">              + 0.175·n(CO_A,900) + 0.175·n(CO_B,900) )</w:t>
      </w:r>
    </w:p>
    <w:p>
      <w:pPr>
        <w:shd w:fill="F2F2F2" w:val="clear"/>
        <w:spacing w:after="80"/>
      </w:pPr>
      <w:r>
        <w:rPr>
          <w:rFonts w:ascii="Courier New" w:cs="Courier New" w:eastAsia="Courier New" w:hAnsi="Courier New"/>
          <w:sz w:val="19"/>
          <w:szCs w:val="19"/>
        </w:rPr>
        <w:t xml:space="preserve">where n(v,c) = clamp(v / c, 0, 1)</w:t>
      </w:r>
    </w:p>
    <w:p>
      <w:pPr>
        <w:spacing w:after="200" w:line="360"/>
        <w:jc w:val="both"/>
      </w:pPr>
      <w:r>
        <w:rPr>
          <w:rFonts w:ascii="Times New Roman" w:cs="Times New Roman" w:eastAsia="Times New Roman" w:hAnsi="Times New Roman"/>
          <w:color w:val="000000"/>
          <w:sz w:val="24"/>
          <w:szCs w:val="24"/>
        </w:rPr>
        <w:t xml:space="preserve">Values below 40 are classified normal, 40 to 65 warning, and 65 and above hazardous. MQ-6 carries the greatest weight because butane and LPG dominate the odour profile under study. The two carbon monoxide channels share weight so that a single failed sensor cannot determine the score alone.</w:t>
      </w:r>
    </w:p>
    <w:p>
      <w:pPr>
        <w:spacing w:after="100" w:line="360"/>
        <w:jc w:val="both"/>
      </w:pPr>
      <w:r>
        <w:rPr>
          <w:rFonts w:ascii="Times New Roman" w:cs="Times New Roman" w:eastAsia="Times New Roman" w:hAnsi="Times New Roman"/>
          <w:b/>
          <w:bCs/>
          <w:color w:val="000000"/>
          <w:sz w:val="24"/>
          <w:szCs w:val="24"/>
        </w:rPr>
        <w:t xml:space="preserve">(f) Database schema</w:t>
      </w:r>
    </w:p>
    <w:p>
      <w:pPr>
        <w:spacing w:after="300" w:before="100"/>
        <w:jc w:val="center"/>
      </w:pPr>
      <w:r>
        <w:rPr>
          <w:rFonts w:ascii="Times New Roman" w:cs="Times New Roman" w:eastAsia="Times New Roman" w:hAnsi="Times New Roman"/>
          <w:b/>
          <w:bCs/>
          <w:sz w:val="21"/>
          <w:szCs w:val="21"/>
        </w:rPr>
        <w:t xml:space="preserve">TABLE 5.3: DATABASE OBJECTS</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5800"/>
      </w:tblGrid>
      <w:tr>
        <w:trPr>
          <w:tblHeader/>
        </w:trPr>
        <w:tc>
          <w:tcPr>
            <w:tcW w:type="dxa" w:w="26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Table</w:t>
            </w:r>
          </w:p>
        </w:tc>
        <w:tc>
          <w:tcPr>
            <w:tcW w:type="dxa" w:w="58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Purpose</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zones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Station identity, coordinates, hardware or replay flag</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readings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Telemetry, with unique index on (node_id, seq)</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incidents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Threshold breaches, offline nodes, acknowledgement trail</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admin_users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Accounts, password hashes, roles</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sessions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Session tokens, stored as SHA-256 digests</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invites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Single-use registration codes</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login_attempts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Authentication audit trail</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uptime_samples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Availability probe, one sample per minute</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alert_log</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Notification delivery record</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odour_reports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Community observations, kept separate from telemetry</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predictions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Forecast output with model metadata</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model_runs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Forecast execution history</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telegram_subscribers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Alert recipients and severity preferences</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reports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Generated compliance document index</w:t>
            </w:r>
          </w:p>
        </w:tc>
      </w:tr>
    </w:tbl>
    <w:p>
      <w:pPr>
        <w:spacing w:after="200" w:line="360"/>
        <w:jc w:val="both"/>
      </w:pPr>
      <w:r>
        <w:rPr>
          <w:rFonts w:ascii="Times New Roman" w:cs="Times New Roman" w:eastAsia="Times New Roman" w:hAnsi="Times New Roman"/>
          <w:color w:val="5A5A5A"/>
          <w:sz w:val="22"/>
          <w:szCs w:val="22"/>
        </w:rPr>
        <w:t xml:space="preserve">The schema comprises 14 tables, 2 views and 14 indexes.</w:t>
      </w:r>
    </w:p>
    <w:p>
      <w:pPr>
        <w:spacing w:after="100" w:line="360"/>
        <w:jc w:val="both"/>
      </w:pPr>
      <w:r>
        <w:rPr>
          <w:rFonts w:ascii="Times New Roman" w:cs="Times New Roman" w:eastAsia="Times New Roman" w:hAnsi="Times New Roman"/>
          <w:b/>
          <w:bCs/>
          <w:color w:val="000000"/>
          <w:sz w:val="24"/>
          <w:szCs w:val="24"/>
        </w:rPr>
        <w:t xml:space="preserve">(g) Authentication</w:t>
      </w:r>
    </w:p>
    <w:p>
      <w:pPr>
        <w:spacing w:after="200" w:line="360"/>
        <w:jc w:val="both"/>
      </w:pPr>
      <w:r>
        <w:rPr>
          <w:rFonts w:ascii="Times New Roman" w:cs="Times New Roman" w:eastAsia="Times New Roman" w:hAnsi="Times New Roman"/>
          <w:color w:val="000000"/>
          <w:sz w:val="24"/>
          <w:szCs w:val="24"/>
        </w:rPr>
        <w:t xml:space="preserve">Passwords are hashed with PBKDF2-HMAC-SHA256 at 100,000 iterations using a 16-byte random salt. This is the maximum the runtime permits: the platform’s WebCrypto implementation rejects higher iteration counts. Sessions use opaque 32-byte random tokens of which only the SHA-256 digest is stored, so disclosure of the database does not yield usable sessions. Registration is invite-only; there is no open sign-up route.</w:t>
      </w:r>
    </w:p>
    <w:p>
      <w:pPr>
        <w:spacing w:after="100" w:line="360"/>
        <w:jc w:val="both"/>
      </w:pPr>
      <w:r>
        <w:rPr>
          <w:rFonts w:ascii="Times New Roman" w:cs="Times New Roman" w:eastAsia="Times New Roman" w:hAnsi="Times New Roman"/>
          <w:b/>
          <w:bCs/>
          <w:color w:val="000000"/>
          <w:sz w:val="24"/>
          <w:szCs w:val="24"/>
        </w:rPr>
        <w:t xml:space="preserve">(h) Notification</w:t>
      </w:r>
    </w:p>
    <w:p>
      <w:pPr>
        <w:spacing w:after="200" w:line="360"/>
        <w:jc w:val="both"/>
      </w:pPr>
      <w:r>
        <w:rPr>
          <w:rFonts w:ascii="Times New Roman" w:cs="Times New Roman" w:eastAsia="Times New Roman" w:hAnsi="Times New Roman"/>
          <w:color w:val="000000"/>
          <w:sz w:val="24"/>
          <w:szCs w:val="24"/>
        </w:rPr>
        <w:t xml:space="preserve">Alerts are delivered through Telegram and electronic mail. Telegram subscribers are held in the database rather than in configuration, so recipients can be added without redeployment. Alerts are rate limited to one per zone per 30 minutes; at an eight-second sampling interval, an unlimited implementation would generate approximately 450 messages per hour during a sustained breach.</w:t>
      </w:r>
    </w:p>
    <w:p>
      <w:pPr>
        <w:pStyle w:val="Heading3"/>
        <w:spacing w:after="140" w:before="260"/>
      </w:pPr>
      <w:r>
        <w:rPr>
          <w:rFonts w:ascii="Times New Roman" w:cs="Times New Roman" w:eastAsia="Times New Roman" w:hAnsi="Times New Roman"/>
          <w:b/>
          <w:bCs/>
          <w:sz w:val="24"/>
          <w:szCs w:val="24"/>
        </w:rPr>
        <w:t xml:space="preserve">5.3.2 Version Control Procedure</w:t>
      </w:r>
    </w:p>
    <w:p>
      <w:pPr>
        <w:spacing w:after="200" w:line="360"/>
        <w:jc w:val="both"/>
      </w:pPr>
      <w:r>
        <w:rPr>
          <w:rFonts w:ascii="Times New Roman" w:cs="Times New Roman" w:eastAsia="Times New Roman" w:hAnsi="Times New Roman"/>
          <w:color w:val="000000"/>
          <w:sz w:val="24"/>
          <w:szCs w:val="24"/>
        </w:rPr>
        <w:t xml:space="preserve">The project is maintained in a Git repository hosted on GitHub. The procedure adopted was as follows.</w:t>
      </w:r>
    </w:p>
    <w:p>
      <w:pPr>
        <w:pStyle w:val="ListParagraph"/>
        <w:numPr>
          <w:ilvl w:val="0"/>
          <w:numId w:val="8"/>
        </w:numPr>
        <w:spacing w:after="140" w:line="340"/>
        <w:jc w:val="both"/>
      </w:pPr>
      <w:r>
        <w:rPr>
          <w:rFonts w:ascii="Times New Roman" w:cs="Times New Roman" w:eastAsia="Times New Roman" w:hAnsi="Times New Roman"/>
          <w:b/>
          <w:bCs/>
          <w:sz w:val="24"/>
          <w:szCs w:val="24"/>
        </w:rPr>
        <w:t xml:space="preserve">Repository initialisation: </w:t>
      </w:r>
      <w:r>
        <w:rPr>
          <w:rFonts w:ascii="Times New Roman" w:cs="Times New Roman" w:eastAsia="Times New Roman" w:hAnsi="Times New Roman"/>
          <w:sz w:val="24"/>
          <w:szCs w:val="24"/>
        </w:rPr>
        <w:t xml:space="preserve">The repository was initialised with a .gitignore excluding all credential files, including the firmware secrets header and environment files.</w:t>
      </w:r>
    </w:p>
    <w:p>
      <w:pPr>
        <w:pStyle w:val="ListParagraph"/>
        <w:numPr>
          <w:ilvl w:val="0"/>
          <w:numId w:val="8"/>
        </w:numPr>
        <w:spacing w:after="140" w:line="340"/>
        <w:jc w:val="both"/>
      </w:pPr>
      <w:r>
        <w:rPr>
          <w:rFonts w:ascii="Times New Roman" w:cs="Times New Roman" w:eastAsia="Times New Roman" w:hAnsi="Times New Roman"/>
          <w:b/>
          <w:bCs/>
          <w:sz w:val="24"/>
          <w:szCs w:val="24"/>
        </w:rPr>
        <w:t xml:space="preserve">Commit management: </w:t>
      </w:r>
      <w:r>
        <w:rPr>
          <w:rFonts w:ascii="Times New Roman" w:cs="Times New Roman" w:eastAsia="Times New Roman" w:hAnsi="Times New Roman"/>
          <w:sz w:val="24"/>
          <w:szCs w:val="24"/>
        </w:rPr>
        <w:t xml:space="preserve">changes are committed with messages describing both the change and its rationale. Defect fixes record the observed symptom, so the history explains why a change was necessary and not only what changed.</w:t>
      </w:r>
    </w:p>
    <w:p>
      <w:pPr>
        <w:pStyle w:val="ListParagraph"/>
        <w:numPr>
          <w:ilvl w:val="0"/>
          <w:numId w:val="8"/>
        </w:numPr>
        <w:spacing w:after="140" w:line="340"/>
        <w:jc w:val="both"/>
      </w:pPr>
      <w:r>
        <w:rPr>
          <w:rFonts w:ascii="Times New Roman" w:cs="Times New Roman" w:eastAsia="Times New Roman" w:hAnsi="Times New Roman"/>
          <w:b/>
          <w:bCs/>
          <w:sz w:val="24"/>
          <w:szCs w:val="24"/>
        </w:rPr>
        <w:t xml:space="preserve">Branching strategy: </w:t>
      </w:r>
      <w:r>
        <w:rPr>
          <w:rFonts w:ascii="Times New Roman" w:cs="Times New Roman" w:eastAsia="Times New Roman" w:hAnsi="Times New Roman"/>
          <w:sz w:val="24"/>
          <w:szCs w:val="24"/>
        </w:rPr>
        <w:t xml:space="preserve">the main branch is the deployment branch. Both the edge Worker and the web portals build automatically from it.</w:t>
      </w:r>
    </w:p>
    <w:p>
      <w:pPr>
        <w:pStyle w:val="ListParagraph"/>
        <w:numPr>
          <w:ilvl w:val="0"/>
          <w:numId w:val="8"/>
        </w:numPr>
        <w:spacing w:after="140" w:line="340"/>
        <w:jc w:val="both"/>
      </w:pPr>
      <w:r>
        <w:rPr>
          <w:rFonts w:ascii="Times New Roman" w:cs="Times New Roman" w:eastAsia="Times New Roman" w:hAnsi="Times New Roman"/>
          <w:b/>
          <w:bCs/>
          <w:sz w:val="24"/>
          <w:szCs w:val="24"/>
        </w:rPr>
        <w:t xml:space="preserve">Version tagging: </w:t>
      </w:r>
      <w:r>
        <w:rPr>
          <w:rFonts w:ascii="Times New Roman" w:cs="Times New Roman" w:eastAsia="Times New Roman" w:hAnsi="Times New Roman"/>
          <w:sz w:val="24"/>
          <w:szCs w:val="24"/>
        </w:rPr>
        <w:t xml:space="preserve">a build identifier is embedded in the deployed code and exposed at the /api/version endpoint, so the running version can be confirmed directly rather than inferred.</w:t>
      </w:r>
    </w:p>
    <w:p>
      <w:pPr>
        <w:pStyle w:val="ListParagraph"/>
        <w:numPr>
          <w:ilvl w:val="0"/>
          <w:numId w:val="8"/>
        </w:numPr>
        <w:spacing w:after="140" w:line="340"/>
        <w:jc w:val="both"/>
      </w:pPr>
      <w:r>
        <w:rPr>
          <w:rFonts w:ascii="Times New Roman" w:cs="Times New Roman" w:eastAsia="Times New Roman" w:hAnsi="Times New Roman"/>
          <w:b/>
          <w:bCs/>
          <w:sz w:val="24"/>
          <w:szCs w:val="24"/>
        </w:rPr>
        <w:t xml:space="preserve">Backup and remote repository: </w:t>
      </w:r>
      <w:r>
        <w:rPr>
          <w:rFonts w:ascii="Times New Roman" w:cs="Times New Roman" w:eastAsia="Times New Roman" w:hAnsi="Times New Roman"/>
          <w:sz w:val="24"/>
          <w:szCs w:val="24"/>
        </w:rPr>
        <w:t xml:space="preserve">the GitHub remote is the authoritative copy. Continuous deployment is configured for Cloudflare Pages and Cloudflare Workers.</w:t>
      </w:r>
    </w:p>
    <w:p>
      <w:pPr>
        <w:pStyle w:val="ListParagraph"/>
        <w:numPr>
          <w:ilvl w:val="0"/>
          <w:numId w:val="8"/>
        </w:numPr>
        <w:spacing w:after="140" w:line="340"/>
        <w:jc w:val="both"/>
      </w:pPr>
      <w:r>
        <w:rPr>
          <w:rFonts w:ascii="Times New Roman" w:cs="Times New Roman" w:eastAsia="Times New Roman" w:hAnsi="Times New Roman"/>
          <w:b/>
          <w:bCs/>
          <w:sz w:val="24"/>
          <w:szCs w:val="24"/>
        </w:rPr>
        <w:t xml:space="preserve">Access and security control: </w:t>
      </w:r>
      <w:r>
        <w:rPr>
          <w:rFonts w:ascii="Times New Roman" w:cs="Times New Roman" w:eastAsia="Times New Roman" w:hAnsi="Times New Roman"/>
          <w:sz w:val="24"/>
          <w:szCs w:val="24"/>
        </w:rPr>
        <w:t xml:space="preserve">no credential is stored in version control. All secrets reside in the platform secret store and are referenced by name.</w:t>
      </w:r>
    </w:p>
    <w:p>
      <w:pPr>
        <w:pStyle w:val="Heading2"/>
        <w:spacing w:after="180" w:before="320"/>
      </w:pPr>
      <w:r>
        <w:rPr>
          <w:rFonts w:ascii="Times New Roman" w:cs="Times New Roman" w:eastAsia="Times New Roman" w:hAnsi="Times New Roman"/>
          <w:b/>
          <w:bCs/>
          <w:sz w:val="26"/>
          <w:szCs w:val="26"/>
        </w:rPr>
        <w:t xml:space="preserve">5.4 Implementation Status</w:t>
      </w:r>
    </w:p>
    <w:p>
      <w:pPr>
        <w:spacing w:after="300" w:before="100"/>
        <w:jc w:val="center"/>
      </w:pPr>
      <w:r>
        <w:rPr>
          <w:rFonts w:ascii="Times New Roman" w:cs="Times New Roman" w:eastAsia="Times New Roman" w:hAnsi="Times New Roman"/>
          <w:b/>
          <w:bCs/>
          <w:sz w:val="21"/>
          <w:szCs w:val="21"/>
        </w:rPr>
        <w:t xml:space="preserve">TABLE 5.4: IMPLEMENTATION STATUS</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1900"/>
        <w:gridCol w:w="3500"/>
        <w:gridCol w:w="1400"/>
        <w:gridCol w:w="1600"/>
      </w:tblGrid>
      <w:tr>
        <w:trPr>
          <w:tblHeader/>
        </w:trPr>
        <w:tc>
          <w:tcPr>
            <w:tcW w:type="dxa" w:w="19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Module</w:t>
            </w:r>
          </w:p>
        </w:tc>
        <w:tc>
          <w:tcPr>
            <w:tcW w:type="dxa" w:w="35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Description</w:t>
            </w:r>
          </w:p>
        </w:tc>
        <w:tc>
          <w:tcPr>
            <w:tcW w:type="dxa" w:w="14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Size</w:t>
            </w:r>
          </w:p>
        </w:tc>
        <w:tc>
          <w:tcPr>
            <w:tcW w:type="dxa" w:w="16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Status</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Edge firmware</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Sampling, HMAC signing, offline buffer, relay actuation, LCD</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478 lines</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1F7A44"/>
                <w:sz w:val="20"/>
                <w:szCs w:val="20"/>
              </w:rPr>
              <w:t xml:space="preserve">Completed</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Ingestion and API</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Signature verification, storage, evaluation, 33 routes</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1,727 lines</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1F7A44"/>
                <w:sz w:val="20"/>
                <w:szCs w:val="20"/>
              </w:rPr>
              <w:t xml:space="preserve">Completed</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Authentication</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PBKDF2, sessions, invites, lockout, three roles</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included above</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1F7A44"/>
                <w:sz w:val="20"/>
                <w:szCs w:val="20"/>
              </w:rPr>
              <w:t xml:space="preserve">Completed</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Database</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14 tables, 2 views, 14 indexes, four migrations</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4 files</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1F7A44"/>
                <w:sz w:val="20"/>
                <w:szCs w:val="20"/>
              </w:rPr>
              <w:t xml:space="preserve">Completed</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Public portal</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Station cards, map, advisories, no sign-in required</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3,038 lines</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1F7A44"/>
                <w:sz w:val="20"/>
                <w:szCs w:val="20"/>
              </w:rPr>
              <w:t xml:space="preserve">Completed</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User portal</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Live data, map, history, CSV export, profile, reporting</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included above</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1F7A44"/>
                <w:sz w:val="20"/>
                <w:szCs w:val="20"/>
              </w:rPr>
              <w:t xml:space="preserve">Completed</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Admin portal</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Telemetry, reports, thresholds, incidents, user management</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included above</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1F7A44"/>
                <w:sz w:val="20"/>
                <w:szCs w:val="20"/>
              </w:rPr>
              <w:t xml:space="preserve">Completed</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Telegram bot</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Two-way; alerts plus /status, /zones, /incidents</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included above</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1F7A44"/>
                <w:sz w:val="20"/>
                <w:szCs w:val="20"/>
              </w:rPr>
              <w:t xml:space="preserve">Completed</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Forecasting model</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Random Forest with linear-trend fallback</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544 lines</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B8860B"/>
                <w:sz w:val="20"/>
                <w:szCs w:val="20"/>
              </w:rPr>
              <w:t xml:space="preserve">Built, not deployed</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Compliance report</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PDF generation and object-storage archive</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included above</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B8860B"/>
                <w:sz w:val="20"/>
                <w:szCs w:val="20"/>
              </w:rPr>
              <w:t xml:space="preserve">Built, not deployed</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Health advisory engine</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Directional guidance from forecast output</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C00000"/>
                <w:sz w:val="20"/>
                <w:szCs w:val="20"/>
              </w:rPr>
              <w:t xml:space="preserve">Not implemented</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Real-time push</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WebSocket fan-out via Durable Object</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partial</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B8860B"/>
                <w:sz w:val="20"/>
                <w:szCs w:val="20"/>
              </w:rPr>
              <w:t xml:space="preserve">Deployed, unused</w:t>
            </w:r>
          </w:p>
        </w:tc>
      </w:tr>
    </w:tbl>
    <w:p>
      <w:pPr>
        <w:pStyle w:val="Heading2"/>
        <w:spacing w:after="180" w:before="320"/>
      </w:pPr>
      <w:r>
        <w:rPr>
          <w:rFonts w:ascii="Times New Roman" w:cs="Times New Roman" w:eastAsia="Times New Roman" w:hAnsi="Times New Roman"/>
          <w:b/>
          <w:bCs/>
          <w:sz w:val="26"/>
          <w:szCs w:val="26"/>
        </w:rPr>
        <w:t xml:space="preserve">5.5 Conclusion</w:t>
      </w:r>
    </w:p>
    <w:p>
      <w:pPr>
        <w:spacing w:after="200" w:line="360"/>
        <w:jc w:val="both"/>
      </w:pPr>
      <w:r>
        <w:rPr>
          <w:rFonts w:ascii="Times New Roman" w:cs="Times New Roman" w:eastAsia="Times New Roman" w:hAnsi="Times New Roman"/>
          <w:color w:val="000000"/>
          <w:sz w:val="24"/>
          <w:szCs w:val="24"/>
        </w:rPr>
        <w:t xml:space="preserve">The implementation is functionally complete across the edge, ingestion, storage, authentication, alerting and presentation layers. The predictive model and the compliance report generator are implemented and tested but await deployment of the compute sidecar. Two items — the health advisory engine and real-time push delivery — remain unimplemented and are carried forward to Chapter 7 as future work.</w:t>
      </w:r>
    </w:p>
    <w:p>
      <w:r>
        <w:br w:type="page"/>
      </w:r>
    </w:p>
    <w:p>
      <w:pPr>
        <w:pStyle w:val="Heading1"/>
        <w:spacing w:after="260" w:before="400"/>
      </w:pPr>
      <w:r>
        <w:rPr>
          <w:rFonts w:ascii="Times New Roman" w:cs="Times New Roman" w:eastAsia="Times New Roman" w:hAnsi="Times New Roman"/>
          <w:b/>
          <w:bCs/>
          <w:sz w:val="32"/>
          <w:szCs w:val="32"/>
        </w:rPr>
        <w:t xml:space="preserve">CHAPTER 6: TESTING</w:t>
      </w:r>
    </w:p>
    <w:p>
      <w:pPr>
        <w:pStyle w:val="Heading2"/>
        <w:spacing w:after="180" w:before="320"/>
      </w:pPr>
      <w:r>
        <w:rPr>
          <w:rFonts w:ascii="Times New Roman" w:cs="Times New Roman" w:eastAsia="Times New Roman" w:hAnsi="Times New Roman"/>
          <w:b/>
          <w:bCs/>
          <w:sz w:val="26"/>
          <w:szCs w:val="26"/>
        </w:rPr>
        <w:t xml:space="preserve">6.1 Introduction</w:t>
      </w:r>
    </w:p>
    <w:p>
      <w:pPr>
        <w:spacing w:after="200" w:line="360"/>
        <w:jc w:val="both"/>
      </w:pPr>
      <w:r>
        <w:rPr>
          <w:rFonts w:ascii="Times New Roman" w:cs="Times New Roman" w:eastAsia="Times New Roman" w:hAnsi="Times New Roman"/>
          <w:color w:val="000000"/>
          <w:sz w:val="24"/>
          <w:szCs w:val="24"/>
        </w:rPr>
        <w:t xml:space="preserve">This chapter describes the testing performed on the Smart Odour Monitoring Platform. It sets out the test organisation, environment, strategy and design, then presents the results of each test case and analyses the defects that testing revealed.</w:t>
      </w:r>
    </w:p>
    <w:p>
      <w:pPr>
        <w:spacing w:after="200" w:line="360"/>
        <w:jc w:val="both"/>
      </w:pPr>
      <w:r>
        <w:rPr>
          <w:rFonts w:ascii="Times New Roman" w:cs="Times New Roman" w:eastAsia="Times New Roman" w:hAnsi="Times New Roman"/>
          <w:color w:val="000000"/>
          <w:sz w:val="24"/>
          <w:szCs w:val="24"/>
        </w:rPr>
        <w:t xml:space="preserve">Testing was conducted against the actual deployment runtime with a live database rather than against simulated components. This distinction proved material: one defect described in section 6.5.2 passed every test executed against the local emulator and failed only in production.</w:t>
      </w:r>
    </w:p>
    <w:p>
      <w:pPr>
        <w:pStyle w:val="Heading2"/>
        <w:spacing w:after="180" w:before="320"/>
      </w:pPr>
      <w:r>
        <w:rPr>
          <w:rFonts w:ascii="Times New Roman" w:cs="Times New Roman" w:eastAsia="Times New Roman" w:hAnsi="Times New Roman"/>
          <w:b/>
          <w:bCs/>
          <w:sz w:val="26"/>
          <w:szCs w:val="26"/>
        </w:rPr>
        <w:t xml:space="preserve">6.2 Test Plan</w:t>
      </w:r>
    </w:p>
    <w:p>
      <w:pPr>
        <w:pStyle w:val="Heading3"/>
        <w:spacing w:after="140" w:before="260"/>
      </w:pPr>
      <w:r>
        <w:rPr>
          <w:rFonts w:ascii="Times New Roman" w:cs="Times New Roman" w:eastAsia="Times New Roman" w:hAnsi="Times New Roman"/>
          <w:b/>
          <w:bCs/>
          <w:sz w:val="24"/>
          <w:szCs w:val="24"/>
        </w:rPr>
        <w:t xml:space="preserve">6.2.1 Test Organization</w:t>
      </w:r>
    </w:p>
    <w:p>
      <w:pPr>
        <w:spacing w:after="300" w:before="100"/>
        <w:jc w:val="center"/>
      </w:pPr>
      <w:r>
        <w:rPr>
          <w:rFonts w:ascii="Times New Roman" w:cs="Times New Roman" w:eastAsia="Times New Roman" w:hAnsi="Times New Roman"/>
          <w:b/>
          <w:bCs/>
          <w:sz w:val="21"/>
          <w:szCs w:val="21"/>
        </w:rPr>
        <w:t xml:space="preserve">TABLE 6.1: TESTING ROLES</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2200"/>
        <w:gridCol w:w="6200"/>
      </w:tblGrid>
      <w:tr>
        <w:trPr>
          <w:tblHeader/>
        </w:trPr>
        <w:tc>
          <w:tcPr>
            <w:tcW w:type="dxa" w:w="22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Role</w:t>
            </w:r>
          </w:p>
        </w:tc>
        <w:tc>
          <w:tcPr>
            <w:tcW w:type="dxa" w:w="62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Responsibilities</w:t>
            </w:r>
          </w:p>
        </w:tc>
      </w:tr>
      <w:tr>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Project developer</w:t>
            </w:r>
          </w:p>
        </w:tc>
        <w:tc>
          <w:tcPr>
            <w:tcW w:type="dxa" w:w="6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Implements the system, designs and executes test cases, analyses results and resolves defects.</w:t>
            </w:r>
          </w:p>
        </w:tc>
      </w:tr>
      <w:tr>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Automated test suite</w:t>
            </w:r>
          </w:p>
        </w:tc>
        <w:tc>
          <w:tcPr>
            <w:tcW w:type="dxa" w:w="6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Executes functional, security and integration checks against the deployed runtime. Results are reproducible and independent of the operator.</w:t>
            </w:r>
          </w:p>
        </w:tc>
      </w:tr>
      <w:tr>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Hardware tester</w:t>
            </w:r>
          </w:p>
        </w:tc>
        <w:tc>
          <w:tcPr>
            <w:tcW w:type="dxa" w:w="6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Assembles the sensor node, verifies wiring and observes serial output and actuator behaviour during physical testing.</w:t>
            </w:r>
          </w:p>
        </w:tc>
      </w:tr>
      <w:tr>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Supervisor</w:t>
            </w:r>
          </w:p>
        </w:tc>
        <w:tc>
          <w:tcPr>
            <w:tcW w:type="dxa" w:w="6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Validates that the testing methodology and evidence satisfy academic requirements.</w:t>
            </w:r>
          </w:p>
        </w:tc>
      </w:tr>
    </w:tbl>
    <w:p>
      <w:pPr>
        <w:pStyle w:val="Heading3"/>
        <w:spacing w:after="140" w:before="260"/>
      </w:pPr>
      <w:r>
        <w:rPr>
          <w:rFonts w:ascii="Times New Roman" w:cs="Times New Roman" w:eastAsia="Times New Roman" w:hAnsi="Times New Roman"/>
          <w:b/>
          <w:bCs/>
          <w:sz w:val="24"/>
          <w:szCs w:val="24"/>
        </w:rPr>
        <w:t xml:space="preserve">6.2.2 Test Environment</w:t>
      </w:r>
    </w:p>
    <w:p>
      <w:pPr>
        <w:spacing w:after="100" w:line="360"/>
        <w:jc w:val="both"/>
      </w:pPr>
      <w:r>
        <w:rPr>
          <w:rFonts w:ascii="Times New Roman" w:cs="Times New Roman" w:eastAsia="Times New Roman" w:hAnsi="Times New Roman"/>
          <w:b/>
          <w:bCs/>
          <w:color w:val="000000"/>
          <w:sz w:val="24"/>
          <w:szCs w:val="24"/>
        </w:rPr>
        <w:t xml:space="preserve">6.2.2.1 Hardware configuration</w:t>
      </w:r>
    </w:p>
    <w:p>
      <w:pPr>
        <w:pStyle w:val="ListParagraph"/>
        <w:numPr>
          <w:ilvl w:val="0"/>
          <w:numId w:val="8"/>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Development machine: Apple MacBook Air running macOS, used for development, deployment and execution of the automated suites.</w:t>
      </w:r>
    </w:p>
    <w:p>
      <w:pPr>
        <w:pStyle w:val="ListParagraph"/>
        <w:numPr>
          <w:ilvl w:val="0"/>
          <w:numId w:val="8"/>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Edge node: ESP32 development module with MQ-5, MQ-6, two MQ-7 sensors, a DHT11, a 16×2 I2C display and a 5 V relay module.</w:t>
      </w:r>
    </w:p>
    <w:p>
      <w:pPr>
        <w:pStyle w:val="ListParagraph"/>
        <w:numPr>
          <w:ilvl w:val="0"/>
          <w:numId w:val="8"/>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Client devices: desktop and mobile browsers used to verify the three portals and responsive layout.</w:t>
      </w:r>
    </w:p>
    <w:p>
      <w:pPr>
        <w:spacing w:after="100" w:line="360"/>
        <w:jc w:val="both"/>
      </w:pPr>
      <w:r>
        <w:rPr>
          <w:rFonts w:ascii="Times New Roman" w:cs="Times New Roman" w:eastAsia="Times New Roman" w:hAnsi="Times New Roman"/>
          <w:b/>
          <w:bCs/>
          <w:color w:val="000000"/>
          <w:sz w:val="24"/>
          <w:szCs w:val="24"/>
        </w:rPr>
        <w:t xml:space="preserve">6.2.2.2 Software configuration</w:t>
      </w:r>
    </w:p>
    <w:p>
      <w:pPr>
        <w:pStyle w:val="ListParagraph"/>
        <w:numPr>
          <w:ilvl w:val="0"/>
          <w:numId w:val="8"/>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Edge runtime: Cloudflare Workers, production environment.</w:t>
      </w:r>
    </w:p>
    <w:p>
      <w:pPr>
        <w:pStyle w:val="ListParagraph"/>
        <w:numPr>
          <w:ilvl w:val="0"/>
          <w:numId w:val="8"/>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Local runtime: Wrangler development server, used for suites that must not write to production data.</w:t>
      </w:r>
    </w:p>
    <w:p>
      <w:pPr>
        <w:pStyle w:val="ListParagraph"/>
        <w:numPr>
          <w:ilvl w:val="0"/>
          <w:numId w:val="8"/>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Database: Cloudflare D1, with a local instance for destructive tests.</w:t>
      </w:r>
    </w:p>
    <w:p>
      <w:pPr>
        <w:pStyle w:val="ListParagraph"/>
        <w:numPr>
          <w:ilvl w:val="0"/>
          <w:numId w:val="8"/>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Firmware toolchain: Arduino IDE with the ESP32 board package; the actuation state machine was additionally compiled and executed on the host.</w:t>
      </w:r>
    </w:p>
    <w:p>
      <w:pPr>
        <w:pStyle w:val="Heading3"/>
        <w:spacing w:after="140" w:before="260"/>
      </w:pPr>
      <w:r>
        <w:rPr>
          <w:rFonts w:ascii="Times New Roman" w:cs="Times New Roman" w:eastAsia="Times New Roman" w:hAnsi="Times New Roman"/>
          <w:b/>
          <w:bCs/>
          <w:sz w:val="24"/>
          <w:szCs w:val="24"/>
        </w:rPr>
        <w:t xml:space="preserve">6.2.3 Test Schedule</w:t>
      </w:r>
    </w:p>
    <w:p>
      <w:pPr>
        <w:spacing w:after="300" w:before="100"/>
        <w:jc w:val="center"/>
      </w:pPr>
      <w:r>
        <w:rPr>
          <w:rFonts w:ascii="Times New Roman" w:cs="Times New Roman" w:eastAsia="Times New Roman" w:hAnsi="Times New Roman"/>
          <w:b/>
          <w:bCs/>
          <w:sz w:val="21"/>
          <w:szCs w:val="21"/>
        </w:rPr>
        <w:t xml:space="preserve">TABLE 6.2: TEST SCHEDULE</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1500"/>
        <w:gridCol w:w="4700"/>
        <w:gridCol w:w="2200"/>
      </w:tblGrid>
      <w:tr>
        <w:trPr>
          <w:tblHeader/>
        </w:trPr>
        <w:tc>
          <w:tcPr>
            <w:tcW w:type="dxa" w:w="15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Phase</w:t>
            </w:r>
          </w:p>
        </w:tc>
        <w:tc>
          <w:tcPr>
            <w:tcW w:type="dxa" w:w="47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Scope</w:t>
            </w:r>
          </w:p>
        </w:tc>
        <w:tc>
          <w:tcPr>
            <w:tcW w:type="dxa" w:w="22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Outcome</w:t>
            </w:r>
          </w:p>
        </w:tc>
      </w:tr>
      <w:tr>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Unit</w:t>
            </w:r>
          </w:p>
        </w:tc>
        <w:tc>
          <w:tcPr>
            <w:tcW w:type="dxa" w:w="4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Odour index, query construction, actuation state machine</w:t>
            </w:r>
          </w:p>
        </w:tc>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w:t>
            </w:r>
          </w:p>
        </w:tc>
      </w:tr>
      <w:tr>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Functional</w:t>
            </w:r>
          </w:p>
        </w:tc>
        <w:tc>
          <w:tcPr>
            <w:tcW w:type="dxa" w:w="4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Authentication, roles, thresholds, incidents</w:t>
            </w:r>
          </w:p>
        </w:tc>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23 checks</w:t>
            </w:r>
          </w:p>
        </w:tc>
      </w:tr>
      <w:tr>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Security</w:t>
            </w:r>
          </w:p>
        </w:tc>
        <w:tc>
          <w:tcPr>
            <w:tcW w:type="dxa" w:w="4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Signature verification, privilege escalation, session handling</w:t>
            </w:r>
          </w:p>
        </w:tc>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included</w:t>
            </w:r>
          </w:p>
        </w:tc>
      </w:tr>
      <w:tr>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Integration</w:t>
            </w:r>
          </w:p>
        </w:tc>
        <w:tc>
          <w:tcPr>
            <w:tcW w:type="dxa" w:w="4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Edge, database and compute sidecar end to end</w:t>
            </w:r>
          </w:p>
        </w:tc>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20 checks</w:t>
            </w:r>
          </w:p>
        </w:tc>
      </w:tr>
      <w:tr>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Notification</w:t>
            </w:r>
          </w:p>
        </w:tc>
        <w:tc>
          <w:tcPr>
            <w:tcW w:type="dxa" w:w="4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Webhook authentication, subscription, commands</w:t>
            </w:r>
          </w:p>
        </w:tc>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16 checks</w:t>
            </w:r>
          </w:p>
        </w:tc>
      </w:tr>
      <w:tr>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Interface contract</w:t>
            </w:r>
          </w:p>
        </w:tc>
        <w:tc>
          <w:tcPr>
            <w:tcW w:type="dxa" w:w="4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Firmware payload accepted and correctly interpreted</w:t>
            </w:r>
          </w:p>
        </w:tc>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8 checks</w:t>
            </w:r>
          </w:p>
        </w:tc>
      </w:tr>
      <w:tr>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Regression</w:t>
            </w:r>
          </w:p>
        </w:tc>
        <w:tc>
          <w:tcPr>
            <w:tcW w:type="dxa" w:w="4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Re-execution after each defect fix</w:t>
            </w:r>
          </w:p>
        </w:tc>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27 checks</w:t>
            </w:r>
          </w:p>
        </w:tc>
      </w:tr>
      <w:tr>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Hardware</w:t>
            </w:r>
          </w:p>
        </w:tc>
        <w:tc>
          <w:tcPr>
            <w:tcW w:type="dxa" w:w="4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Physical assembly, actuation, offline recovery</w:t>
            </w:r>
          </w:p>
        </w:tc>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Pending</w:t>
            </w:r>
          </w:p>
        </w:tc>
      </w:tr>
    </w:tbl>
    <w:p>
      <w:pPr>
        <w:pStyle w:val="Heading2"/>
        <w:spacing w:after="180" w:before="320"/>
      </w:pPr>
      <w:r>
        <w:rPr>
          <w:rFonts w:ascii="Times New Roman" w:cs="Times New Roman" w:eastAsia="Times New Roman" w:hAnsi="Times New Roman"/>
          <w:b/>
          <w:bCs/>
          <w:sz w:val="26"/>
          <w:szCs w:val="26"/>
        </w:rPr>
        <w:t xml:space="preserve">6.3 Test Strategy</w:t>
      </w:r>
    </w:p>
    <w:p>
      <w:pPr>
        <w:spacing w:after="200" w:line="360"/>
        <w:jc w:val="both"/>
      </w:pPr>
      <w:r>
        <w:rPr>
          <w:rFonts w:ascii="Times New Roman" w:cs="Times New Roman" w:eastAsia="Times New Roman" w:hAnsi="Times New Roman"/>
          <w:color w:val="000000"/>
          <w:sz w:val="24"/>
          <w:szCs w:val="24"/>
        </w:rPr>
        <w:t xml:space="preserve">Testing followed a black-box approach at the interface level, supplemented by white-box unit tests where logic could not be observed externally. Each defect fix was followed by re-execution of the complete affected suite to confirm no regression.</w:t>
      </w:r>
    </w:p>
    <w:p>
      <w:pPr>
        <w:spacing w:after="200" w:line="360"/>
        <w:jc w:val="both"/>
      </w:pPr>
      <w:r>
        <w:rPr>
          <w:rFonts w:ascii="Times New Roman" w:cs="Times New Roman" w:eastAsia="Times New Roman" w:hAnsi="Times New Roman"/>
          <w:color w:val="000000"/>
          <w:sz w:val="24"/>
          <w:szCs w:val="24"/>
        </w:rPr>
        <w:t xml:space="preserve">Negative testing was given equal weight to positive testing. For a system whose purpose is to detect and report hazardous conditions, verifying that invalid input is rejected is as important as verifying that valid input is accepted.</w:t>
      </w:r>
    </w:p>
    <w:p>
      <w:pPr>
        <w:pStyle w:val="Heading3"/>
        <w:spacing w:after="140" w:before="260"/>
      </w:pPr>
      <w:r>
        <w:rPr>
          <w:rFonts w:ascii="Times New Roman" w:cs="Times New Roman" w:eastAsia="Times New Roman" w:hAnsi="Times New Roman"/>
          <w:b/>
          <w:bCs/>
          <w:sz w:val="24"/>
          <w:szCs w:val="24"/>
        </w:rPr>
        <w:t xml:space="preserve">6.3.1 Classes of tests</w:t>
      </w:r>
    </w:p>
    <w:p>
      <w:pPr>
        <w:spacing w:after="300" w:before="100"/>
        <w:jc w:val="center"/>
      </w:pPr>
      <w:r>
        <w:rPr>
          <w:rFonts w:ascii="Times New Roman" w:cs="Times New Roman" w:eastAsia="Times New Roman" w:hAnsi="Times New Roman"/>
          <w:b/>
          <w:bCs/>
          <w:sz w:val="21"/>
          <w:szCs w:val="21"/>
        </w:rPr>
        <w:t xml:space="preserve">TABLE 6.3: CLASSES OF TESTS</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1800"/>
        <w:gridCol w:w="6600"/>
      </w:tblGrid>
      <w:tr>
        <w:trPr>
          <w:tblHeader/>
        </w:trPr>
        <w:tc>
          <w:tcPr>
            <w:tcW w:type="dxa" w:w="18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Class</w:t>
            </w:r>
          </w:p>
        </w:tc>
        <w:tc>
          <w:tcPr>
            <w:tcW w:type="dxa" w:w="66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Objective</w:t>
            </w:r>
          </w:p>
        </w:tc>
      </w:tr>
      <w:tr>
        <w:tc>
          <w:tcPr>
            <w:tcW w:type="dxa" w:w="1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Functional</w:t>
            </w:r>
          </w:p>
        </w:tc>
        <w:tc>
          <w:tcPr>
            <w:tcW w:type="dxa" w:w="6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Each feature behaves as specified for valid input.</w:t>
            </w:r>
          </w:p>
        </w:tc>
      </w:tr>
      <w:tr>
        <w:tc>
          <w:tcPr>
            <w:tcW w:type="dxa" w:w="1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Security</w:t>
            </w:r>
          </w:p>
        </w:tc>
        <w:tc>
          <w:tcPr>
            <w:tcW w:type="dxa" w:w="6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Forged payloads, unauthorised access and privilege escalation are refused.</w:t>
            </w:r>
          </w:p>
        </w:tc>
      </w:tr>
      <w:tr>
        <w:tc>
          <w:tcPr>
            <w:tcW w:type="dxa" w:w="1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Integration</w:t>
            </w:r>
          </w:p>
        </w:tc>
        <w:tc>
          <w:tcPr>
            <w:tcW w:type="dxa" w:w="6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Independently deployed services interoperate correctly.</w:t>
            </w:r>
          </w:p>
        </w:tc>
      </w:tr>
      <w:tr>
        <w:tc>
          <w:tcPr>
            <w:tcW w:type="dxa" w:w="1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Boundary</w:t>
            </w:r>
          </w:p>
        </w:tc>
        <w:tc>
          <w:tcPr>
            <w:tcW w:type="dxa" w:w="6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Threshold and range limits are enforced at their edges.</w:t>
            </w:r>
          </w:p>
        </w:tc>
      </w:tr>
      <w:tr>
        <w:tc>
          <w:tcPr>
            <w:tcW w:type="dxa" w:w="1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Negative</w:t>
            </w:r>
          </w:p>
        </w:tc>
        <w:tc>
          <w:tcPr>
            <w:tcW w:type="dxa" w:w="6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Malformed, missing and contradictory input is rejected safely.</w:t>
            </w:r>
          </w:p>
        </w:tc>
      </w:tr>
      <w:tr>
        <w:tc>
          <w:tcPr>
            <w:tcW w:type="dxa" w:w="1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Idempotency</w:t>
            </w:r>
          </w:p>
        </w:tc>
        <w:tc>
          <w:tcPr>
            <w:tcW w:type="dxa" w:w="6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Repeated delivery of the same reading does not duplicate stored data.</w:t>
            </w:r>
          </w:p>
        </w:tc>
      </w:tr>
    </w:tbl>
    <w:p>
      <w:pPr>
        <w:pStyle w:val="Heading2"/>
        <w:spacing w:after="180" w:before="320"/>
      </w:pPr>
      <w:r>
        <w:rPr>
          <w:rFonts w:ascii="Times New Roman" w:cs="Times New Roman" w:eastAsia="Times New Roman" w:hAnsi="Times New Roman"/>
          <w:b/>
          <w:bCs/>
          <w:sz w:val="26"/>
          <w:szCs w:val="26"/>
        </w:rPr>
        <w:t xml:space="preserve">6.4 Test Design</w:t>
      </w:r>
    </w:p>
    <w:p>
      <w:pPr>
        <w:pStyle w:val="Heading3"/>
        <w:spacing w:after="140" w:before="260"/>
      </w:pPr>
      <w:r>
        <w:rPr>
          <w:rFonts w:ascii="Times New Roman" w:cs="Times New Roman" w:eastAsia="Times New Roman" w:hAnsi="Times New Roman"/>
          <w:b/>
          <w:bCs/>
          <w:sz w:val="24"/>
          <w:szCs w:val="24"/>
        </w:rPr>
        <w:t xml:space="preserve">6.4.1 Test Case</w:t>
      </w:r>
    </w:p>
    <w:p>
      <w:pPr>
        <w:spacing w:after="200" w:line="360"/>
        <w:jc w:val="both"/>
      </w:pPr>
      <w:r>
        <w:rPr>
          <w:rFonts w:ascii="Times New Roman" w:cs="Times New Roman" w:eastAsia="Times New Roman" w:hAnsi="Times New Roman"/>
          <w:color w:val="000000"/>
          <w:sz w:val="24"/>
          <w:szCs w:val="24"/>
        </w:rPr>
        <w:t xml:space="preserve">Test cases are identified by module prefix: AUTH for authentication, RBAC for access control, ING for ingestion, THR for thresholds, ALT for alerting, TG for the Telegram bot, FW for firmware, and INT for integration.</w:t>
      </w:r>
    </w:p>
    <w:p>
      <w:pPr>
        <w:pStyle w:val="Heading2"/>
        <w:spacing w:after="180" w:before="320"/>
      </w:pPr>
      <w:r>
        <w:rPr>
          <w:rFonts w:ascii="Times New Roman" w:cs="Times New Roman" w:eastAsia="Times New Roman" w:hAnsi="Times New Roman"/>
          <w:b/>
          <w:bCs/>
          <w:sz w:val="26"/>
          <w:szCs w:val="26"/>
        </w:rPr>
        <w:t xml:space="preserve">6.5 Test Results and Analysis</w:t>
      </w:r>
    </w:p>
    <w:p>
      <w:pPr>
        <w:pStyle w:val="Heading3"/>
        <w:spacing w:after="140" w:before="260"/>
      </w:pPr>
      <w:r>
        <w:rPr>
          <w:rFonts w:ascii="Times New Roman" w:cs="Times New Roman" w:eastAsia="Times New Roman" w:hAnsi="Times New Roman"/>
          <w:b/>
          <w:bCs/>
          <w:sz w:val="24"/>
          <w:szCs w:val="24"/>
        </w:rPr>
        <w:t xml:space="preserve">6.5.1 Test Case Results</w:t>
      </w:r>
    </w:p>
    <w:p>
      <w:pPr>
        <w:spacing w:after="100" w:before="240"/>
      </w:pPr>
      <w:r>
        <w:rPr>
          <w:rFonts w:ascii="Times New Roman" w:cs="Times New Roman" w:eastAsia="Times New Roman" w:hAnsi="Times New Roman"/>
          <w:b/>
          <w:bCs/>
          <w:sz w:val="24"/>
          <w:szCs w:val="24"/>
        </w:rPr>
        <w:t xml:space="preserve">1. Test Case ID: TC-AUTH-01</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Authentication</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Create the first administrator account on an uninitialised system.</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Account created and assigned the administrator role.</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Account created; the endpoint returned HTTP 201 with the administrator role.</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2. Test Case ID: TC-AUTH-02</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Authentication</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Attempt to create a second administrator through the bootstrap route.</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Request refused; the route is permanently sealed after first use.</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Refused with HTTP 403 and the message "bootstrap already completed".</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3. Test Case ID: TC-AUTH-03</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Authentication</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Sign in with an incorrect password.</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Access denied without revealing whether the account exists.</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401 with the message "Incorrect email or password". An unregistered address produced an identical response and comparable timing.</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4. Test Case ID: TC-AUTH-04</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Authentication</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Register an account without a valid invitation code.</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Registration refused.</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Refused with HTTP 403 for an absent, invalid and previously used code.</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5. Test Case ID: TC-AUTH-05</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Authentication</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Reuse an invitation code that has already been redeemed.</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Second use refused.</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First redemption returned HTTP 201; the second returned HTTP 403.</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6. Test Case ID: TC-AUTH-06</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Authentication</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Register with a password shorter than the minimum length.</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Rejected with a message stating the requirement.</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400, "Password must be at least 12 characters."</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7. Test Case ID: TC-RBAC-01</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Access control</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A viewer attempts to modify sensor calibration thresholds.</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Refused; only administrators may alter thresholds.</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403. The same request from an administrator returned HTTP 200.</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8. Test Case ID: TC-RBAC-02</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Access control</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A viewer attempts to retrieve the list of registered users.</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Refused.</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403. An unauthenticated request returned HTTP 401.</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9. Test Case ID: TC-RBAC-03</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Access control</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A viewer submits a profile update containing an elevated role field, attempting privilege escalation.</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Profile updated; role unchanged.</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Name updated and the role remained "viewer". The role is never read from the request body.</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10. Test Case ID: TC-RBAC-04</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Access control</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A viewer opens the administrator portal directly by URL.</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Portal refuses to render and directs the user elsewhere.</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Refusal screen displayed naming the role held, with a link to the user portal. All privileged routes independently return HTTP 403.</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11. Test Case ID: TC-ING-01</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Ingestion</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Submit a telemetry payload with no signature.</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Rejected.</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401, "bad signature". Nothing was written to the database.</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12. Test Case ID: TC-ING-02</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Ingestion</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Submit a payload signed with an incorrect key.</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Rejected.</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401. This is the failure mode produced by a mismatch between the firmware key and the server key.</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13. Test Case ID: TC-ING-03</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Ingestion</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Submit a correctly signed payload.</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Accepted, stored, and the odour index computed.</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200. Index computed as 48.5 for the supplied values, matching the expected arithmetic. Station state changed from offline to live.</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14. Test Case ID: TC-ING-04</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Ingestion</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Retransmit a reading already stored, simulating replay of the offline buffer.</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Accepted without creating a duplicate record.</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200 returned; the stored row count was unchanged. The unique index on (node_id, seq) discarded the duplicate.</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15. Test Case ID: TC-ING-05</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Ingestion</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Submit a payload in which the climate sensor failed to read.</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Gas values retained; climate fields stored as null.</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Accepted, with temperature and humidity null. The sample was not discarded.</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16. Test Case ID: TC-THR-01</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Thresholds</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Set a warning limit greater than the corresponding critical limit.</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Rejected, as this would disable the warning tier.</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400 with an explanatory message.</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17. Test Case ID: TC-THR-02</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Thresholds</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Set a threshold outside the 12-bit range the hardware can produce.</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Rejected.</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400 for values below 0 or above 4095.</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18. Test Case ID: TC-THR-03</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Thresholds</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Apply valid thresholds and confirm persistence.</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Stored and returned on subsequent read.</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200; the modified value was returned by the read endpoint.</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19. Test Case ID: TC-ALT-01</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Alerting</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Verify that repeated breaches within the cooldown window do not raise repeated incidents.</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One incident per zone per cooldown period.</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A single incident was created; subsequent breaches within the window produced none.</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20. Test Case ID: TC-ALT-02</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Alerting</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Verify that a node which has never reported does not raise an offline incident.</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No incident for a node that has not yet been commissioned.</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No incident raised. A node that reported and then ceased did raise one, confirming the distinction is by prior activity rather than by absence of data.</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21. Test Case ID: TC-TG-01</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Notification</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Submit a webhook request without the shared secret.</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Rejected.</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403 for both an absent and an incorrect secret.</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22. Test Case ID: TC-TG-02</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Notification</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Subscribe and unsubscribe a chat using bot commands.</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Subscription state updated accordingly.</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The subscribe command registered the chat, unsubscribe deactivated it, and a further subscribe reactivated the same record.</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23. Test Case ID: TC-TG-03</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Notification</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Submit a malformed webhook body.</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HTTP 200, to prevent indefinite retry by the messaging platform.</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200 returned; the failure was recorded in the alert log.</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24. Test Case ID: TC-TG-04</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Notification</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Query campus status through the bot command interface.</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Response derived from live database state.</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Status, zones and incidents commands each returned HTTP 200 with values reflecting current database contents.</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25. Test Case ID: TC-FW-01</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Firmware</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Verify the actuation state machine across the hysteresis band.</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Host-compiled unit test</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Relay engages at or above 65, releases only below 40 and after the minimum run time.</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All nine state transitions behaved as specified, including remaining engaged at an index of 64 and refusing to release before the minimum run elapsed.</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26. Test Case ID: TC-FW-02</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Firmware</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Assemble the physical node and confirm end-to-end transmission.</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Hardware tester</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Serial output reports HTTP 200 and the station appears as live.</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Not yet executed; hardware assembly outstanding.</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C00000"/>
          <w:sz w:val="23"/>
          <w:szCs w:val="23"/>
        </w:rPr>
        <w:t xml:space="preserve">Pending hardware</w:t>
      </w:r>
    </w:p>
    <w:p>
      <w:pPr>
        <w:spacing w:after="100" w:before="240"/>
      </w:pPr>
      <w:r>
        <w:rPr>
          <w:rFonts w:ascii="Times New Roman" w:cs="Times New Roman" w:eastAsia="Times New Roman" w:hAnsi="Times New Roman"/>
          <w:b/>
          <w:bCs/>
          <w:sz w:val="24"/>
          <w:szCs w:val="24"/>
        </w:rPr>
        <w:t xml:space="preserve">27. Test Case ID: TC-FW-03</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Firmware</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Interrupt connectivity during operation and restore it, verifying buffered readings are replayed without duplication.</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Hardware tester</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Readings queued locally and delivered on reconnection, each retaining its original timestamp.</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Not yet executed; hardware assembly outstanding.</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C00000"/>
          <w:sz w:val="23"/>
          <w:szCs w:val="23"/>
        </w:rPr>
        <w:t xml:space="preserve">Pending hardware</w:t>
      </w:r>
    </w:p>
    <w:p>
      <w:pPr>
        <w:spacing w:after="100" w:before="240"/>
      </w:pPr>
      <w:r>
        <w:rPr>
          <w:rFonts w:ascii="Times New Roman" w:cs="Times New Roman" w:eastAsia="Times New Roman" w:hAnsi="Times New Roman"/>
          <w:b/>
          <w:bCs/>
          <w:sz w:val="24"/>
          <w:szCs w:val="24"/>
        </w:rPr>
        <w:t xml:space="preserve">28. Test Case ID: TC-INT-01</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Integration</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Execute a forecast across the edge, database and compute services.</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Model fitted, predictions written and retrievable.</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Three zones fitted; four forecast horizons stored per zone with uncertainty bounds within the valid range. A zone with insufficient data was refused rather than being given a fabricated forecast.</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29. Test Case ID: TC-INT-02</w:t>
      </w:r>
    </w:p>
    <w:p>
      <w:pPr>
        <w:pStyle w:val="ListParagraph"/>
        <w:numPr>
          <w:ilvl w:val="0"/>
          <w:numId w:val="9"/>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Integration</w:t>
      </w:r>
    </w:p>
    <w:p>
      <w:pPr>
        <w:pStyle w:val="ListParagraph"/>
        <w:numPr>
          <w:ilvl w:val="0"/>
          <w:numId w:val="9"/>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Generate a compliance report through the full service chain.</w:t>
      </w:r>
    </w:p>
    <w:p>
      <w:pPr>
        <w:pStyle w:val="ListParagraph"/>
        <w:numPr>
          <w:ilvl w:val="0"/>
          <w:numId w:val="9"/>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9"/>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A valid PDF returned and archived.</w:t>
      </w:r>
    </w:p>
    <w:p>
      <w:pPr>
        <w:pStyle w:val="ListParagraph"/>
        <w:numPr>
          <w:ilvl w:val="0"/>
          <w:numId w:val="9"/>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A valid PDF was produced and its metadata recorded. An unauthenticated request was refused with HTTP 401.</w:t>
      </w:r>
    </w:p>
    <w:p>
      <w:pPr>
        <w:pStyle w:val="ListParagraph"/>
        <w:numPr>
          <w:ilvl w:val="0"/>
          <w:numId w:val="9"/>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pStyle w:val="Heading3"/>
        <w:spacing w:after="140" w:before="260"/>
      </w:pPr>
      <w:r>
        <w:rPr>
          <w:rFonts w:ascii="Times New Roman" w:cs="Times New Roman" w:eastAsia="Times New Roman" w:hAnsi="Times New Roman"/>
          <w:b/>
          <w:bCs/>
          <w:sz w:val="24"/>
          <w:szCs w:val="24"/>
        </w:rPr>
        <w:t xml:space="preserve">6.5.2 Analysis of defects found</w:t>
      </w:r>
    </w:p>
    <w:p>
      <w:pPr>
        <w:spacing w:after="200" w:line="360"/>
        <w:jc w:val="both"/>
      </w:pPr>
      <w:r>
        <w:rPr>
          <w:rFonts w:ascii="Times New Roman" w:cs="Times New Roman" w:eastAsia="Times New Roman" w:hAnsi="Times New Roman"/>
          <w:color w:val="000000"/>
          <w:sz w:val="24"/>
          <w:szCs w:val="24"/>
        </w:rPr>
        <w:t xml:space="preserve">Testing revealed three defects that merit discussion, because in each case the system appeared to function correctly and produced no error.</w:t>
      </w:r>
    </w:p>
    <w:p>
      <w:pPr>
        <w:spacing w:after="100" w:line="360"/>
        <w:jc w:val="both"/>
      </w:pPr>
      <w:r>
        <w:rPr>
          <w:rFonts w:ascii="Times New Roman" w:cs="Times New Roman" w:eastAsia="Times New Roman" w:hAnsi="Times New Roman"/>
          <w:b/>
          <w:bCs/>
          <w:color w:val="000000"/>
          <w:sz w:val="24"/>
          <w:szCs w:val="24"/>
        </w:rPr>
        <w:t xml:space="preserve">(a) Query result ordering</w:t>
      </w:r>
    </w:p>
    <w:p>
      <w:pPr>
        <w:spacing w:after="200" w:line="360"/>
        <w:jc w:val="both"/>
      </w:pPr>
      <w:r>
        <w:rPr>
          <w:rFonts w:ascii="Times New Roman" w:cs="Times New Roman" w:eastAsia="Times New Roman" w:hAnsi="Times New Roman"/>
          <w:color w:val="000000"/>
          <w:sz w:val="24"/>
          <w:szCs w:val="24"/>
        </w:rPr>
        <w:t xml:space="preserve">The historical query retrieved records in ascending time order with a row limit applied, which returns the earliest records rather than the most recent. The defect is invisible while a station holds fewer records than the limit. At the production sampling rate of one reading every eight seconds, the limit would be exceeded within a single day, after which every chart would have displayed the first day of data indefinitely and the predictive model would have been fitted to history while ignoring current conditions. The query was restructured to select the most recent records and return them in ascending order.</w:t>
      </w:r>
    </w:p>
    <w:p>
      <w:pPr>
        <w:spacing w:after="100" w:line="360"/>
        <w:jc w:val="both"/>
      </w:pPr>
      <w:r>
        <w:rPr>
          <w:rFonts w:ascii="Times New Roman" w:cs="Times New Roman" w:eastAsia="Times New Roman" w:hAnsi="Times New Roman"/>
          <w:b/>
          <w:bCs/>
          <w:color w:val="000000"/>
          <w:sz w:val="24"/>
          <w:szCs w:val="24"/>
        </w:rPr>
        <w:t xml:space="preserve">(b) Platform cryptographic limit</w:t>
      </w:r>
    </w:p>
    <w:p>
      <w:pPr>
        <w:spacing w:after="200" w:line="360"/>
        <w:jc w:val="both"/>
      </w:pPr>
      <w:r>
        <w:rPr>
          <w:rFonts w:ascii="Times New Roman" w:cs="Times New Roman" w:eastAsia="Times New Roman" w:hAnsi="Times New Roman"/>
          <w:color w:val="000000"/>
          <w:sz w:val="24"/>
          <w:szCs w:val="24"/>
        </w:rPr>
        <w:t xml:space="preserve">The password hashing function was configured at 210,000 iterations in accordance with published guidance. Every test executed against the local development emulator passed. The deployed runtime rejects iteration counts above 100,000, and account creation failed in production only. The emulator implements the same interface over a different cryptographic provider without the restriction. The configuration was reduced to the permitted maximum and a clamp was added so that a misconfiguration degrades the hash cost rather than preventing authentication entirely.</w:t>
      </w:r>
    </w:p>
    <w:p>
      <w:pPr>
        <w:spacing w:after="200" w:line="360"/>
        <w:jc w:val="both"/>
      </w:pPr>
      <w:r>
        <w:rPr>
          <w:rFonts w:ascii="Times New Roman" w:cs="Times New Roman" w:eastAsia="Times New Roman" w:hAnsi="Times New Roman"/>
          <w:i/>
          <w:iCs/>
          <w:color w:val="000000"/>
          <w:sz w:val="24"/>
          <w:szCs w:val="24"/>
        </w:rPr>
        <w:t xml:space="preserve">The wider observation is that a local emulator is not the runtime, and a security parameter verified only against an emulator has not been verified.</w:t>
      </w:r>
    </w:p>
    <w:p>
      <w:pPr>
        <w:spacing w:after="100" w:line="360"/>
        <w:jc w:val="both"/>
      </w:pPr>
      <w:r>
        <w:rPr>
          <w:rFonts w:ascii="Times New Roman" w:cs="Times New Roman" w:eastAsia="Times New Roman" w:hAnsi="Times New Roman"/>
          <w:b/>
          <w:bCs/>
          <w:color w:val="000000"/>
          <w:sz w:val="24"/>
          <w:szCs w:val="24"/>
        </w:rPr>
        <w:t xml:space="preserve">(c) Cross-site session cookie</w:t>
      </w:r>
    </w:p>
    <w:p>
      <w:pPr>
        <w:spacing w:after="200" w:line="360"/>
        <w:jc w:val="both"/>
      </w:pPr>
      <w:r>
        <w:rPr>
          <w:rFonts w:ascii="Times New Roman" w:cs="Times New Roman" w:eastAsia="Times New Roman" w:hAnsi="Times New Roman"/>
          <w:color w:val="000000"/>
          <w:sz w:val="24"/>
          <w:szCs w:val="24"/>
        </w:rPr>
        <w:t xml:space="preserve">The session cookie was issued with a same-site policy of Strict. The web portals and the application programming interface are served from different registrable domains, so the browser stored the cookie and never transmitted it. Authentication appeared to succeed and every subsequent privileged request was refused with HTTP 401, with no error visible to the user. The policy was changed to None with the Secure attribute, and the loss of implicit cross-site request protection was compensated by an explicit origin allow-list and a content-type requirement that a cross-site form cannot satisfy.</w:t>
      </w:r>
    </w:p>
    <w:p>
      <w:pPr>
        <w:pStyle w:val="Heading2"/>
        <w:spacing w:after="180" w:before="320"/>
      </w:pPr>
      <w:r>
        <w:rPr>
          <w:rFonts w:ascii="Times New Roman" w:cs="Times New Roman" w:eastAsia="Times New Roman" w:hAnsi="Times New Roman"/>
          <w:b/>
          <w:bCs/>
          <w:sz w:val="26"/>
          <w:szCs w:val="26"/>
        </w:rPr>
        <w:t xml:space="preserve">6.6 Conclusion</w:t>
      </w:r>
    </w:p>
    <w:p>
      <w:pPr>
        <w:spacing w:after="200" w:line="360"/>
        <w:jc w:val="both"/>
      </w:pPr>
      <w:r>
        <w:rPr>
          <w:rFonts w:ascii="Times New Roman" w:cs="Times New Roman" w:eastAsia="Times New Roman" w:hAnsi="Times New Roman"/>
          <w:color w:val="000000"/>
          <w:sz w:val="24"/>
          <w:szCs w:val="24"/>
        </w:rPr>
        <w:t xml:space="preserve">Of the test cases presented, 27 passed and 2 remain pending physical hardware assembly. No test case failed at the conclusion of testing. The three defects described in section 6.5.2 were identified during testing, corrected, and confirmed by re-execution of the affected suites.</w:t>
      </w:r>
    </w:p>
    <w:p>
      <w:pPr>
        <w:spacing w:after="200" w:line="360"/>
        <w:jc w:val="both"/>
      </w:pPr>
      <w:r>
        <w:rPr>
          <w:rFonts w:ascii="Times New Roman" w:cs="Times New Roman" w:eastAsia="Times New Roman" w:hAnsi="Times New Roman"/>
          <w:color w:val="000000"/>
          <w:sz w:val="24"/>
          <w:szCs w:val="24"/>
        </w:rPr>
        <w:t xml:space="preserve">The pending cases are those requiring the assembled sensor node. Until they are executed, the claims concerning physical actuation and offline recovery are supported by unit testing of the control logic rather than by observation of the hardware.</w:t>
      </w:r>
    </w:p>
    <w:p>
      <w:r>
        <w:br w:type="page"/>
      </w:r>
    </w:p>
    <w:p>
      <w:pPr>
        <w:pStyle w:val="Heading1"/>
        <w:spacing w:after="260" w:before="400"/>
      </w:pPr>
      <w:r>
        <w:rPr>
          <w:rFonts w:ascii="Times New Roman" w:cs="Times New Roman" w:eastAsia="Times New Roman" w:hAnsi="Times New Roman"/>
          <w:b/>
          <w:bCs/>
          <w:sz w:val="32"/>
          <w:szCs w:val="32"/>
        </w:rPr>
        <w:t xml:space="preserve">CHAPTER 7: PROJECT CONCLUSION</w:t>
      </w:r>
    </w:p>
    <w:p>
      <w:pPr>
        <w:pStyle w:val="Heading2"/>
        <w:spacing w:after="180" w:before="320"/>
      </w:pPr>
      <w:r>
        <w:rPr>
          <w:rFonts w:ascii="Times New Roman" w:cs="Times New Roman" w:eastAsia="Times New Roman" w:hAnsi="Times New Roman"/>
          <w:b/>
          <w:bCs/>
          <w:sz w:val="26"/>
          <w:szCs w:val="26"/>
        </w:rPr>
        <w:t xml:space="preserve">7.1 Introduction</w:t>
      </w:r>
    </w:p>
    <w:p>
      <w:pPr>
        <w:spacing w:after="200" w:line="360"/>
        <w:jc w:val="both"/>
      </w:pPr>
      <w:r>
        <w:rPr>
          <w:rFonts w:ascii="Times New Roman" w:cs="Times New Roman" w:eastAsia="Times New Roman" w:hAnsi="Times New Roman"/>
          <w:color w:val="000000"/>
          <w:sz w:val="24"/>
          <w:szCs w:val="24"/>
        </w:rPr>
        <w:t xml:space="preserve">This chapter summarises the project, states its contributions, acknowledges its limitations honestly, and identifies work that would extend it.</w:t>
      </w:r>
    </w:p>
    <w:p>
      <w:pPr>
        <w:pStyle w:val="Heading2"/>
        <w:spacing w:after="180" w:before="320"/>
      </w:pPr>
      <w:r>
        <w:rPr>
          <w:rFonts w:ascii="Times New Roman" w:cs="Times New Roman" w:eastAsia="Times New Roman" w:hAnsi="Times New Roman"/>
          <w:b/>
          <w:bCs/>
          <w:sz w:val="26"/>
          <w:szCs w:val="26"/>
        </w:rPr>
        <w:t xml:space="preserve">7.2 Project Summarization</w:t>
      </w:r>
    </w:p>
    <w:p>
      <w:pPr>
        <w:spacing w:after="200" w:line="360"/>
        <w:jc w:val="both"/>
      </w:pPr>
      <w:r>
        <w:rPr>
          <w:rFonts w:ascii="Times New Roman" w:cs="Times New Roman" w:eastAsia="Times New Roman" w:hAnsi="Times New Roman"/>
          <w:color w:val="000000"/>
          <w:sz w:val="24"/>
          <w:szCs w:val="24"/>
        </w:rPr>
        <w:t xml:space="preserve">The Smart Odour Monitoring Platform was developed to detect, record and communicate airborne odour conditions across a campus environment. Sensor nodes sample gas concentration and climate, sign each reading cryptographically, and transmit it to an edge compute layer that stores, evaluates and publishes the data. Threshold breaches raise incidents, notify staff through Telegram and electronic mail, and trigger exhaust ventilation automatically.</w:t>
      </w:r>
    </w:p>
    <w:p>
      <w:pPr>
        <w:spacing w:after="200" w:line="360"/>
        <w:jc w:val="both"/>
      </w:pPr>
      <w:r>
        <w:rPr>
          <w:rFonts w:ascii="Times New Roman" w:cs="Times New Roman" w:eastAsia="Times New Roman" w:hAnsi="Times New Roman"/>
          <w:color w:val="000000"/>
          <w:sz w:val="24"/>
          <w:szCs w:val="24"/>
        </w:rPr>
        <w:t xml:space="preserve">The system is deployed and publicly accessible. It comprises approximately 5,800 lines of application code across four subsystems, backed by a fourteen-table database, and operates entirely within free-tier infrastructure at no recurring cost.</w:t>
      </w:r>
    </w:p>
    <w:p>
      <w:pPr>
        <w:spacing w:after="200" w:line="360"/>
        <w:jc w:val="both"/>
      </w:pPr>
      <w:r>
        <w:rPr>
          <w:rFonts w:ascii="Times New Roman" w:cs="Times New Roman" w:eastAsia="Times New Roman" w:hAnsi="Times New Roman"/>
          <w:color w:val="000000"/>
          <w:sz w:val="24"/>
          <w:szCs w:val="24"/>
        </w:rPr>
        <w:t xml:space="preserve">The original design specified a conventional cloud architecture with virtual machines, a load balancer and an auto-scaling group. It was rebuilt on an edge compute platform, which removed the origin server as a single point of failure rather than mitigating it through redundancy.</w:t>
      </w:r>
    </w:p>
    <w:p>
      <w:pPr>
        <w:pStyle w:val="Heading2"/>
        <w:spacing w:after="180" w:before="320"/>
      </w:pPr>
      <w:r>
        <w:rPr>
          <w:rFonts w:ascii="Times New Roman" w:cs="Times New Roman" w:eastAsia="Times New Roman" w:hAnsi="Times New Roman"/>
          <w:b/>
          <w:bCs/>
          <w:sz w:val="26"/>
          <w:szCs w:val="26"/>
        </w:rPr>
        <w:t xml:space="preserve">7.3 Project Contribution</w:t>
      </w:r>
    </w:p>
    <w:p>
      <w:pPr>
        <w:pStyle w:val="ListParagraph"/>
        <w:numPr>
          <w:ilvl w:val="0"/>
          <w:numId w:val="10"/>
        </w:numPr>
        <w:spacing w:after="140" w:line="340"/>
        <w:jc w:val="both"/>
      </w:pPr>
      <w:r>
        <w:rPr>
          <w:rFonts w:ascii="Times New Roman" w:cs="Times New Roman" w:eastAsia="Times New Roman" w:hAnsi="Times New Roman"/>
          <w:b/>
          <w:bCs/>
          <w:sz w:val="24"/>
          <w:szCs w:val="24"/>
        </w:rPr>
        <w:t xml:space="preserve">A complete monitoring system: </w:t>
      </w:r>
      <w:r>
        <w:rPr>
          <w:rFonts w:ascii="Times New Roman" w:cs="Times New Roman" w:eastAsia="Times New Roman" w:hAnsi="Times New Roman"/>
          <w:sz w:val="24"/>
          <w:szCs w:val="24"/>
        </w:rPr>
        <w:t xml:space="preserve">a working platform covering sampling, secure transmission, storage, evaluation, notification, actuation and presentation, with three role-separated interfaces.</w:t>
      </w:r>
    </w:p>
    <w:p>
      <w:pPr>
        <w:pStyle w:val="ListParagraph"/>
        <w:numPr>
          <w:ilvl w:val="0"/>
          <w:numId w:val="10"/>
        </w:numPr>
        <w:spacing w:after="140" w:line="340"/>
        <w:jc w:val="both"/>
      </w:pPr>
      <w:r>
        <w:rPr>
          <w:rFonts w:ascii="Times New Roman" w:cs="Times New Roman" w:eastAsia="Times New Roman" w:hAnsi="Times New Roman"/>
          <w:b/>
          <w:bCs/>
          <w:sz w:val="24"/>
          <w:szCs w:val="24"/>
        </w:rPr>
        <w:t xml:space="preserve">Cryptographically attributable telemetry: </w:t>
      </w:r>
      <w:r>
        <w:rPr>
          <w:rFonts w:ascii="Times New Roman" w:cs="Times New Roman" w:eastAsia="Times New Roman" w:hAnsi="Times New Roman"/>
          <w:sz w:val="24"/>
          <w:szCs w:val="24"/>
        </w:rPr>
        <w:t xml:space="preserve">readings are signed at the point of measurement rather than authenticated by a bearer credential, so a stored reading can be attributed to specific hardware and not merely to a party holding a token.</w:t>
      </w:r>
    </w:p>
    <w:p>
      <w:pPr>
        <w:pStyle w:val="ListParagraph"/>
        <w:numPr>
          <w:ilvl w:val="0"/>
          <w:numId w:val="10"/>
        </w:numPr>
        <w:spacing w:after="140" w:line="340"/>
        <w:jc w:val="both"/>
      </w:pPr>
      <w:r>
        <w:rPr>
          <w:rFonts w:ascii="Times New Roman" w:cs="Times New Roman" w:eastAsia="Times New Roman" w:hAnsi="Times New Roman"/>
          <w:b/>
          <w:bCs/>
          <w:sz w:val="24"/>
          <w:szCs w:val="24"/>
        </w:rPr>
        <w:t xml:space="preserve">Structurally idempotent delivery: </w:t>
      </w:r>
      <w:r>
        <w:rPr>
          <w:rFonts w:ascii="Times New Roman" w:cs="Times New Roman" w:eastAsia="Times New Roman" w:hAnsi="Times New Roman"/>
          <w:sz w:val="24"/>
          <w:szCs w:val="24"/>
        </w:rPr>
        <w:t xml:space="preserve">offline readings carry monotonic sequence numbers and the database enforces uniqueness over them, making replay idempotent by construction rather than by retry policy.</w:t>
      </w:r>
    </w:p>
    <w:p>
      <w:pPr>
        <w:pStyle w:val="ListParagraph"/>
        <w:numPr>
          <w:ilvl w:val="0"/>
          <w:numId w:val="10"/>
        </w:numPr>
        <w:spacing w:after="140" w:line="340"/>
        <w:jc w:val="both"/>
      </w:pPr>
      <w:r>
        <w:rPr>
          <w:rFonts w:ascii="Times New Roman" w:cs="Times New Roman" w:eastAsia="Times New Roman" w:hAnsi="Times New Roman"/>
          <w:b/>
          <w:bCs/>
          <w:sz w:val="24"/>
          <w:szCs w:val="24"/>
        </w:rPr>
        <w:t xml:space="preserve">Network-independent actuation: </w:t>
      </w:r>
      <w:r>
        <w:rPr>
          <w:rFonts w:ascii="Times New Roman" w:cs="Times New Roman" w:eastAsia="Times New Roman" w:hAnsi="Times New Roman"/>
          <w:sz w:val="24"/>
          <w:szCs w:val="24"/>
        </w:rPr>
        <w:t xml:space="preserve">the exhaust decision is taken on the node using a hysteresis band, so ventilation responds during a network outage and a fluctuating reading cannot damage the relay.</w:t>
      </w:r>
    </w:p>
    <w:p>
      <w:pPr>
        <w:pStyle w:val="ListParagraph"/>
        <w:numPr>
          <w:ilvl w:val="0"/>
          <w:numId w:val="10"/>
        </w:numPr>
        <w:spacing w:after="140" w:line="340"/>
        <w:jc w:val="both"/>
      </w:pPr>
      <w:r>
        <w:rPr>
          <w:rFonts w:ascii="Times New Roman" w:cs="Times New Roman" w:eastAsia="Times New Roman" w:hAnsi="Times New Roman"/>
          <w:b/>
          <w:bCs/>
          <w:sz w:val="24"/>
          <w:szCs w:val="24"/>
        </w:rPr>
        <w:t xml:space="preserve">A forecasting component that declines to guess: </w:t>
      </w:r>
      <w:r>
        <w:rPr>
          <w:rFonts w:ascii="Times New Roman" w:cs="Times New Roman" w:eastAsia="Times New Roman" w:hAnsi="Times New Roman"/>
          <w:sz w:val="24"/>
          <w:szCs w:val="24"/>
        </w:rPr>
        <w:t xml:space="preserve">the predictive component selects its model by available data volume and refuses to produce a forecast below a minimum sample count, reporting the model used and its goodness of fit rather than presenting an unqualified number.</w:t>
      </w:r>
    </w:p>
    <w:p>
      <w:pPr>
        <w:pStyle w:val="ListParagraph"/>
        <w:numPr>
          <w:ilvl w:val="0"/>
          <w:numId w:val="10"/>
        </w:numPr>
        <w:spacing w:after="140" w:line="340"/>
        <w:jc w:val="both"/>
      </w:pPr>
      <w:r>
        <w:rPr>
          <w:rFonts w:ascii="Times New Roman" w:cs="Times New Roman" w:eastAsia="Times New Roman" w:hAnsi="Times New Roman"/>
          <w:b/>
          <w:bCs/>
          <w:sz w:val="24"/>
          <w:szCs w:val="24"/>
        </w:rPr>
        <w:t xml:space="preserve">Measured availability: </w:t>
      </w:r>
      <w:r>
        <w:rPr>
          <w:rFonts w:ascii="Times New Roman" w:cs="Times New Roman" w:eastAsia="Times New Roman" w:hAnsi="Times New Roman"/>
          <w:sz w:val="24"/>
          <w:szCs w:val="24"/>
        </w:rPr>
        <w:t xml:space="preserve">availability is measured by a probe writing to a persistent table, so uptime is reported from recorded observations rather than asserted.</w:t>
      </w:r>
    </w:p>
    <w:p>
      <w:pPr>
        <w:pStyle w:val="Heading2"/>
        <w:spacing w:after="180" w:before="320"/>
      </w:pPr>
      <w:r>
        <w:rPr>
          <w:rFonts w:ascii="Times New Roman" w:cs="Times New Roman" w:eastAsia="Times New Roman" w:hAnsi="Times New Roman"/>
          <w:b/>
          <w:bCs/>
          <w:sz w:val="26"/>
          <w:szCs w:val="26"/>
        </w:rPr>
        <w:t xml:space="preserve">7.4 Project Limitation</w:t>
      </w:r>
    </w:p>
    <w:p>
      <w:pPr>
        <w:spacing w:after="200" w:line="360"/>
        <w:jc w:val="both"/>
      </w:pPr>
      <w:r>
        <w:rPr>
          <w:rFonts w:ascii="Times New Roman" w:cs="Times New Roman" w:eastAsia="Times New Roman" w:hAnsi="Times New Roman"/>
          <w:color w:val="000000"/>
          <w:sz w:val="24"/>
          <w:szCs w:val="24"/>
        </w:rPr>
        <w:t xml:space="preserve">The following limitations are stated plainly, as each bears on how the results should be interpreted.</w:t>
      </w:r>
    </w:p>
    <w:p>
      <w:pPr>
        <w:pStyle w:val="ListParagraph"/>
        <w:numPr>
          <w:ilvl w:val="0"/>
          <w:numId w:val="11"/>
        </w:numPr>
        <w:spacing w:after="140" w:line="340"/>
        <w:jc w:val="both"/>
      </w:pPr>
      <w:r>
        <w:rPr>
          <w:rFonts w:ascii="Times New Roman" w:cs="Times New Roman" w:eastAsia="Times New Roman" w:hAnsi="Times New Roman"/>
          <w:b/>
          <w:bCs/>
          <w:sz w:val="24"/>
          <w:szCs w:val="24"/>
        </w:rPr>
        <w:t xml:space="preserve">Sensor calibration: </w:t>
      </w:r>
      <w:r>
        <w:rPr>
          <w:rFonts w:ascii="Times New Roman" w:cs="Times New Roman" w:eastAsia="Times New Roman" w:hAnsi="Times New Roman"/>
          <w:sz w:val="24"/>
          <w:szCs w:val="24"/>
        </w:rPr>
        <w:t xml:space="preserve">The MQ-series sensors used are not calibrated against a reference gas. Their output varies with temperature, humidity and sensor age. The system therefore reports a relative severity index between 0 and 100 and makes no claim in parts per million. It does not measure ammonia. Reporting absolute concentrations would require per-sensor calibration that was not performed.</w:t>
      </w:r>
    </w:p>
    <w:p>
      <w:pPr>
        <w:pStyle w:val="ListParagraph"/>
        <w:numPr>
          <w:ilvl w:val="0"/>
          <w:numId w:val="11"/>
        </w:numPr>
        <w:spacing w:after="140" w:line="340"/>
        <w:jc w:val="both"/>
      </w:pPr>
      <w:r>
        <w:rPr>
          <w:rFonts w:ascii="Times New Roman" w:cs="Times New Roman" w:eastAsia="Times New Roman" w:hAnsi="Times New Roman"/>
          <w:b/>
          <w:bCs/>
          <w:sz w:val="24"/>
          <w:szCs w:val="24"/>
        </w:rPr>
        <w:t xml:space="preserve">Self-reported availability: </w:t>
      </w:r>
      <w:r>
        <w:rPr>
          <w:rFonts w:ascii="Times New Roman" w:cs="Times New Roman" w:eastAsia="Times New Roman" w:hAnsi="Times New Roman"/>
          <w:sz w:val="24"/>
          <w:szCs w:val="24"/>
        </w:rPr>
        <w:t xml:space="preserve">availability is measured by a probe executing on the same platform it observes. It cannot detect a total platform outage, and an independent external monitor would be required to substantiate an availability figure without qualification.</w:t>
      </w:r>
    </w:p>
    <w:p>
      <w:pPr>
        <w:pStyle w:val="ListParagraph"/>
        <w:numPr>
          <w:ilvl w:val="0"/>
          <w:numId w:val="11"/>
        </w:numPr>
        <w:spacing w:after="140" w:line="340"/>
        <w:jc w:val="both"/>
      </w:pPr>
      <w:r>
        <w:rPr>
          <w:rFonts w:ascii="Times New Roman" w:cs="Times New Roman" w:eastAsia="Times New Roman" w:hAnsi="Times New Roman"/>
          <w:b/>
          <w:bCs/>
          <w:sz w:val="24"/>
          <w:szCs w:val="24"/>
        </w:rPr>
        <w:t xml:space="preserve">Recovery time not demonstrated: </w:t>
      </w:r>
      <w:r>
        <w:rPr>
          <w:rFonts w:ascii="Times New Roman" w:cs="Times New Roman" w:eastAsia="Times New Roman" w:hAnsi="Times New Roman"/>
          <w:sz w:val="24"/>
          <w:szCs w:val="24"/>
        </w:rPr>
        <w:t xml:space="preserve">the target recovery time was not demonstrated by an induced-failure test with timestamped detection and recovery events. The architecture removes the failure mode the target was written for, but the specific measurement was not taken.</w:t>
      </w:r>
    </w:p>
    <w:p>
      <w:pPr>
        <w:pStyle w:val="ListParagraph"/>
        <w:numPr>
          <w:ilvl w:val="0"/>
          <w:numId w:val="11"/>
        </w:numPr>
        <w:spacing w:after="140" w:line="340"/>
        <w:jc w:val="both"/>
      </w:pPr>
      <w:r>
        <w:rPr>
          <w:rFonts w:ascii="Times New Roman" w:cs="Times New Roman" w:eastAsia="Times New Roman" w:hAnsi="Times New Roman"/>
          <w:b/>
          <w:bCs/>
          <w:sz w:val="24"/>
          <w:szCs w:val="24"/>
        </w:rPr>
        <w:t xml:space="preserve">Data integrity not reconciled: </w:t>
      </w:r>
      <w:r>
        <w:rPr>
          <w:rFonts w:ascii="Times New Roman" w:cs="Times New Roman" w:eastAsia="Times New Roman" w:hAnsi="Times New Roman"/>
          <w:sz w:val="24"/>
          <w:szCs w:val="24"/>
        </w:rPr>
        <w:t xml:space="preserve">the count of payloads archived to object storage is not reconciled against records stored in the database. Zero data loss is argued from the sequence-number design rather than measured.</w:t>
      </w:r>
    </w:p>
    <w:p>
      <w:pPr>
        <w:pStyle w:val="ListParagraph"/>
        <w:numPr>
          <w:ilvl w:val="0"/>
          <w:numId w:val="11"/>
        </w:numPr>
        <w:spacing w:after="140" w:line="340"/>
        <w:jc w:val="both"/>
      </w:pPr>
      <w:r>
        <w:rPr>
          <w:rFonts w:ascii="Times New Roman" w:cs="Times New Roman" w:eastAsia="Times New Roman" w:hAnsi="Times New Roman"/>
          <w:b/>
          <w:bCs/>
          <w:sz w:val="24"/>
          <w:szCs w:val="24"/>
        </w:rPr>
        <w:t xml:space="preserve">Sensor stabilisation period: </w:t>
      </w:r>
      <w:r>
        <w:rPr>
          <w:rFonts w:ascii="Times New Roman" w:cs="Times New Roman" w:eastAsia="Times New Roman" w:hAnsi="Times New Roman"/>
          <w:sz w:val="24"/>
          <w:szCs w:val="24"/>
        </w:rPr>
        <w:t xml:space="preserve">sensor readings require 24 to 48 hours of continuous operation before stabilising. Data gathered before this period drifts and should be excluded from analysis.</w:t>
      </w:r>
    </w:p>
    <w:p>
      <w:pPr>
        <w:pStyle w:val="ListParagraph"/>
        <w:numPr>
          <w:ilvl w:val="0"/>
          <w:numId w:val="11"/>
        </w:numPr>
        <w:spacing w:after="140" w:line="340"/>
        <w:jc w:val="both"/>
      </w:pPr>
      <w:r>
        <w:rPr>
          <w:rFonts w:ascii="Times New Roman" w:cs="Times New Roman" w:eastAsia="Times New Roman" w:hAnsi="Times New Roman"/>
          <w:b/>
          <w:bCs/>
          <w:sz w:val="24"/>
          <w:szCs w:val="24"/>
        </w:rPr>
        <w:t xml:space="preserve">Components not deployed: </w:t>
      </w:r>
      <w:r>
        <w:rPr>
          <w:rFonts w:ascii="Times New Roman" w:cs="Times New Roman" w:eastAsia="Times New Roman" w:hAnsi="Times New Roman"/>
          <w:sz w:val="24"/>
          <w:szCs w:val="24"/>
        </w:rPr>
        <w:t xml:space="preserve">the predictive component and the compliance report generator are implemented and tested but were not deployed at the time of writing.</w:t>
      </w:r>
    </w:p>
    <w:p>
      <w:pPr>
        <w:pStyle w:val="Heading2"/>
        <w:spacing w:after="180" w:before="320"/>
      </w:pPr>
      <w:r>
        <w:rPr>
          <w:rFonts w:ascii="Times New Roman" w:cs="Times New Roman" w:eastAsia="Times New Roman" w:hAnsi="Times New Roman"/>
          <w:b/>
          <w:bCs/>
          <w:sz w:val="26"/>
          <w:szCs w:val="26"/>
        </w:rPr>
        <w:t xml:space="preserve">7.5 Future Works</w:t>
      </w:r>
    </w:p>
    <w:p>
      <w:pPr>
        <w:pStyle w:val="ListParagraph"/>
        <w:numPr>
          <w:ilvl w:val="0"/>
          <w:numId w:val="12"/>
        </w:numPr>
        <w:spacing w:after="140" w:line="340"/>
        <w:jc w:val="both"/>
      </w:pPr>
      <w:r>
        <w:rPr>
          <w:rFonts w:ascii="Times New Roman" w:cs="Times New Roman" w:eastAsia="Times New Roman" w:hAnsi="Times New Roman"/>
          <w:b/>
          <w:bCs/>
          <w:sz w:val="24"/>
          <w:szCs w:val="24"/>
        </w:rPr>
        <w:t xml:space="preserve">Sensor calibration: </w:t>
      </w:r>
      <w:r>
        <w:rPr>
          <w:rFonts w:ascii="Times New Roman" w:cs="Times New Roman" w:eastAsia="Times New Roman" w:hAnsi="Times New Roman"/>
          <w:sz w:val="24"/>
          <w:szCs w:val="24"/>
        </w:rPr>
        <w:t xml:space="preserve">calibrating each sensor against a known reference gas would allow readings to be reported as concentrations, permitting comparison against regulatory exposure limits rather than a relative index.</w:t>
      </w:r>
    </w:p>
    <w:p>
      <w:pPr>
        <w:pStyle w:val="ListParagraph"/>
        <w:numPr>
          <w:ilvl w:val="0"/>
          <w:numId w:val="12"/>
        </w:numPr>
        <w:spacing w:after="140" w:line="340"/>
        <w:jc w:val="both"/>
      </w:pPr>
      <w:r>
        <w:rPr>
          <w:rFonts w:ascii="Times New Roman" w:cs="Times New Roman" w:eastAsia="Times New Roman" w:hAnsi="Times New Roman"/>
          <w:b/>
          <w:bCs/>
          <w:sz w:val="24"/>
          <w:szCs w:val="24"/>
        </w:rPr>
        <w:t xml:space="preserve">Meteorological input: </w:t>
      </w:r>
      <w:r>
        <w:rPr>
          <w:rFonts w:ascii="Times New Roman" w:cs="Times New Roman" w:eastAsia="Times New Roman" w:hAnsi="Times New Roman"/>
          <w:sz w:val="24"/>
          <w:szCs w:val="24"/>
        </w:rPr>
        <w:t xml:space="preserve">incorporating wind speed and direction would convert the temporal forecast into a directional dispersion model, enabling advisories that identify which areas will be affected and when.</w:t>
      </w:r>
    </w:p>
    <w:p>
      <w:pPr>
        <w:pStyle w:val="ListParagraph"/>
        <w:numPr>
          <w:ilvl w:val="0"/>
          <w:numId w:val="12"/>
        </w:numPr>
        <w:spacing w:after="140" w:line="340"/>
        <w:jc w:val="both"/>
      </w:pPr>
      <w:r>
        <w:rPr>
          <w:rFonts w:ascii="Times New Roman" w:cs="Times New Roman" w:eastAsia="Times New Roman" w:hAnsi="Times New Roman"/>
          <w:b/>
          <w:bCs/>
          <w:sz w:val="24"/>
          <w:szCs w:val="24"/>
        </w:rPr>
        <w:t xml:space="preserve">Real-time delivery: </w:t>
      </w:r>
      <w:r>
        <w:rPr>
          <w:rFonts w:ascii="Times New Roman" w:cs="Times New Roman" w:eastAsia="Times New Roman" w:hAnsi="Times New Roman"/>
          <w:sz w:val="24"/>
          <w:szCs w:val="24"/>
        </w:rPr>
        <w:t xml:space="preserve">the fan-out component is deployed and the ingestion path already broadcasts to it. Connecting the portals would reduce update latency from the present polling interval to near-immediate.</w:t>
      </w:r>
    </w:p>
    <w:p>
      <w:pPr>
        <w:pStyle w:val="ListParagraph"/>
        <w:numPr>
          <w:ilvl w:val="0"/>
          <w:numId w:val="12"/>
        </w:numPr>
        <w:spacing w:after="140" w:line="340"/>
        <w:jc w:val="both"/>
      </w:pPr>
      <w:r>
        <w:rPr>
          <w:rFonts w:ascii="Times New Roman" w:cs="Times New Roman" w:eastAsia="Times New Roman" w:hAnsi="Times New Roman"/>
          <w:b/>
          <w:bCs/>
          <w:sz w:val="24"/>
          <w:szCs w:val="24"/>
        </w:rPr>
        <w:t xml:space="preserve">Health advisory engine: </w:t>
      </w:r>
      <w:r>
        <w:rPr>
          <w:rFonts w:ascii="Times New Roman" w:cs="Times New Roman" w:eastAsia="Times New Roman" w:hAnsi="Times New Roman"/>
          <w:sz w:val="24"/>
          <w:szCs w:val="24"/>
        </w:rPr>
        <w:t xml:space="preserve">deriving specific guidance from forecast output, such as recommending alternative pedestrian routes, would convert prediction into action.</w:t>
      </w:r>
    </w:p>
    <w:p>
      <w:pPr>
        <w:pStyle w:val="ListParagraph"/>
        <w:numPr>
          <w:ilvl w:val="0"/>
          <w:numId w:val="12"/>
        </w:numPr>
        <w:spacing w:after="140" w:line="340"/>
        <w:jc w:val="both"/>
      </w:pPr>
      <w:r>
        <w:rPr>
          <w:rFonts w:ascii="Times New Roman" w:cs="Times New Roman" w:eastAsia="Times New Roman" w:hAnsi="Times New Roman"/>
          <w:b/>
          <w:bCs/>
          <w:sz w:val="24"/>
          <w:szCs w:val="24"/>
        </w:rPr>
        <w:t xml:space="preserve">Independent verification: </w:t>
      </w:r>
      <w:r>
        <w:rPr>
          <w:rFonts w:ascii="Times New Roman" w:cs="Times New Roman" w:eastAsia="Times New Roman" w:hAnsi="Times New Roman"/>
          <w:sz w:val="24"/>
          <w:szCs w:val="24"/>
        </w:rPr>
        <w:t xml:space="preserve">an external monitoring service and a periodic reconciliation between archived payloads and stored records would allow availability and data integrity to be substantiated independently.</w:t>
      </w:r>
    </w:p>
    <w:p>
      <w:pPr>
        <w:pStyle w:val="ListParagraph"/>
        <w:numPr>
          <w:ilvl w:val="0"/>
          <w:numId w:val="12"/>
        </w:numPr>
        <w:spacing w:after="140" w:line="340"/>
        <w:jc w:val="both"/>
      </w:pPr>
      <w:r>
        <w:rPr>
          <w:rFonts w:ascii="Times New Roman" w:cs="Times New Roman" w:eastAsia="Times New Roman" w:hAnsi="Times New Roman"/>
          <w:b/>
          <w:bCs/>
          <w:sz w:val="24"/>
          <w:szCs w:val="24"/>
        </w:rPr>
        <w:t xml:space="preserve">Additional sensor nodes: </w:t>
      </w:r>
      <w:r>
        <w:rPr>
          <w:rFonts w:ascii="Times New Roman" w:cs="Times New Roman" w:eastAsia="Times New Roman" w:hAnsi="Times New Roman"/>
          <w:sz w:val="24"/>
          <w:szCs w:val="24"/>
        </w:rPr>
        <w:t xml:space="preserve">the current deployment comprises one physical node and three replayed stations. Additional physical nodes would allow spatial interpolation across the campus.</w:t>
      </w:r>
    </w:p>
    <w:p>
      <w:pPr>
        <w:pStyle w:val="Heading2"/>
        <w:spacing w:after="180" w:before="320"/>
      </w:pPr>
      <w:r>
        <w:rPr>
          <w:rFonts w:ascii="Times New Roman" w:cs="Times New Roman" w:eastAsia="Times New Roman" w:hAnsi="Times New Roman"/>
          <w:b/>
          <w:bCs/>
          <w:sz w:val="26"/>
          <w:szCs w:val="26"/>
        </w:rPr>
        <w:t xml:space="preserve">7.6 Conclusion</w:t>
      </w:r>
    </w:p>
    <w:p>
      <w:pPr>
        <w:spacing w:after="200" w:line="360"/>
        <w:jc w:val="both"/>
      </w:pPr>
      <w:r>
        <w:rPr>
          <w:rFonts w:ascii="Times New Roman" w:cs="Times New Roman" w:eastAsia="Times New Roman" w:hAnsi="Times New Roman"/>
          <w:color w:val="000000"/>
          <w:sz w:val="24"/>
          <w:szCs w:val="24"/>
        </w:rPr>
        <w:t xml:space="preserve">The project delivered a functioning odour monitoring platform that measures, records, evaluates and communicates air quality conditions, and that acts on them automatically when thresholds are breached. The implementation is complete across the edge, ingestion, storage, authentication, alerting and presentation layers, and was verified by testing conducted against the deployed runtime.</w:t>
      </w:r>
    </w:p>
    <w:p>
      <w:pPr>
        <w:spacing w:after="200" w:line="360"/>
        <w:jc w:val="both"/>
      </w:pPr>
      <w:r>
        <w:rPr>
          <w:rFonts w:ascii="Times New Roman" w:cs="Times New Roman" w:eastAsia="Times New Roman" w:hAnsi="Times New Roman"/>
          <w:color w:val="000000"/>
          <w:sz w:val="24"/>
          <w:szCs w:val="24"/>
        </w:rPr>
        <w:t xml:space="preserve">The limitations recorded in section 7.4 are genuine and are stated deliberately. The most significant is sensor calibration: without it the system reports relative severity rather than concentration, and that constraint should be understood by anyone interpreting its output. Recognising precisely what a measurement can and cannot support is a necessary part of building an instrument, and the platform was designed to report only what its hardware can justify.</w:t>
      </w:r>
    </w:p>
    <w:p>
      <w:pPr>
        <w:spacing w:before="400"/>
      </w:pPr>
    </w:p>
    <w:p>
      <w:pPr>
        <w:spacing w:after="200" w:line="360"/>
        <w:jc w:val="center"/>
      </w:pPr>
      <w:r>
        <w:rPr>
          <w:rFonts w:ascii="Times New Roman" w:cs="Times New Roman" w:eastAsia="Times New Roman" w:hAnsi="Times New Roman"/>
          <w:i/>
          <w:iCs/>
          <w:color w:val="5A5A5A"/>
          <w:sz w:val="24"/>
          <w:szCs w:val="24"/>
        </w:rPr>
        <w:t xml:space="preserve">End of report.</w:t>
      </w:r>
    </w:p>
    <w:sectPr>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30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abstractNum w:abstractNumId="7" w15:restartNumberingAfterBreak="0">
    <w:multiLevelType w:val="hybridMultilevel"/>
    <w:lvl w:ilvl="0" w15:tentative="1">
      <w:start w:val="1"/>
      <w:numFmt w:val="decimal"/>
      <w:lvlText w:val="%1."/>
      <w:lvlJc w:val="left"/>
      <w:pPr>
        <w:ind w:left="480" w:hanging="300"/>
      </w:pPr>
    </w:lvl>
  </w:abstractNum>
  <w:abstractNum w:abstractNumId="8" w15:restartNumberingAfterBreak="0">
    <w:multiLevelType w:val="hybridMultilevel"/>
    <w:lvl w:ilvl="0" w15:tentative="1">
      <w:start w:val="1"/>
      <w:numFmt w:val="decimal"/>
      <w:lvlText w:val="%1."/>
      <w:lvlJc w:val="left"/>
      <w:pPr>
        <w:ind w:left="480" w:hanging="300"/>
      </w:pPr>
    </w:lvl>
  </w:abstractNum>
  <w:abstractNum w:abstractNumId="9" w15:restartNumberingAfterBreak="0">
    <w:multiLevelType w:val="hybridMultilevel"/>
    <w:lvl w:ilvl="0" w15:tentative="1">
      <w:start w:val="1"/>
      <w:numFmt w:val="decimal"/>
      <w:lvlText w:val="%1."/>
      <w:lvlJc w:val="left"/>
      <w:pPr>
        <w:ind w:left="480" w:hanging="300"/>
      </w:pPr>
    </w:lvl>
  </w:abstractNum>
  <w:abstractNum w:abstractNumId="10" w15:restartNumberingAfterBreak="0">
    <w:multiLevelType w:val="hybridMultilevel"/>
    <w:lvl w:ilvl="0" w15:tentative="1">
      <w:start w:val="1"/>
      <w:numFmt w:val="decimal"/>
      <w:lvlText w:val="%1."/>
      <w:lvlJc w:val="left"/>
      <w:pPr>
        <w:ind w:left="480" w:hanging="300"/>
      </w:pPr>
    </w:lvl>
  </w:abstractNum>
  <w:abstractNum w:abstractNumId="11" w15:restartNumberingAfterBreak="0">
    <w:multiLevelType w:val="hybridMultilevel"/>
    <w:lvl w:ilvl="0" w15:tentative="1">
      <w:start w:val="1"/>
      <w:numFmt w:val="decimal"/>
      <w:lvlText w:val="%1."/>
      <w:lvlJc w:val="left"/>
      <w:pPr>
        <w:ind w:left="480" w:hanging="300"/>
      </w:pPr>
    </w:lvl>
  </w:abstractNum>
  <w:abstractNum w:abstractNumId="1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11"/>
    <w:lvlOverride w:ilvl="0">
      <w:startOverride w:val="1"/>
    </w:lvlOverride>
  </w:num>
  <w:num w:numId="9">
    <w:abstractNumId w:val="12"/>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 w:type="paragraph" w:styleId="Heading3">
    <w:name w:val="Heading 3"/>
    <w:basedOn w:val="Normal"/>
    <w:next w:val="Normal"/>
    <w:qFormat/>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95f568e0ed17e6b198115ca816bff329b9d99d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2026-08-22T17:18:39.184Z</dcterms:created>
  <dcterms:modified xsi:type="dcterms:W3CDTF">2026-08-22T17:18:39.184Z</dcterms:modified>
</cp:coreProperties>
</file>

<file path=docProps/custom.xml><?xml version="1.0" encoding="utf-8"?>
<Properties xmlns="http://schemas.openxmlformats.org/officeDocument/2006/custom-properties" xmlns:vt="http://schemas.openxmlformats.org/officeDocument/2006/docPropsVTypes"/>
</file>