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85925"/>
                    </a:xfrm>
                    <a:prstGeom prst="rect">
                      <a:avLst/>
                    </a:prstGeom>
                  </pic:spPr>
                </pic:pic>
              </a:graphicData>
            </a:graphic>
          </wp:inline>
        </w:drawing>
      </w:r>
    </w:p>
    <w:p>
      <w:pPr>
        <w:spacing w:after="500" w:line="360"/>
        <w:jc w:val="center"/>
      </w:pPr>
      <w:r>
        <w:rPr>
          <w:rFonts w:ascii="Times New Roman" w:cs="Times New Roman" w:eastAsia="Times New Roman" w:hAnsi="Times New Roman"/>
          <w:b/>
          <w:bCs/>
          <w:color w:val="000000"/>
          <w:sz w:val="32"/>
          <w:szCs w:val="32"/>
        </w:rPr>
        <w:t xml:space="preserve">SMART ODOUR MONITORING PLATFORM</w:t>
      </w:r>
    </w:p>
    <w:p>
      <w:pPr>
        <w:spacing w:after="100" w:line="360"/>
        <w:jc w:val="center"/>
      </w:pPr>
      <w:r>
        <w:rPr>
          <w:rFonts w:ascii="Times New Roman" w:cs="Times New Roman" w:eastAsia="Times New Roman" w:hAnsi="Times New Roman"/>
          <w:b/>
          <w:bCs/>
          <w:color w:val="000000"/>
          <w:sz w:val="28"/>
          <w:szCs w:val="28"/>
        </w:rPr>
        <w:t xml:space="preserve">CHAPTER 2</w:t>
      </w:r>
    </w:p>
    <w:p>
      <w:pPr>
        <w:spacing w:after="600" w:line="360"/>
        <w:jc w:val="center"/>
      </w:pPr>
      <w:r>
        <w:rPr>
          <w:rFonts w:ascii="Times New Roman" w:cs="Times New Roman" w:eastAsia="Times New Roman" w:hAnsi="Times New Roman"/>
          <w:color w:val="000000"/>
          <w:sz w:val="24"/>
          <w:szCs w:val="24"/>
        </w:rPr>
        <w:t xml:space="preserve">LITERATURE REVIEW</w:t>
      </w:r>
    </w:p>
    <w:p>
      <w:pPr>
        <w:spacing w:after="60" w:line="360"/>
        <w:jc w:val="center"/>
      </w:pPr>
      <w:r>
        <w:rPr>
          <w:rFonts w:ascii="Times New Roman" w:cs="Times New Roman" w:eastAsia="Times New Roman" w:hAnsi="Times New Roman"/>
          <w:color w:val="000000"/>
          <w:sz w:val="22"/>
          <w:szCs w:val="22"/>
        </w:rPr>
        <w:t xml:space="preserve">FACULTY OF INFORMATION AND COMMUNICATION TECHNOLOGY</w:t>
      </w:r>
    </w:p>
    <w:p>
      <w:pPr>
        <w:spacing w:after="60" w:line="360"/>
        <w:jc w:val="center"/>
      </w:pPr>
      <w:r>
        <w:rPr>
          <w:rFonts w:ascii="Times New Roman" w:cs="Times New Roman" w:eastAsia="Times New Roman" w:hAnsi="Times New Roman"/>
          <w:color w:val="000000"/>
          <w:sz w:val="22"/>
          <w:szCs w:val="22"/>
        </w:rPr>
        <w:t xml:space="preserve">UNIVERSITI TEKNIKAL MALAYSIA MELAKA</w:t>
      </w:r>
    </w:p>
    <w:p>
      <w:pPr>
        <w:spacing w:after="500" w:line="360"/>
        <w:jc w:val="center"/>
      </w:pPr>
      <w:r>
        <w:rPr>
          <w:rFonts w:ascii="Times New Roman" w:cs="Times New Roman" w:eastAsia="Times New Roman" w:hAnsi="Times New Roman"/>
          <w:color w:val="000000"/>
          <w:sz w:val="22"/>
          <w:szCs w:val="22"/>
        </w:rPr>
        <w:t xml:space="preserve">2026</w:t>
      </w:r>
    </w:p>
    <w:p>
      <w:pPr>
        <w:shd w:fill="FFF4E5" w:val="clear"/>
        <w:spacing w:after="120"/>
      </w:pPr>
      <w:r>
        <w:rPr>
          <w:rFonts w:ascii="Times New Roman" w:cs="Times New Roman" w:eastAsia="Times New Roman" w:hAnsi="Times New Roman"/>
          <w:b/>
          <w:bCs/>
          <w:sz w:val="22"/>
          <w:szCs w:val="22"/>
        </w:rPr>
        <w:t xml:space="preserve">Note on citations</w:t>
      </w:r>
    </w:p>
    <w:p>
      <w:pPr>
        <w:spacing w:after="200" w:line="360"/>
        <w:jc w:val="both"/>
      </w:pPr>
      <w:r>
        <w:rPr>
          <w:rFonts w:ascii="Times New Roman" w:cs="Times New Roman" w:eastAsia="Times New Roman" w:hAnsi="Times New Roman"/>
          <w:color w:val="000000"/>
          <w:sz w:val="22"/>
          <w:szCs w:val="22"/>
        </w:rPr>
        <w:t xml:space="preserve">This review was written from the collected corpus of 71 sources. Titles, years and abstracts were read directly from the source documents. Author names and full bibliographic details were not extractable from every file, so the reference list gives title, venue and year, and in-text citation uses an abbreviated title. Before submission, complete author and page details should be added from the publisher record and citations converted to the required style.</w:t>
      </w:r>
    </w:p>
    <w:p>
      <w:r>
        <w:br w:type="page"/>
      </w:r>
    </w:p>
    <w:p>
      <w:pPr>
        <w:pStyle w:val="Heading1"/>
        <w:spacing w:after="260" w:before="400"/>
      </w:pPr>
      <w:r>
        <w:rPr>
          <w:rFonts w:ascii="Times New Roman" w:cs="Times New Roman" w:eastAsia="Times New Roman" w:hAnsi="Times New Roman"/>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60" w:before="400"/>
      </w:pPr>
      <w:r>
        <w:rPr>
          <w:rFonts w:ascii="Times New Roman" w:cs="Times New Roman" w:eastAsia="Times New Roman" w:hAnsi="Times New Roman"/>
          <w:b/>
          <w:bCs/>
          <w:sz w:val="32"/>
          <w:szCs w:val="32"/>
        </w:rPr>
        <w:t xml:space="preserve">CHAPTER 2: LITERATURE REVIEW</w:t>
      </w:r>
    </w:p>
    <w:p>
      <w:pPr>
        <w:pStyle w:val="Heading2"/>
        <w:spacing w:after="180" w:before="320"/>
      </w:pPr>
      <w:r>
        <w:rPr>
          <w:rFonts w:ascii="Times New Roman" w:cs="Times New Roman" w:eastAsia="Times New Roman" w:hAnsi="Times New Roman"/>
          <w:b/>
          <w:bCs/>
          <w:sz w:val="26"/>
          <w:szCs w:val="26"/>
        </w:rPr>
        <w:t xml:space="preserve">2.1 Introduction</w:t>
      </w:r>
    </w:p>
    <w:p>
      <w:pPr>
        <w:spacing w:after="200" w:line="360"/>
        <w:jc w:val="both"/>
      </w:pPr>
      <w:r>
        <w:rPr>
          <w:rFonts w:ascii="Times New Roman" w:cs="Times New Roman" w:eastAsia="Times New Roman" w:hAnsi="Times New Roman"/>
          <w:color w:val="000000"/>
          <w:sz w:val="24"/>
          <w:szCs w:val="24"/>
        </w:rPr>
        <w:t xml:space="preserve">This chapter reviews existing work relevant to the design of a continuous odour monitoring platform. The review covers six areas: the effect of gas concentration on the environments being monitored, sensing hardware and its limitations, system architectures for agricultural and environmental monitoring, the migration of processing from cloud to edge, security and data integrity in sensor networks, and predictive modelling from sensor data.</w:t>
      </w:r>
    </w:p>
    <w:p>
      <w:pPr>
        <w:spacing w:after="200" w:line="360"/>
        <w:jc w:val="both"/>
      </w:pPr>
      <w:r>
        <w:rPr>
          <w:rFonts w:ascii="Times New Roman" w:cs="Times New Roman" w:eastAsia="Times New Roman" w:hAnsi="Times New Roman"/>
          <w:color w:val="000000"/>
          <w:sz w:val="24"/>
          <w:szCs w:val="24"/>
        </w:rPr>
        <w:t xml:space="preserve">Seventy-one sources were examined, comprising journal articles, conference proceedings and two IEEE standards, published between 2020 and 2026. The distribution across the six themes is given in Table 2.1. The chapter concludes by identifying what the reviewed work does not address, and how the present project responds to that gap.</w:t>
      </w:r>
    </w:p>
    <w:p>
      <w:pPr>
        <w:spacing w:after="300" w:before="100"/>
        <w:jc w:val="center"/>
      </w:pPr>
      <w:r>
        <w:rPr>
          <w:rFonts w:ascii="Times New Roman" w:cs="Times New Roman" w:eastAsia="Times New Roman" w:hAnsi="Times New Roman"/>
          <w:b/>
          <w:bCs/>
          <w:sz w:val="21"/>
          <w:szCs w:val="21"/>
        </w:rPr>
        <w:t xml:space="preserve">TABLE 2.1: DISTRIBUTION OF REVIEWED SOURCES BY THEME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1600"/>
        <w:gridCol w:w="2200"/>
      </w:tblGrid>
      <w:tr>
        <w:trPr>
          <w:tblHeader/>
        </w:trPr>
        <w:tc>
          <w:tcPr>
            <w:tcW w:type="dxa" w:w="46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Theme</w:t>
            </w:r>
          </w:p>
        </w:tc>
        <w:tc>
          <w:tcPr>
            <w:tcW w:type="dxa" w:w="16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Sources</w:t>
            </w:r>
          </w:p>
        </w:tc>
        <w:tc>
          <w:tcPr>
            <w:tcW w:type="dxa" w:w="22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Period</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Poultry and agricultural environmental monitoring</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47</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2021–2026</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Gas sensing and air quality measurement</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23</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2021–2026</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Edge, fog and serverless computing</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22</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2020–2026</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IoT architecture and platforms</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49</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2020–2026</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Security, privacy and data integrity</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13</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2020–2026</w:t>
            </w:r>
          </w:p>
        </w:tc>
      </w:tr>
      <w:tr>
        <w:tc>
          <w:tcPr>
            <w:tcW w:type="dxa" w:w="4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Machine learning and forecasting</w:t>
            </w:r>
          </w:p>
        </w:tc>
        <w:tc>
          <w:tcPr>
            <w:tcW w:type="dxa" w:w="1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15</w:t>
            </w:r>
          </w:p>
        </w:tc>
        <w:tc>
          <w:tcPr>
            <w:tcW w:type="dxa" w:w="22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2023–2026</w:t>
            </w:r>
          </w:p>
        </w:tc>
      </w:tr>
    </w:tbl>
    <w:p>
      <w:pPr>
        <w:spacing w:after="200" w:line="360"/>
        <w:jc w:val="both"/>
      </w:pPr>
      <w:r>
        <w:rPr>
          <w:rFonts w:ascii="Times New Roman" w:cs="Times New Roman" w:eastAsia="Times New Roman" w:hAnsi="Times New Roman"/>
          <w:color w:val="5A5A5A"/>
          <w:sz w:val="20"/>
          <w:szCs w:val="20"/>
        </w:rPr>
        <w:t xml:space="preserve">Totals exceed 71 because most sources address more than one theme.</w:t>
      </w:r>
    </w:p>
    <w:p>
      <w:pPr>
        <w:pStyle w:val="Heading2"/>
        <w:spacing w:after="180" w:before="320"/>
      </w:pPr>
      <w:r>
        <w:rPr>
          <w:rFonts w:ascii="Times New Roman" w:cs="Times New Roman" w:eastAsia="Times New Roman" w:hAnsi="Times New Roman"/>
          <w:b/>
          <w:bCs/>
          <w:sz w:val="26"/>
          <w:szCs w:val="26"/>
        </w:rPr>
        <w:t xml:space="preserve">2.2 Gas Emissions in Agricultural and Waste Environments</w:t>
      </w:r>
    </w:p>
    <w:p>
      <w:pPr>
        <w:spacing w:after="200" w:line="360"/>
        <w:jc w:val="both"/>
      </w:pPr>
      <w:r>
        <w:rPr>
          <w:rFonts w:ascii="Times New Roman" w:cs="Times New Roman" w:eastAsia="Times New Roman" w:hAnsi="Times New Roman"/>
          <w:color w:val="000000"/>
          <w:sz w:val="24"/>
          <w:szCs w:val="24"/>
        </w:rPr>
        <w:t xml:space="preserve">The reviewed literature establishes a consistent account of why gas concentration in these environments requires monitoring. Poultry operations and composting facilities generate ammonia, carbon dioxide, carbon monoxide, methane and hydrogen sulphide through the decomposition of organic matter. One study of monitoring in poultry housing notes that elevated temperature and humidity favour bacterial growth and therefore accelerate ammonia production from decomposing organic material, identifying ammonia, carbon monoxide, carbon dioxide, methane and hydrogen sulphide as gases harmful to poultry health (iJIM, 2023).</w:t>
      </w:r>
    </w:p>
    <w:p>
      <w:pPr>
        <w:spacing w:after="200" w:line="360"/>
        <w:jc w:val="both"/>
      </w:pPr>
      <w:r>
        <w:rPr>
          <w:rFonts w:ascii="Times New Roman" w:cs="Times New Roman" w:eastAsia="Times New Roman" w:hAnsi="Times New Roman"/>
          <w:color w:val="000000"/>
          <w:sz w:val="24"/>
          <w:szCs w:val="24"/>
        </w:rPr>
        <w:t xml:space="preserve">The consequences are documented in operational terms. Work predicting air quality parameters in laying-hen housing reports that exceeding permissible gas concentrations induces stress in birds, impairs respiration, reduces egg production and raises disease risk, and argues that monitoring is therefore critical to both welfare and productivity (Journal of Biosystems Engineering, 2026). A study of precision livestock farming makes the same connection, associating suboptimal temperature and humidity with toxic gas production and consequently with increased disease and mortality (ROBOTHIA, 2025).</w:t>
      </w:r>
    </w:p>
    <w:p>
      <w:pPr>
        <w:spacing w:after="200" w:line="360"/>
        <w:jc w:val="both"/>
      </w:pPr>
      <w:r>
        <w:rPr>
          <w:rFonts w:ascii="Times New Roman" w:cs="Times New Roman" w:eastAsia="Times New Roman" w:hAnsi="Times New Roman"/>
          <w:color w:val="000000"/>
          <w:sz w:val="24"/>
          <w:szCs w:val="24"/>
        </w:rPr>
        <w:t xml:space="preserve">Beyond the enclosure, emissions affect the surrounding area. Work on ammonia and carbon dioxide detection at poultry farms and compost plants observes that intensive production has been linked to atmospheric pollutant emission with detrimental effects on air quality and public health, and contributes to greenhouse gas concentrations (ICSPIS, 2023). This external dimension is directly relevant to the present project, whose monitoring points are situated in a community adjacent to agricultural land rather than inside a production facility.</w:t>
      </w:r>
    </w:p>
    <w:p>
      <w:pPr>
        <w:spacing w:after="200" w:line="360"/>
        <w:jc w:val="both"/>
      </w:pPr>
      <w:r>
        <w:rPr>
          <w:rFonts w:ascii="Times New Roman" w:cs="Times New Roman" w:eastAsia="Times New Roman" w:hAnsi="Times New Roman"/>
          <w:color w:val="000000"/>
          <w:sz w:val="24"/>
          <w:szCs w:val="24"/>
        </w:rPr>
        <w:t xml:space="preserve">The literature is largely concerned with conditions inside enclosures, where the objective is to protect livestock. The reviewed corpus contains comparatively little work on monitoring the effect of such emissions on neighbouring populations, which is the situation this project addresses.</w:t>
      </w:r>
    </w:p>
    <w:p>
      <w:pPr>
        <w:pStyle w:val="Heading2"/>
        <w:spacing w:after="180" w:before="320"/>
      </w:pPr>
      <w:r>
        <w:rPr>
          <w:rFonts w:ascii="Times New Roman" w:cs="Times New Roman" w:eastAsia="Times New Roman" w:hAnsi="Times New Roman"/>
          <w:b/>
          <w:bCs/>
          <w:sz w:val="26"/>
          <w:szCs w:val="26"/>
        </w:rPr>
        <w:t xml:space="preserve">2.3 Sensing Hardware and Its Limitations</w:t>
      </w:r>
    </w:p>
    <w:p>
      <w:pPr>
        <w:spacing w:after="200" w:line="360"/>
        <w:jc w:val="both"/>
      </w:pPr>
      <w:r>
        <w:rPr>
          <w:rFonts w:ascii="Times New Roman" w:cs="Times New Roman" w:eastAsia="Times New Roman" w:hAnsi="Times New Roman"/>
          <w:color w:val="000000"/>
          <w:sz w:val="24"/>
          <w:szCs w:val="24"/>
        </w:rPr>
        <w:t xml:space="preserve">Low-cost sensing is the dominant approach in the reviewed deployments. Work on ammonia and carbon dioxide detection describes a low-cost smart sensing system applied to both poultry farms and compost plants (ICSPIS, 2023), and a study forecasting air quality in poultry housing likewise presents a low-cost system combining IoT sensing with machine learning (Journal of Biosystems Engineering, 2026).</w:t>
      </w:r>
    </w:p>
    <w:p>
      <w:pPr>
        <w:spacing w:after="200" w:line="360"/>
        <w:jc w:val="both"/>
      </w:pPr>
      <w:r>
        <w:rPr>
          <w:rFonts w:ascii="Times New Roman" w:cs="Times New Roman" w:eastAsia="Times New Roman" w:hAnsi="Times New Roman"/>
          <w:color w:val="000000"/>
          <w:sz w:val="24"/>
          <w:szCs w:val="24"/>
        </w:rPr>
        <w:t xml:space="preserve">The ESP32 microcontroller recurs throughout. A prototype for multi-gas air quality monitoring in poultry environments employs dual ESP32 microcontrollers with nRF24L01 wireless modules, integrating temperature, humidity and gas sensors for ammonia, methane and hydrogen sulphide (AIDE, 2026). Notably, that system samples every 20 seconds and averages over 10 minutes before transmission, a deliberate trade of temporal resolution for reduced transmission load. The present project samples every eight seconds and transmits each reading individually, accepting higher volume in exchange for the ability to detect short-duration episodes, which are characteristic of odour complaints.</w:t>
      </w:r>
    </w:p>
    <w:p>
      <w:pPr>
        <w:spacing w:after="200" w:line="360"/>
        <w:jc w:val="both"/>
      </w:pPr>
      <w:r>
        <w:rPr>
          <w:rFonts w:ascii="Times New Roman" w:cs="Times New Roman" w:eastAsia="Times New Roman" w:hAnsi="Times New Roman"/>
          <w:color w:val="000000"/>
          <w:sz w:val="24"/>
          <w:szCs w:val="24"/>
        </w:rPr>
        <w:t xml:space="preserve">Sensor selection varies with target gas. Deployments commonly pair a DHT-series climate sensor with one or more MQ-series metal-oxide gas sensors, an arrangement adopted by work on temperature and humidity monitoring frameworks for poultry housing (ICSET, 2021) and by several automation systems reviewed below.</w:t>
      </w:r>
    </w:p>
    <w:p>
      <w:pPr>
        <w:spacing w:after="200" w:line="360"/>
        <w:jc w:val="both"/>
      </w:pPr>
      <w:r>
        <w:rPr>
          <w:rFonts w:ascii="Times New Roman" w:cs="Times New Roman" w:eastAsia="Times New Roman" w:hAnsi="Times New Roman"/>
          <w:color w:val="000000"/>
          <w:sz w:val="24"/>
          <w:szCs w:val="24"/>
        </w:rPr>
        <w:t xml:space="preserve">A limitation is apparent across the corpus rather than stated within it. The reviewed deployments report concentrations in parts per million, yet few describe a calibration procedure against reference gases. Metal-oxide sensors produce a resistance change that varies with the target gas, with ambient temperature and humidity, and with sensor age. Converting that response to an absolute concentration requires per-sensor calibration. Where this step is not documented, reported concentrations should be treated as relative indications. The present project responds to this by reporting a bounded severity index rather than a concentration, a decision discussed in section 2.8.</w:t>
      </w:r>
    </w:p>
    <w:p>
      <w:pPr>
        <w:pStyle w:val="Heading2"/>
        <w:spacing w:after="180" w:before="320"/>
      </w:pPr>
      <w:r>
        <w:rPr>
          <w:rFonts w:ascii="Times New Roman" w:cs="Times New Roman" w:eastAsia="Times New Roman" w:hAnsi="Times New Roman"/>
          <w:b/>
          <w:bCs/>
          <w:sz w:val="26"/>
          <w:szCs w:val="26"/>
        </w:rPr>
        <w:t xml:space="preserve">2.4 System Architectures for Environmental Monitoring</w:t>
      </w:r>
    </w:p>
    <w:p>
      <w:pPr>
        <w:spacing w:after="200" w:line="360"/>
        <w:jc w:val="both"/>
      </w:pPr>
      <w:r>
        <w:rPr>
          <w:rFonts w:ascii="Times New Roman" w:cs="Times New Roman" w:eastAsia="Times New Roman" w:hAnsi="Times New Roman"/>
          <w:color w:val="000000"/>
          <w:sz w:val="24"/>
          <w:szCs w:val="24"/>
        </w:rPr>
        <w:t xml:space="preserve">Three architectural patterns appear in the reviewed work.</w:t>
      </w:r>
    </w:p>
    <w:p>
      <w:pPr>
        <w:pStyle w:val="Heading3"/>
        <w:spacing w:after="140" w:before="260"/>
      </w:pPr>
      <w:r>
        <w:rPr>
          <w:rFonts w:ascii="Times New Roman" w:cs="Times New Roman" w:eastAsia="Times New Roman" w:hAnsi="Times New Roman"/>
          <w:b/>
          <w:bCs/>
          <w:sz w:val="24"/>
          <w:szCs w:val="24"/>
        </w:rPr>
        <w:t xml:space="preserve">2.4.1 Cloud-centric architectures</w:t>
      </w:r>
    </w:p>
    <w:p>
      <w:pPr>
        <w:spacing w:after="200" w:line="360"/>
        <w:jc w:val="both"/>
      </w:pPr>
      <w:r>
        <w:rPr>
          <w:rFonts w:ascii="Times New Roman" w:cs="Times New Roman" w:eastAsia="Times New Roman" w:hAnsi="Times New Roman"/>
          <w:color w:val="000000"/>
          <w:sz w:val="24"/>
          <w:szCs w:val="24"/>
        </w:rPr>
        <w:t xml:space="preserve">The most common pattern transmits sensor data to a cloud service for storage and presentation. A cloud-based solution for poultry farm management collects temperature, humidity and ammonia and uses a cloud platform for storage, real-time monitoring and remote access (ICIPTM, 2024). Another system regulates temperature, humidity, wetness and light intensity with minimal human contact, accessible remotely from mobile devices (ICCRAIDS, 2026).</w:t>
      </w:r>
    </w:p>
    <w:p>
      <w:pPr>
        <w:spacing w:after="200" w:line="360"/>
        <w:jc w:val="both"/>
      </w:pPr>
      <w:r>
        <w:rPr>
          <w:rFonts w:ascii="Times New Roman" w:cs="Times New Roman" w:eastAsia="Times New Roman" w:hAnsi="Times New Roman"/>
          <w:color w:val="000000"/>
          <w:sz w:val="24"/>
          <w:szCs w:val="24"/>
        </w:rPr>
        <w:t xml:space="preserve">This pattern is straightforward to implement and is adequate where connectivity is reliable. Its weakness is that measurement continuity depends on a link the deployment does not control, and the reviewed sources rarely address what happens to readings taken while that link is unavailable.</w:t>
      </w:r>
    </w:p>
    <w:p>
      <w:pPr>
        <w:pStyle w:val="Heading3"/>
        <w:spacing w:after="140" w:before="260"/>
      </w:pPr>
      <w:r>
        <w:rPr>
          <w:rFonts w:ascii="Times New Roman" w:cs="Times New Roman" w:eastAsia="Times New Roman" w:hAnsi="Times New Roman"/>
          <w:b/>
          <w:bCs/>
          <w:sz w:val="24"/>
          <w:szCs w:val="24"/>
        </w:rPr>
        <w:t xml:space="preserve">2.4.2 Gateway and wireless sensor network architectures</w:t>
      </w:r>
    </w:p>
    <w:p>
      <w:pPr>
        <w:spacing w:after="200" w:line="360"/>
        <w:jc w:val="both"/>
      </w:pPr>
      <w:r>
        <w:rPr>
          <w:rFonts w:ascii="Times New Roman" w:cs="Times New Roman" w:eastAsia="Times New Roman" w:hAnsi="Times New Roman"/>
          <w:color w:val="000000"/>
          <w:sz w:val="24"/>
          <w:szCs w:val="24"/>
        </w:rPr>
        <w:t xml:space="preserve">A second pattern places multiple sensor nodes behind a local gateway. Work integrating wireless sensor networks with IoT for broiler closed-house monitoring follows this approach (ICSGRC, 2024), as does a consolidated farming system combining IoT and wireless sensor networks with cloud processing (ESCI, 2026).</w:t>
      </w:r>
    </w:p>
    <w:p>
      <w:pPr>
        <w:spacing w:after="200" w:line="360"/>
        <w:jc w:val="both"/>
      </w:pPr>
      <w:r>
        <w:rPr>
          <w:rFonts w:ascii="Times New Roman" w:cs="Times New Roman" w:eastAsia="Times New Roman" w:hAnsi="Times New Roman"/>
          <w:color w:val="000000"/>
          <w:sz w:val="24"/>
          <w:szCs w:val="24"/>
        </w:rPr>
        <w:t xml:space="preserve">The gateway reduces per-node cost and power consumption. It also introduces a single component whose failure silences every node behind it, which is material for a system whose purpose is continuous observation.</w:t>
      </w:r>
    </w:p>
    <w:p>
      <w:pPr>
        <w:pStyle w:val="Heading3"/>
        <w:spacing w:after="140" w:before="260"/>
      </w:pPr>
      <w:r>
        <w:rPr>
          <w:rFonts w:ascii="Times New Roman" w:cs="Times New Roman" w:eastAsia="Times New Roman" w:hAnsi="Times New Roman"/>
          <w:b/>
          <w:bCs/>
          <w:sz w:val="24"/>
          <w:szCs w:val="24"/>
        </w:rPr>
        <w:t xml:space="preserve">2.4.3 Edge-processing architectures</w:t>
      </w:r>
    </w:p>
    <w:p>
      <w:pPr>
        <w:spacing w:after="200" w:line="360"/>
        <w:jc w:val="both"/>
      </w:pPr>
      <w:r>
        <w:rPr>
          <w:rFonts w:ascii="Times New Roman" w:cs="Times New Roman" w:eastAsia="Times New Roman" w:hAnsi="Times New Roman"/>
          <w:color w:val="000000"/>
          <w:sz w:val="24"/>
          <w:szCs w:val="24"/>
        </w:rPr>
        <w:t xml:space="preserve">A third pattern processes data near the point of collection. Work on IoT in poultry farming describes incorporating an edge server for local sensor data processing to enable task automation and inform decisions (JBCS, 2024). A study of precision livestock farming integrates hybrid artificial intelligence with IoT, cloud and edge computing for welfare monitoring (ROBOTHIA, 2025), and an AIoT anomaly detection system for poultry farms combines IoT sensing with artificial intelligence for real-time monitoring and automated control (IIPEM, 2026).</w:t>
      </w:r>
    </w:p>
    <w:p>
      <w:pPr>
        <w:spacing w:after="200" w:line="360"/>
        <w:jc w:val="both"/>
      </w:pPr>
      <w:r>
        <w:rPr>
          <w:rFonts w:ascii="Times New Roman" w:cs="Times New Roman" w:eastAsia="Times New Roman" w:hAnsi="Times New Roman"/>
          <w:color w:val="000000"/>
          <w:sz w:val="24"/>
          <w:szCs w:val="24"/>
        </w:rPr>
        <w:t xml:space="preserve">The motivation is latency and autonomy: a control decision computed locally does not wait for a network round trip. The present project extends this reasoning to safety, placing the ventilation decision on the node so that actuation continues during a network outage.</w:t>
      </w:r>
    </w:p>
    <w:p>
      <w:pPr>
        <w:pStyle w:val="Heading2"/>
        <w:spacing w:after="180" w:before="320"/>
      </w:pPr>
      <w:r>
        <w:rPr>
          <w:rFonts w:ascii="Times New Roman" w:cs="Times New Roman" w:eastAsia="Times New Roman" w:hAnsi="Times New Roman"/>
          <w:b/>
          <w:bCs/>
          <w:sz w:val="26"/>
          <w:szCs w:val="26"/>
        </w:rPr>
        <w:t xml:space="preserve">2.5 Edge, Fog and Serverless Computing</w:t>
      </w:r>
    </w:p>
    <w:p>
      <w:pPr>
        <w:spacing w:after="200" w:line="360"/>
        <w:jc w:val="both"/>
      </w:pPr>
      <w:r>
        <w:rPr>
          <w:rFonts w:ascii="Times New Roman" w:cs="Times New Roman" w:eastAsia="Times New Roman" w:hAnsi="Times New Roman"/>
          <w:color w:val="000000"/>
          <w:sz w:val="24"/>
          <w:szCs w:val="24"/>
        </w:rPr>
        <w:t xml:space="preserve">The broader computing literature in the corpus documents a sustained migration of processing away from centralised infrastructure. A survey of the computing continuum observes that integrating the evolving Internet of Things with established cloud infrastructure typically requires intermediate layers to address cloud limitations such as latency (Computer Science Review, 2025). A survey of multi-access edge computing similarly reports that obtaining computational services at the network edge substantially reduces transmission latency for low-latency applications (JNCA, 2026).</w:t>
      </w:r>
    </w:p>
    <w:p>
      <w:pPr>
        <w:spacing w:after="200" w:line="360"/>
        <w:jc w:val="both"/>
      </w:pPr>
      <w:r>
        <w:rPr>
          <w:rFonts w:ascii="Times New Roman" w:cs="Times New Roman" w:eastAsia="Times New Roman" w:hAnsi="Times New Roman"/>
          <w:color w:val="000000"/>
          <w:sz w:val="24"/>
          <w:szCs w:val="24"/>
        </w:rPr>
        <w:t xml:space="preserve">Serverless execution appears as a further step. Work on serverless functions at the edge examines their lifecycle, performance and resource utilisation (FGCS, 2024), and a study of the cloud-to-edge continuum argues that serverless computing enables greater flexibility and efficiency across it (FGCS, 2024). A serverless blockchain-enabled architecture for societal applications explicitly includes air quality analysis among its target domains (IEEE, 2020).</w:t>
      </w:r>
    </w:p>
    <w:p>
      <w:pPr>
        <w:spacing w:after="200" w:line="360"/>
        <w:jc w:val="both"/>
      </w:pPr>
      <w:r>
        <w:rPr>
          <w:rFonts w:ascii="Times New Roman" w:cs="Times New Roman" w:eastAsia="Times New Roman" w:hAnsi="Times New Roman"/>
          <w:color w:val="000000"/>
          <w:sz w:val="24"/>
          <w:szCs w:val="24"/>
        </w:rPr>
        <w:t xml:space="preserve">This body of work supports the architectural decision taken in the present project. Executing application logic on a distributed serverless platform removes the origin server as a failure point rather than mitigating it through redundancy, which is a stronger property than the load-balanced virtual machine arrangement the project originally specified.</w:t>
      </w:r>
    </w:p>
    <w:p>
      <w:pPr>
        <w:spacing w:after="200" w:line="360"/>
        <w:jc w:val="both"/>
      </w:pPr>
      <w:r>
        <w:rPr>
          <w:rFonts w:ascii="Times New Roman" w:cs="Times New Roman" w:eastAsia="Times New Roman" w:hAnsi="Times New Roman"/>
          <w:color w:val="000000"/>
          <w:sz w:val="24"/>
          <w:szCs w:val="24"/>
        </w:rPr>
        <w:t xml:space="preserve">One source frames the choice as a question rather than a conclusion, examining the applicability of edge versus cloud architecture for new data workloads (2025). The reviewed corpus does not establish that edge execution is universally preferable; it establishes that it is preferable where latency or availability is the binding constraint, which is the case here.</w:t>
      </w:r>
    </w:p>
    <w:p>
      <w:pPr>
        <w:pStyle w:val="Heading2"/>
        <w:spacing w:after="180" w:before="320"/>
      </w:pPr>
      <w:r>
        <w:rPr>
          <w:rFonts w:ascii="Times New Roman" w:cs="Times New Roman" w:eastAsia="Times New Roman" w:hAnsi="Times New Roman"/>
          <w:b/>
          <w:bCs/>
          <w:sz w:val="26"/>
          <w:szCs w:val="26"/>
        </w:rPr>
        <w:t xml:space="preserve">2.6 Security, Data Integrity and Standardisation</w:t>
      </w:r>
    </w:p>
    <w:p>
      <w:pPr>
        <w:spacing w:after="200" w:line="360"/>
        <w:jc w:val="both"/>
      </w:pPr>
      <w:r>
        <w:rPr>
          <w:rFonts w:ascii="Times New Roman" w:cs="Times New Roman" w:eastAsia="Times New Roman" w:hAnsi="Times New Roman"/>
          <w:color w:val="000000"/>
          <w:sz w:val="24"/>
          <w:szCs w:val="24"/>
        </w:rPr>
        <w:t xml:space="preserve">Security in sensor networks receives substantial attention in the corpus, though largely at a level above the individual reading. Work on integrating edge computing and blockchain with IoT identifies lack of security, high latency and energy inefficiency as persistent limitations of IoT systems (JNCA, 2024). A review of security and privacy in industrial big data identifies these issues as principal obstacles to wider adoption (Computer Science Review, 2025).</w:t>
      </w:r>
    </w:p>
    <w:p>
      <w:pPr>
        <w:spacing w:after="200" w:line="360"/>
        <w:jc w:val="both"/>
      </w:pPr>
      <w:r>
        <w:rPr>
          <w:rFonts w:ascii="Times New Roman" w:cs="Times New Roman" w:eastAsia="Times New Roman" w:hAnsi="Times New Roman"/>
          <w:color w:val="000000"/>
          <w:sz w:val="24"/>
          <w:szCs w:val="24"/>
        </w:rPr>
        <w:t xml:space="preserve">Blockchain is the most frequently proposed remedy, appearing in work on IoT societal applications (IEEE, 2020) and in a framework for secure blockchain in fog-cloud networks (FGCS, 2024). The objective in these proposals is tamper-evident storage: establishing that a record has not been altered after the fact.</w:t>
      </w:r>
    </w:p>
    <w:p>
      <w:pPr>
        <w:spacing w:after="200" w:line="360"/>
        <w:jc w:val="both"/>
      </w:pPr>
      <w:r>
        <w:rPr>
          <w:rFonts w:ascii="Times New Roman" w:cs="Times New Roman" w:eastAsia="Times New Roman" w:hAnsi="Times New Roman"/>
          <w:color w:val="000000"/>
          <w:sz w:val="24"/>
          <w:szCs w:val="24"/>
        </w:rPr>
        <w:t xml:space="preserve">The reviewed corpus gives less attention to provenance at the point of measurement, that is, to establishing that a reading originated from the device it claims to have come from. This distinction matters for environmental data that may be contested. Tamper-evident storage of a fabricated reading preserves the fabrication. The present project addresses this by signing each reading at the node with a message authentication code over the payload, so that a stored value is attributable to specific hardware rather than to any party able to reach the endpoint.</w:t>
      </w:r>
    </w:p>
    <w:p>
      <w:pPr>
        <w:spacing w:after="200" w:line="360"/>
        <w:jc w:val="both"/>
      </w:pPr>
      <w:r>
        <w:rPr>
          <w:rFonts w:ascii="Times New Roman" w:cs="Times New Roman" w:eastAsia="Times New Roman" w:hAnsi="Times New Roman"/>
          <w:color w:val="000000"/>
          <w:sz w:val="24"/>
          <w:szCs w:val="24"/>
        </w:rPr>
        <w:t xml:space="preserve">Two standards in the corpus address interoperability rather than security. IEEE Std 2796-2024 provides an architectural framework for Internet of Food applications, addressing interoperability, scalability and data trust across the food chain sector. IEEE Std 2992-2025 establishes recommended practice for data formats, tags, naming conventions and transfer protocols in smart agriculture, to enable exchange between heterogeneous systems. Both indicate that the field is maturing toward common data structures, and either would be a reasonable basis for future interoperability work on the present platform.</w:t>
      </w:r>
    </w:p>
    <w:p>
      <w:pPr>
        <w:pStyle w:val="Heading2"/>
        <w:spacing w:after="180" w:before="320"/>
      </w:pPr>
      <w:r>
        <w:rPr>
          <w:rFonts w:ascii="Times New Roman" w:cs="Times New Roman" w:eastAsia="Times New Roman" w:hAnsi="Times New Roman"/>
          <w:b/>
          <w:bCs/>
          <w:sz w:val="26"/>
          <w:szCs w:val="26"/>
        </w:rPr>
        <w:t xml:space="preserve">2.7 Predictive Modelling from Sensor Data</w:t>
      </w:r>
    </w:p>
    <w:p>
      <w:pPr>
        <w:spacing w:after="200" w:line="360"/>
        <w:jc w:val="both"/>
      </w:pPr>
      <w:r>
        <w:rPr>
          <w:rFonts w:ascii="Times New Roman" w:cs="Times New Roman" w:eastAsia="Times New Roman" w:hAnsi="Times New Roman"/>
          <w:color w:val="000000"/>
          <w:sz w:val="24"/>
          <w:szCs w:val="24"/>
        </w:rPr>
        <w:t xml:space="preserve">Prediction appears in the corpus in two forms. The first is anomaly detection: an AIoT system for poultry farms addresses productivity losses arising from delayed detection of abnormal conditions (IIPEM, 2026). The second is forecasting of environmental parameters themselves, as in the machine learning approach to predicting air quality in poultry houses, which aims to enable proactive rather than reactive environmental management (Journal of Biosystems Engineering, 2026).</w:t>
      </w:r>
    </w:p>
    <w:p>
      <w:pPr>
        <w:spacing w:after="200" w:line="360"/>
        <w:jc w:val="both"/>
      </w:pPr>
      <w:r>
        <w:rPr>
          <w:rFonts w:ascii="Times New Roman" w:cs="Times New Roman" w:eastAsia="Times New Roman" w:hAnsi="Times New Roman"/>
          <w:color w:val="000000"/>
          <w:sz w:val="24"/>
          <w:szCs w:val="24"/>
        </w:rPr>
        <w:t xml:space="preserve">Model choice varies. Work on growth prediction in smart poultry farming applies explainable techniques to interpret model output (2025), and other studies apply deep learning to poultry monitoring (2026). A survey of machine learning for streaming time series forecasting provides the general treatment (Computer Science Review, 2026).</w:t>
      </w:r>
    </w:p>
    <w:p>
      <w:pPr>
        <w:spacing w:after="200" w:line="360"/>
        <w:jc w:val="both"/>
      </w:pPr>
      <w:r>
        <w:rPr>
          <w:rFonts w:ascii="Times New Roman" w:cs="Times New Roman" w:eastAsia="Times New Roman" w:hAnsi="Times New Roman"/>
          <w:color w:val="000000"/>
          <w:sz w:val="24"/>
          <w:szCs w:val="24"/>
        </w:rPr>
        <w:t xml:space="preserve">Two methodological points bear on the present project. First, the reviewed deployments generally do not state a minimum data requirement below which forecasting is not attempted; a model fitted to a small sample will still produce output, and that output will appear no less confident. Second, validation methodology is rarely described in detail. For time series data, a randomly partitioned validation set allows future observations to inform training and produces an optimistic and misleading accuracy figure. The present project responds to both by selecting the model according to available sample count, declining to forecast below a minimum, and validating on a chronologically ordered hold-out partition.</w:t>
      </w:r>
    </w:p>
    <w:p>
      <w:pPr>
        <w:pStyle w:val="Heading2"/>
        <w:spacing w:after="180" w:before="320"/>
      </w:pPr>
      <w:r>
        <w:rPr>
          <w:rFonts w:ascii="Times New Roman" w:cs="Times New Roman" w:eastAsia="Times New Roman" w:hAnsi="Times New Roman"/>
          <w:b/>
          <w:bCs/>
          <w:sz w:val="26"/>
          <w:szCs w:val="26"/>
        </w:rPr>
        <w:t xml:space="preserve">2.8 Comparison of Reviewed Systems</w:t>
      </w:r>
    </w:p>
    <w:p>
      <w:pPr>
        <w:spacing w:after="200" w:line="360"/>
        <w:jc w:val="both"/>
      </w:pPr>
      <w:r>
        <w:rPr>
          <w:rFonts w:ascii="Times New Roman" w:cs="Times New Roman" w:eastAsia="Times New Roman" w:hAnsi="Times New Roman"/>
          <w:color w:val="000000"/>
          <w:sz w:val="24"/>
          <w:szCs w:val="24"/>
        </w:rPr>
        <w:t xml:space="preserve">Table 2.2 compares representative systems from the corpus against the present project on the dimensions most relevant to its design.</w:t>
      </w:r>
    </w:p>
    <w:p>
      <w:pPr>
        <w:spacing w:after="300" w:before="100"/>
        <w:jc w:val="center"/>
      </w:pPr>
      <w:r>
        <w:rPr>
          <w:rFonts w:ascii="Times New Roman" w:cs="Times New Roman" w:eastAsia="Times New Roman" w:hAnsi="Times New Roman"/>
          <w:b/>
          <w:bCs/>
          <w:sz w:val="21"/>
          <w:szCs w:val="21"/>
        </w:rPr>
        <w:t xml:space="preserve">TABLE 2.2: COMPARISON OF REVIEWED SYSTEMS</w:t>
      </w:r>
    </w:p>
    <w:tbl>
      <w:tblPr>
        <w:tblW w:type="dxa" w:w="9000"/>
        <w:tblBorders>
          <w:top w:val="single" w:color="000000" w:sz="4"/>
          <w:left w:val="single" w:color="000000" w:sz="4"/>
          <w:bottom w:val="single" w:color="000000" w:sz="4"/>
          <w:right w:val="single" w:color="000000" w:sz="4"/>
          <w:insideH w:val="single" w:color="808080" w:sz="2"/>
          <w:insideV w:val="single" w:color="808080" w:sz="2"/>
        </w:tblBorders>
      </w:tblPr>
      <w:tblGrid>
        <w:gridCol w:w="2500"/>
        <w:gridCol w:w="1900"/>
        <w:gridCol w:w="2000"/>
        <w:gridCol w:w="2600"/>
      </w:tblGrid>
      <w:tr>
        <w:trPr>
          <w:tblHeader/>
        </w:trPr>
        <w:tc>
          <w:tcPr>
            <w:tcW w:type="dxa" w:w="25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System</w:t>
            </w:r>
          </w:p>
        </w:tc>
        <w:tc>
          <w:tcPr>
            <w:tcW w:type="dxa" w:w="19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Sensing</w:t>
            </w:r>
          </w:p>
        </w:tc>
        <w:tc>
          <w:tcPr>
            <w:tcW w:type="dxa" w:w="20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Architecture</w:t>
            </w:r>
          </w:p>
        </w:tc>
        <w:tc>
          <w:tcPr>
            <w:tcW w:type="dxa" w:w="2600"/>
            <w:shd w:fill="E8E8E8" w:val="clear"/>
            <w:tcMar>
              <w:top w:type="dxa" w:w="70"/>
              <w:left w:type="dxa" w:w="100"/>
              <w:bottom w:type="dxa" w:w="70"/>
              <w:right w:type="dxa" w:w="100"/>
            </w:tcMar>
          </w:tcPr>
          <w:p>
            <w:pPr>
              <w:spacing w:after="0" w:line="250"/>
            </w:pPr>
            <w:r>
              <w:rPr>
                <w:rFonts w:ascii="Times New Roman" w:cs="Times New Roman" w:eastAsia="Times New Roman" w:hAnsi="Times New Roman"/>
                <w:b/>
                <w:bCs/>
                <w:sz w:val="19"/>
                <w:szCs w:val="19"/>
              </w:rPr>
              <w:t xml:space="preserve">Notable property</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Ammonia and CO2 detection at farms and compost plants (2023)</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Low-cost NH3, CO2</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Cloud</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Addresses external emission, not only enclosure</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Air quality prediction in poultry houses (2026)</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Multi-gas, low cost</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IoT with ML</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Forecasting for proactive management</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Dual-MCU multi-gas monitoring prototype (2026)</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NH3, CH4, H2S</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Dual ESP32, nRF24L01</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Averages 10 minutes before transmission</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AIoT anomaly detection for poultry farms (2026)</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Temperature, humidity, NH3</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AIoT with automated control</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Automated actuation on anomaly</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Cloud-based poultry farm management (2024)</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Temperature, humidity, NH3</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Cloud with messaging platform</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Alerting through a messaging service</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Precision livestock farming with hybrid AI (2025)</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Multi-gas</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Cloud and edge</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Combines cloud and edge processing</w:t>
            </w:r>
          </w:p>
        </w:tc>
      </w:tr>
      <w:tr>
        <w:tc>
          <w:tcPr>
            <w:tcW w:type="dxa" w:w="25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Present project (2026)</w:t>
            </w:r>
          </w:p>
        </w:tc>
        <w:tc>
          <w:tcPr>
            <w:tcW w:type="dxa" w:w="19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MQ-5, MQ-6, MQ-7 × 2, DHT11</w:t>
            </w:r>
          </w:p>
        </w:tc>
        <w:tc>
          <w:tcPr>
            <w:tcW w:type="dxa" w:w="20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Distributed edge, serverless</w:t>
            </w:r>
          </w:p>
        </w:tc>
        <w:tc>
          <w:tcPr>
            <w:tcW w:type="dxa" w:w="2600"/>
            <w:tcMar>
              <w:top w:type="dxa" w:w="70"/>
              <w:left w:type="dxa" w:w="100"/>
              <w:bottom w:type="dxa" w:w="70"/>
              <w:right w:type="dxa" w:w="100"/>
            </w:tcMar>
          </w:tcPr>
          <w:p>
            <w:pPr>
              <w:spacing w:after="0" w:line="250"/>
            </w:pPr>
            <w:r>
              <w:rPr>
                <w:rFonts w:ascii="Times New Roman" w:cs="Times New Roman" w:eastAsia="Times New Roman" w:hAnsi="Times New Roman"/>
                <w:sz w:val="19"/>
                <w:szCs w:val="19"/>
              </w:rPr>
              <w:t xml:space="preserve">Signed readings, buffered delivery, measured availability</w:t>
            </w:r>
          </w:p>
        </w:tc>
      </w:tr>
    </w:tbl>
    <w:p>
      <w:pPr>
        <w:pStyle w:val="Heading2"/>
        <w:spacing w:after="180" w:before="320"/>
      </w:pPr>
      <w:r>
        <w:rPr>
          <w:rFonts w:ascii="Times New Roman" w:cs="Times New Roman" w:eastAsia="Times New Roman" w:hAnsi="Times New Roman"/>
          <w:b/>
          <w:bCs/>
          <w:sz w:val="26"/>
          <w:szCs w:val="26"/>
        </w:rPr>
        <w:t xml:space="preserve">2.9 Research Gap</w:t>
      </w:r>
    </w:p>
    <w:p>
      <w:pPr>
        <w:spacing w:after="200" w:line="360"/>
        <w:jc w:val="both"/>
      </w:pPr>
      <w:r>
        <w:rPr>
          <w:rFonts w:ascii="Times New Roman" w:cs="Times New Roman" w:eastAsia="Times New Roman" w:hAnsi="Times New Roman"/>
          <w:color w:val="000000"/>
          <w:sz w:val="24"/>
          <w:szCs w:val="24"/>
        </w:rPr>
        <w:t xml:space="preserve">Three gaps emerge from the reviewed work.</w:t>
      </w:r>
    </w:p>
    <w:p>
      <w:pPr>
        <w:spacing w:after="200" w:line="360"/>
        <w:jc w:val="both"/>
      </w:pPr>
      <w:r>
        <w:rPr>
          <w:rFonts w:ascii="Times New Roman" w:cs="Times New Roman" w:eastAsia="Times New Roman" w:hAnsi="Times New Roman"/>
          <w:color w:val="000000"/>
          <w:sz w:val="24"/>
          <w:szCs w:val="24"/>
        </w:rPr>
        <w:t xml:space="preserve">First, the corpus concentrates on conditions within production enclosures, where the beneficiary of monitoring is the livestock. Monitoring the effect of the same emissions on an adjacent population, where the beneficiary is a resident community, is comparatively unaddressed. The present project monitors at points of human occupancy rather than at the source.</w:t>
      </w:r>
    </w:p>
    <w:p>
      <w:pPr>
        <w:spacing w:after="200" w:line="360"/>
        <w:jc w:val="both"/>
      </w:pPr>
      <w:r>
        <w:rPr>
          <w:rFonts w:ascii="Times New Roman" w:cs="Times New Roman" w:eastAsia="Times New Roman" w:hAnsi="Times New Roman"/>
          <w:color w:val="000000"/>
          <w:sz w:val="24"/>
          <w:szCs w:val="24"/>
        </w:rPr>
        <w:t xml:space="preserve">Second, security in the reviewed work is predominantly concerned with protecting stored data from subsequent alteration. Establishing that a reading is genuinely attributable to the device that claims to have produced it receives less attention. For data that may be used to substantiate or refute a complaint, provenance at the point of measurement is the property that carries evidential weight.</w:t>
      </w:r>
    </w:p>
    <w:p>
      <w:pPr>
        <w:spacing w:after="200" w:line="360"/>
        <w:jc w:val="both"/>
      </w:pPr>
      <w:r>
        <w:rPr>
          <w:rFonts w:ascii="Times New Roman" w:cs="Times New Roman" w:eastAsia="Times New Roman" w:hAnsi="Times New Roman"/>
          <w:color w:val="000000"/>
          <w:sz w:val="24"/>
          <w:szCs w:val="24"/>
        </w:rPr>
        <w:t xml:space="preserve">Third, reliability is widely asserted and rarely measured. Systems are described as providing continuous or real-time monitoring, but the reviewed sources seldom report observed availability, nor account for readings taken while connectivity was unavailable. A monitoring system that silently discards data during an outage produces gaps precisely when conditions may be abnormal, and cannot demonstrate that it did not.</w:t>
      </w:r>
    </w:p>
    <w:p>
      <w:pPr>
        <w:spacing w:after="200" w:line="360"/>
        <w:jc w:val="both"/>
      </w:pPr>
      <w:r>
        <w:rPr>
          <w:rFonts w:ascii="Times New Roman" w:cs="Times New Roman" w:eastAsia="Times New Roman" w:hAnsi="Times New Roman"/>
          <w:color w:val="000000"/>
          <w:sz w:val="24"/>
          <w:szCs w:val="24"/>
        </w:rPr>
        <w:t xml:space="preserve">The present project addresses these three gaps respectively by siting measurement at points of human occupancy, by signing readings at the node so that provenance is verifiable, and by buffering readings locally with sequence numbering so that delivery is idempotent, while instrumenting the platform so that availability is recorded rather than claimed.</w:t>
      </w:r>
    </w:p>
    <w:p>
      <w:pPr>
        <w:pStyle w:val="Heading2"/>
        <w:spacing w:after="180" w:before="320"/>
      </w:pPr>
      <w:r>
        <w:rPr>
          <w:rFonts w:ascii="Times New Roman" w:cs="Times New Roman" w:eastAsia="Times New Roman" w:hAnsi="Times New Roman"/>
          <w:b/>
          <w:bCs/>
          <w:sz w:val="26"/>
          <w:szCs w:val="26"/>
        </w:rPr>
        <w:t xml:space="preserve">2.10 Conclusion</w:t>
      </w:r>
    </w:p>
    <w:p>
      <w:pPr>
        <w:spacing w:after="200" w:line="360"/>
        <w:jc w:val="both"/>
      </w:pPr>
      <w:r>
        <w:rPr>
          <w:rFonts w:ascii="Times New Roman" w:cs="Times New Roman" w:eastAsia="Times New Roman" w:hAnsi="Times New Roman"/>
          <w:color w:val="000000"/>
          <w:sz w:val="24"/>
          <w:szCs w:val="24"/>
        </w:rPr>
        <w:t xml:space="preserve">The reviewed literature establishes that gas concentration in agricultural and waste environments is consequential for both animal welfare and surrounding air quality, that low-cost sensing with microcontroller platforms is the established approach, and that processing is migrating from centralised cloud services toward edge execution for reasons of latency and autonomy.</w:t>
      </w:r>
    </w:p>
    <w:p>
      <w:pPr>
        <w:spacing w:after="200" w:line="360"/>
        <w:jc w:val="both"/>
      </w:pPr>
      <w:r>
        <w:rPr>
          <w:rFonts w:ascii="Times New Roman" w:cs="Times New Roman" w:eastAsia="Times New Roman" w:hAnsi="Times New Roman"/>
          <w:color w:val="000000"/>
          <w:sz w:val="24"/>
          <w:szCs w:val="24"/>
        </w:rPr>
        <w:t xml:space="preserve">It also reveals limitations that shaped the present design: concentrations are commonly reported without a documented calibration procedure, provenance at the point of measurement receives less attention than tamper-evident storage, and reliability is asserted more often than measured. Chapter 3 describes the methodology by which the resulting system was developed.</w:t>
      </w:r>
    </w:p>
    <w:p>
      <w:r>
        <w:br w:type="page"/>
      </w:r>
    </w:p>
    <w:p>
      <w:pPr>
        <w:pStyle w:val="Heading1"/>
        <w:spacing w:after="260" w:before="4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color w:val="5A5A5A"/>
          <w:sz w:val="21"/>
          <w:szCs w:val="21"/>
        </w:rPr>
        <w:t xml:space="preserve">The following sources were reviewed. Author names and full pagination should be completed from the publisher record before submission.</w:t>
      </w:r>
    </w:p>
    <w:p>
      <w:pPr>
        <w:pStyle w:val="Heading3"/>
        <w:spacing w:after="140" w:before="260"/>
      </w:pPr>
      <w:r>
        <w:rPr>
          <w:rFonts w:ascii="Times New Roman" w:cs="Times New Roman" w:eastAsia="Times New Roman" w:hAnsi="Times New Roman"/>
          <w:b/>
          <w:bCs/>
          <w:sz w:val="24"/>
          <w:szCs w:val="24"/>
        </w:rPr>
        <w:t xml:space="preserve">Poultry and agricultural environmental monitoring</w:t>
      </w:r>
    </w:p>
    <w:p>
      <w:pPr>
        <w:spacing w:after="140" w:line="300"/>
        <w:ind w:left="480" w:hanging="480"/>
        <w:jc w:val="both"/>
      </w:pPr>
      <w:r>
        <w:rPr>
          <w:rFonts w:ascii="Times New Roman" w:cs="Times New Roman" w:eastAsia="Times New Roman" w:hAnsi="Times New Roman"/>
          <w:sz w:val="22"/>
          <w:szCs w:val="22"/>
        </w:rPr>
        <w:t xml:space="preserve">Ammonia &amp; CO2 Gas Detection of Poultry Farms and Compost Plants by Low-Cost Smart Sensing System. 9th International Conference on Signal Processing and Intelligent Systems (ICSPIS), 2023.</w:t>
      </w:r>
    </w:p>
    <w:p>
      <w:pPr>
        <w:spacing w:after="140" w:line="300"/>
        <w:ind w:left="480" w:hanging="480"/>
        <w:jc w:val="both"/>
      </w:pPr>
      <w:r>
        <w:rPr>
          <w:rFonts w:ascii="Times New Roman" w:cs="Times New Roman" w:eastAsia="Times New Roman" w:hAnsi="Times New Roman"/>
          <w:sz w:val="22"/>
          <w:szCs w:val="22"/>
        </w:rPr>
        <w:t xml:space="preserve">An IoT and Machine Learning Approach for Predicting Air Quality Parameters in Poultry Houses. Journal of Biosystems Engineering, vol. 51, 2026.</w:t>
      </w:r>
    </w:p>
    <w:p>
      <w:pPr>
        <w:spacing w:after="140" w:line="300"/>
        <w:ind w:left="480" w:hanging="480"/>
        <w:jc w:val="both"/>
      </w:pPr>
      <w:r>
        <w:rPr>
          <w:rFonts w:ascii="Times New Roman" w:cs="Times New Roman" w:eastAsia="Times New Roman" w:hAnsi="Times New Roman"/>
          <w:sz w:val="22"/>
          <w:szCs w:val="22"/>
        </w:rPr>
        <w:t xml:space="preserve">AIoT-Based Anomaly Detection and Monitoring System for Smart Poultry Farms. International Conference on Intelligent &amp; Innovative Practices in Engineering &amp; Management (IIPEM), 2026.</w:t>
      </w:r>
    </w:p>
    <w:p>
      <w:pPr>
        <w:spacing w:after="140" w:line="300"/>
        <w:ind w:left="480" w:hanging="480"/>
        <w:jc w:val="both"/>
      </w:pPr>
      <w:r>
        <w:rPr>
          <w:rFonts w:ascii="Times New Roman" w:cs="Times New Roman" w:eastAsia="Times New Roman" w:hAnsi="Times New Roman"/>
          <w:sz w:val="22"/>
          <w:szCs w:val="22"/>
        </w:rPr>
        <w:t xml:space="preserve">Design and Prototype Development of a Dual-MCU Wireless IoT System for Multi-Gas Air Quality Monitoring in Poultry Environments. International Conference on Artificial Intelligence and Data Engineering (AIDE), 2026.</w:t>
      </w:r>
    </w:p>
    <w:p>
      <w:pPr>
        <w:spacing w:after="140" w:line="300"/>
        <w:ind w:left="480" w:hanging="480"/>
        <w:jc w:val="both"/>
      </w:pPr>
      <w:r>
        <w:rPr>
          <w:rFonts w:ascii="Times New Roman" w:cs="Times New Roman" w:eastAsia="Times New Roman" w:hAnsi="Times New Roman"/>
          <w:sz w:val="22"/>
          <w:szCs w:val="22"/>
        </w:rPr>
        <w:t xml:space="preserve">Cloud-Based IoT Solution for Enhanced Poultry Farm Management. 4th International Conference on Innovative Practices in Technology and Management (ICIPTM), 2024.</w:t>
      </w:r>
    </w:p>
    <w:p>
      <w:pPr>
        <w:spacing w:after="140" w:line="300"/>
        <w:ind w:left="480" w:hanging="480"/>
        <w:jc w:val="both"/>
      </w:pPr>
      <w:r>
        <w:rPr>
          <w:rFonts w:ascii="Times New Roman" w:cs="Times New Roman" w:eastAsia="Times New Roman" w:hAnsi="Times New Roman"/>
          <w:sz w:val="22"/>
          <w:szCs w:val="22"/>
        </w:rPr>
        <w:t xml:space="preserve">Cloud IoT based Poultry Environment Analysis System. International Conference on Current Research in Artificial Intelligence and Data Science (ICCRAIDS), 2026.</w:t>
      </w:r>
    </w:p>
    <w:p>
      <w:pPr>
        <w:spacing w:after="140" w:line="300"/>
        <w:ind w:left="480" w:hanging="480"/>
        <w:jc w:val="both"/>
      </w:pPr>
      <w:r>
        <w:rPr>
          <w:rFonts w:ascii="Times New Roman" w:cs="Times New Roman" w:eastAsia="Times New Roman" w:hAnsi="Times New Roman"/>
          <w:sz w:val="22"/>
          <w:szCs w:val="22"/>
        </w:rPr>
        <w:t xml:space="preserve">Assessment of Conceptual Framework for Monitoring Poultry Farm’s Temperature and Humidity. IEEE 11th International Conference on System Engineering and Technology (ICSET), 2021.</w:t>
      </w:r>
    </w:p>
    <w:p>
      <w:pPr>
        <w:spacing w:after="140" w:line="300"/>
        <w:ind w:left="480" w:hanging="480"/>
        <w:jc w:val="both"/>
      </w:pPr>
      <w:r>
        <w:rPr>
          <w:rFonts w:ascii="Times New Roman" w:cs="Times New Roman" w:eastAsia="Times New Roman" w:hAnsi="Times New Roman"/>
          <w:sz w:val="22"/>
          <w:szCs w:val="22"/>
        </w:rPr>
        <w:t xml:space="preserve">Integration of Wireless Sensor Network and IoT for Enhanced Broiler Closed-House Monitoring. IEEE 15th Control and System Graduate Research Colloquium (ICSGRC), 2024.</w:t>
      </w:r>
    </w:p>
    <w:p>
      <w:pPr>
        <w:spacing w:after="140" w:line="300"/>
        <w:ind w:left="480" w:hanging="480"/>
        <w:jc w:val="both"/>
      </w:pPr>
      <w:r>
        <w:rPr>
          <w:rFonts w:ascii="Times New Roman" w:cs="Times New Roman" w:eastAsia="Times New Roman" w:hAnsi="Times New Roman"/>
          <w:sz w:val="22"/>
          <w:szCs w:val="22"/>
        </w:rPr>
        <w:t xml:space="preserve">Engineering Framework for Smart Poultry Farming Using Internet of Things. International Journal on Recent and Innovation Trends in Computing and Communication, 2024.</w:t>
      </w:r>
    </w:p>
    <w:p>
      <w:pPr>
        <w:spacing w:after="140" w:line="300"/>
        <w:ind w:left="480" w:hanging="480"/>
        <w:jc w:val="both"/>
      </w:pPr>
      <w:r>
        <w:rPr>
          <w:rFonts w:ascii="Times New Roman" w:cs="Times New Roman" w:eastAsia="Times New Roman" w:hAnsi="Times New Roman"/>
          <w:sz w:val="22"/>
          <w:szCs w:val="22"/>
        </w:rPr>
        <w:t xml:space="preserve">Advancing Precision Livestock Farming: Integrating Hybrid AI, IoT, Cloud and Edge Computing for Enhanced Welfare. IEEE International Conference on Robotics and Technologies for Industrial Automation (ROBOTHIA), 2025.</w:t>
      </w:r>
    </w:p>
    <w:p>
      <w:pPr>
        <w:spacing w:after="140" w:line="300"/>
        <w:ind w:left="480" w:hanging="480"/>
        <w:jc w:val="both"/>
      </w:pPr>
      <w:r>
        <w:rPr>
          <w:rFonts w:ascii="Times New Roman" w:cs="Times New Roman" w:eastAsia="Times New Roman" w:hAnsi="Times New Roman"/>
          <w:sz w:val="22"/>
          <w:szCs w:val="22"/>
        </w:rPr>
        <w:t xml:space="preserve">IoT-based Dynamic Poultry Stress Monitoring and Smart Environmental Control System. 2026.</w:t>
      </w:r>
    </w:p>
    <w:p>
      <w:pPr>
        <w:spacing w:after="140" w:line="300"/>
        <w:ind w:left="480" w:hanging="480"/>
        <w:jc w:val="both"/>
      </w:pPr>
      <w:r>
        <w:rPr>
          <w:rFonts w:ascii="Times New Roman" w:cs="Times New Roman" w:eastAsia="Times New Roman" w:hAnsi="Times New Roman"/>
          <w:sz w:val="22"/>
          <w:szCs w:val="22"/>
        </w:rPr>
        <w:t xml:space="preserve">Poultry-Edge-AI-IoT System for Real-Time Monitoring and Predicting by Using Artificial Intelligence. International Journal of Interactive Mobile Technologies (iJIM), vol. 17, no. 12, 2023.</w:t>
      </w:r>
    </w:p>
    <w:p>
      <w:pPr>
        <w:spacing w:after="140" w:line="300"/>
        <w:ind w:left="480" w:hanging="480"/>
        <w:jc w:val="both"/>
      </w:pPr>
      <w:r>
        <w:rPr>
          <w:rFonts w:ascii="Times New Roman" w:cs="Times New Roman" w:eastAsia="Times New Roman" w:hAnsi="Times New Roman"/>
          <w:sz w:val="22"/>
          <w:szCs w:val="22"/>
        </w:rPr>
        <w:t xml:space="preserve">Smart Poultry Farm: An IoT-based Environmental Monitoring and Control System. 2023.</w:t>
      </w:r>
    </w:p>
    <w:p>
      <w:pPr>
        <w:spacing w:after="140" w:line="300"/>
        <w:ind w:left="480" w:hanging="480"/>
        <w:jc w:val="both"/>
      </w:pPr>
      <w:r>
        <w:rPr>
          <w:rFonts w:ascii="Times New Roman" w:cs="Times New Roman" w:eastAsia="Times New Roman" w:hAnsi="Times New Roman"/>
          <w:sz w:val="22"/>
          <w:szCs w:val="22"/>
        </w:rPr>
        <w:t xml:space="preserve">The Efficiency in Controlling and Monitoring a Poultry Farm based on Internet of Things (IoT). 2024.</w:t>
      </w:r>
    </w:p>
    <w:p>
      <w:pPr>
        <w:spacing w:after="140" w:line="300"/>
        <w:ind w:left="480" w:hanging="480"/>
        <w:jc w:val="both"/>
      </w:pPr>
      <w:r>
        <w:rPr>
          <w:rFonts w:ascii="Times New Roman" w:cs="Times New Roman" w:eastAsia="Times New Roman" w:hAnsi="Times New Roman"/>
          <w:sz w:val="22"/>
          <w:szCs w:val="22"/>
        </w:rPr>
        <w:t xml:space="preserve">Enhancing Poultry Farm Productivity Using IoT-Based Smart Farming Automation System. 2025.</w:t>
      </w:r>
    </w:p>
    <w:p>
      <w:pPr>
        <w:spacing w:after="140" w:line="300"/>
        <w:ind w:left="480" w:hanging="480"/>
        <w:jc w:val="both"/>
      </w:pPr>
      <w:r>
        <w:rPr>
          <w:rFonts w:ascii="Times New Roman" w:cs="Times New Roman" w:eastAsia="Times New Roman" w:hAnsi="Times New Roman"/>
          <w:sz w:val="22"/>
          <w:szCs w:val="22"/>
        </w:rPr>
        <w:t xml:space="preserve">Development of an IoT-Based System with AI-Driven Robotic Feeder and Rice Hull Management for Chickens. 2025.</w:t>
      </w:r>
    </w:p>
    <w:p>
      <w:pPr>
        <w:spacing w:after="140" w:line="300"/>
        <w:ind w:left="480" w:hanging="480"/>
        <w:jc w:val="both"/>
      </w:pPr>
      <w:r>
        <w:rPr>
          <w:rFonts w:ascii="Times New Roman" w:cs="Times New Roman" w:eastAsia="Times New Roman" w:hAnsi="Times New Roman"/>
          <w:sz w:val="22"/>
          <w:szCs w:val="22"/>
        </w:rPr>
        <w:t xml:space="preserve">Intelligent IoT Poultry System for Automated Feed and Environmental Monitoring. 2025.</w:t>
      </w:r>
    </w:p>
    <w:p>
      <w:pPr>
        <w:spacing w:after="140" w:line="300"/>
        <w:ind w:left="480" w:hanging="480"/>
        <w:jc w:val="both"/>
      </w:pPr>
      <w:r>
        <w:rPr>
          <w:rFonts w:ascii="Times New Roman" w:cs="Times New Roman" w:eastAsia="Times New Roman" w:hAnsi="Times New Roman"/>
          <w:sz w:val="22"/>
          <w:szCs w:val="22"/>
        </w:rPr>
        <w:t xml:space="preserve">An IoT-Based System for Measuring Diurnal Gas Emissions. 2025.</w:t>
      </w:r>
    </w:p>
    <w:p>
      <w:pPr>
        <w:spacing w:after="140" w:line="300"/>
        <w:ind w:left="480" w:hanging="480"/>
        <w:jc w:val="both"/>
      </w:pPr>
      <w:r>
        <w:rPr>
          <w:rFonts w:ascii="Times New Roman" w:cs="Times New Roman" w:eastAsia="Times New Roman" w:hAnsi="Times New Roman"/>
          <w:sz w:val="22"/>
          <w:szCs w:val="22"/>
        </w:rPr>
        <w:t xml:space="preserve">Proposing A Cloud and Edge Computing Based Decision Supportive Consolidated Farming System. International Conference on Emerging Smart Computing and Informatics (ESCI), 2026.</w:t>
      </w:r>
    </w:p>
    <w:p>
      <w:pPr>
        <w:spacing w:after="140" w:line="300"/>
        <w:ind w:left="480" w:hanging="480"/>
        <w:jc w:val="both"/>
      </w:pPr>
      <w:r>
        <w:rPr>
          <w:rFonts w:ascii="Times New Roman" w:cs="Times New Roman" w:eastAsia="Times New Roman" w:hAnsi="Times New Roman"/>
          <w:sz w:val="22"/>
          <w:szCs w:val="22"/>
        </w:rPr>
        <w:t xml:space="preserve">5G Enabled Agriculture Ecosystem: Food Supply Chain, Rural Development, and Climate Resilience. 2026.</w:t>
      </w:r>
    </w:p>
    <w:p>
      <w:pPr>
        <w:pStyle w:val="Heading3"/>
        <w:spacing w:after="140" w:before="260"/>
      </w:pPr>
      <w:r>
        <w:rPr>
          <w:rFonts w:ascii="Times New Roman" w:cs="Times New Roman" w:eastAsia="Times New Roman" w:hAnsi="Times New Roman"/>
          <w:b/>
          <w:bCs/>
          <w:sz w:val="24"/>
          <w:szCs w:val="24"/>
        </w:rPr>
        <w:t xml:space="preserve">Edge, fog and serverless computing</w:t>
      </w:r>
    </w:p>
    <w:p>
      <w:pPr>
        <w:spacing w:after="140" w:line="300"/>
        <w:ind w:left="480" w:hanging="480"/>
        <w:jc w:val="both"/>
      </w:pPr>
      <w:r>
        <w:rPr>
          <w:rFonts w:ascii="Times New Roman" w:cs="Times New Roman" w:eastAsia="Times New Roman" w:hAnsi="Times New Roman"/>
          <w:sz w:val="22"/>
          <w:szCs w:val="22"/>
        </w:rPr>
        <w:t xml:space="preserve">The computing continuum: Past, present, and future. Computer Science Review, vol. 58, 2025.</w:t>
      </w:r>
    </w:p>
    <w:p>
      <w:pPr>
        <w:spacing w:after="140" w:line="300"/>
        <w:ind w:left="480" w:hanging="480"/>
        <w:jc w:val="both"/>
      </w:pPr>
      <w:r>
        <w:rPr>
          <w:rFonts w:ascii="Times New Roman" w:cs="Times New Roman" w:eastAsia="Times New Roman" w:hAnsi="Times New Roman"/>
          <w:sz w:val="22"/>
          <w:szCs w:val="22"/>
        </w:rPr>
        <w:t xml:space="preserve">Contemporary advances in multi-access edge computing: A survey of fundamentals, architecture, technologies. Journal of Network and Computer Applications, vol. 248, 2026.</w:t>
      </w:r>
    </w:p>
    <w:p>
      <w:pPr>
        <w:spacing w:after="140" w:line="300"/>
        <w:ind w:left="480" w:hanging="480"/>
        <w:jc w:val="both"/>
      </w:pPr>
      <w:r>
        <w:rPr>
          <w:rFonts w:ascii="Times New Roman" w:cs="Times New Roman" w:eastAsia="Times New Roman" w:hAnsi="Times New Roman"/>
          <w:sz w:val="22"/>
          <w:szCs w:val="22"/>
        </w:rPr>
        <w:t xml:space="preserve">Microservices and serverless functions — lifecycle, performance, and resource utilisation of edge based systems. Future Generation Computer Systems, vol. 150, 2024.</w:t>
      </w:r>
    </w:p>
    <w:p>
      <w:pPr>
        <w:spacing w:after="140" w:line="300"/>
        <w:ind w:left="480" w:hanging="480"/>
        <w:jc w:val="both"/>
      </w:pPr>
      <w:r>
        <w:rPr>
          <w:rFonts w:ascii="Times New Roman" w:cs="Times New Roman" w:eastAsia="Times New Roman" w:hAnsi="Times New Roman"/>
          <w:sz w:val="22"/>
          <w:szCs w:val="22"/>
        </w:rPr>
        <w:t xml:space="preserve">Expanding the cloud-to-edge continuum to the IoT in serverless federated learning. Future Generation Computer Systems, vol. 155, 2024.</w:t>
      </w:r>
    </w:p>
    <w:p>
      <w:pPr>
        <w:spacing w:after="140" w:line="300"/>
        <w:ind w:left="480" w:hanging="480"/>
        <w:jc w:val="both"/>
      </w:pPr>
      <w:r>
        <w:rPr>
          <w:rFonts w:ascii="Times New Roman" w:cs="Times New Roman" w:eastAsia="Times New Roman" w:hAnsi="Times New Roman"/>
          <w:sz w:val="22"/>
          <w:szCs w:val="22"/>
        </w:rPr>
        <w:t xml:space="preserve">AI augmented Edge and Fog computing: Trends and challenges. Journal of Network and Computer Applications, vol. 216, 2023.</w:t>
      </w:r>
    </w:p>
    <w:p>
      <w:pPr>
        <w:spacing w:after="140" w:line="300"/>
        <w:ind w:left="480" w:hanging="480"/>
        <w:jc w:val="both"/>
      </w:pPr>
      <w:r>
        <w:rPr>
          <w:rFonts w:ascii="Times New Roman" w:cs="Times New Roman" w:eastAsia="Times New Roman" w:hAnsi="Times New Roman"/>
          <w:sz w:val="22"/>
          <w:szCs w:val="22"/>
        </w:rPr>
        <w:t xml:space="preserve">Edge-AI empowered Cyber-Physical Systems: A comprehensive review on performance analysis. Computer Science Review, vol. 58, 2025.</w:t>
      </w:r>
    </w:p>
    <w:p>
      <w:pPr>
        <w:spacing w:after="140" w:line="300"/>
        <w:ind w:left="480" w:hanging="480"/>
        <w:jc w:val="both"/>
      </w:pPr>
      <w:r>
        <w:rPr>
          <w:rFonts w:ascii="Times New Roman" w:cs="Times New Roman" w:eastAsia="Times New Roman" w:hAnsi="Times New Roman"/>
          <w:sz w:val="22"/>
          <w:szCs w:val="22"/>
        </w:rPr>
        <w:t xml:space="preserve">Revisiting workflow scheduling with the power of edge computing: Taxonomy, review, and open challenges. Computer Science Review, vol. 60, 2026.</w:t>
      </w:r>
    </w:p>
    <w:p>
      <w:pPr>
        <w:spacing w:after="140" w:line="300"/>
        <w:ind w:left="480" w:hanging="480"/>
        <w:jc w:val="both"/>
      </w:pPr>
      <w:r>
        <w:rPr>
          <w:rFonts w:ascii="Times New Roman" w:cs="Times New Roman" w:eastAsia="Times New Roman" w:hAnsi="Times New Roman"/>
          <w:sz w:val="22"/>
          <w:szCs w:val="22"/>
        </w:rPr>
        <w:t xml:space="preserve">Edge or Cloud Architecture: The Applicability of New Data Processing. 2025.</w:t>
      </w:r>
    </w:p>
    <w:p>
      <w:pPr>
        <w:spacing w:after="140" w:line="300"/>
        <w:ind w:left="480" w:hanging="480"/>
        <w:jc w:val="both"/>
      </w:pPr>
      <w:r>
        <w:rPr>
          <w:rFonts w:ascii="Times New Roman" w:cs="Times New Roman" w:eastAsia="Times New Roman" w:hAnsi="Times New Roman"/>
          <w:sz w:val="22"/>
          <w:szCs w:val="22"/>
        </w:rPr>
        <w:t xml:space="preserve">Serverless Blockchain-Enabled Architecture for IoT Societal Applications. IEEE, 2020.</w:t>
      </w:r>
    </w:p>
    <w:p>
      <w:pPr>
        <w:pStyle w:val="Heading3"/>
        <w:spacing w:after="140" w:before="260"/>
      </w:pPr>
      <w:r>
        <w:rPr>
          <w:rFonts w:ascii="Times New Roman" w:cs="Times New Roman" w:eastAsia="Times New Roman" w:hAnsi="Times New Roman"/>
          <w:b/>
          <w:bCs/>
          <w:sz w:val="24"/>
          <w:szCs w:val="24"/>
        </w:rPr>
        <w:t xml:space="preserve">Security, integrity and standards</w:t>
      </w:r>
    </w:p>
    <w:p>
      <w:pPr>
        <w:spacing w:after="140" w:line="300"/>
        <w:ind w:left="480" w:hanging="480"/>
        <w:jc w:val="both"/>
      </w:pPr>
      <w:r>
        <w:rPr>
          <w:rFonts w:ascii="Times New Roman" w:cs="Times New Roman" w:eastAsia="Times New Roman" w:hAnsi="Times New Roman"/>
          <w:sz w:val="22"/>
          <w:szCs w:val="22"/>
        </w:rPr>
        <w:t xml:space="preserve">Exploring the integration of edge computing and blockchain IoT: Principles, architectures, security, and applications. Journal of Network and Computer Applications, vol. 226, 2024.</w:t>
      </w:r>
    </w:p>
    <w:p>
      <w:pPr>
        <w:spacing w:after="140" w:line="300"/>
        <w:ind w:left="480" w:hanging="480"/>
        <w:jc w:val="both"/>
      </w:pPr>
      <w:r>
        <w:rPr>
          <w:rFonts w:ascii="Times New Roman" w:cs="Times New Roman" w:eastAsia="Times New Roman" w:hAnsi="Times New Roman"/>
          <w:sz w:val="22"/>
          <w:szCs w:val="22"/>
        </w:rPr>
        <w:t xml:space="preserve">Security and privacy of industrial big data: Motivation, opportunities, and challenges. Computer Science Review, vol. 58, 2025.</w:t>
      </w:r>
    </w:p>
    <w:p>
      <w:pPr>
        <w:spacing w:after="140" w:line="300"/>
        <w:ind w:left="480" w:hanging="480"/>
        <w:jc w:val="both"/>
      </w:pPr>
      <w:r>
        <w:rPr>
          <w:rFonts w:ascii="Times New Roman" w:cs="Times New Roman" w:eastAsia="Times New Roman" w:hAnsi="Times New Roman"/>
          <w:sz w:val="22"/>
          <w:szCs w:val="22"/>
        </w:rPr>
        <w:t xml:space="preserve">A multi-objectives framework for secure blockchain in fog–cloud network. Future Generation Computer Systems, vol. 155, 2024.</w:t>
      </w:r>
    </w:p>
    <w:p>
      <w:pPr>
        <w:spacing w:after="140" w:line="300"/>
        <w:ind w:left="480" w:hanging="480"/>
        <w:jc w:val="both"/>
      </w:pPr>
      <w:r>
        <w:rPr>
          <w:rFonts w:ascii="Times New Roman" w:cs="Times New Roman" w:eastAsia="Times New Roman" w:hAnsi="Times New Roman"/>
          <w:sz w:val="22"/>
          <w:szCs w:val="22"/>
        </w:rPr>
        <w:t xml:space="preserve">IEEE Std 2796-2024, IEEE Standard for Framework for the Internet of Food (IoF). IEEE, 2024.</w:t>
      </w:r>
    </w:p>
    <w:p>
      <w:pPr>
        <w:spacing w:after="140" w:line="300"/>
        <w:ind w:left="480" w:hanging="480"/>
        <w:jc w:val="both"/>
      </w:pPr>
      <w:r>
        <w:rPr>
          <w:rFonts w:ascii="Times New Roman" w:cs="Times New Roman" w:eastAsia="Times New Roman" w:hAnsi="Times New Roman"/>
          <w:sz w:val="22"/>
          <w:szCs w:val="22"/>
        </w:rPr>
        <w:t xml:space="preserve">IEEE Std 2992-2025, IEEE Recommended Practice for Data Expression, Exchange, and Processing in Smart Agriculture. IEEE, 2025.</w:t>
      </w:r>
    </w:p>
    <w:p>
      <w:pPr>
        <w:pStyle w:val="Heading3"/>
        <w:spacing w:after="140" w:before="260"/>
      </w:pPr>
      <w:r>
        <w:rPr>
          <w:rFonts w:ascii="Times New Roman" w:cs="Times New Roman" w:eastAsia="Times New Roman" w:hAnsi="Times New Roman"/>
          <w:b/>
          <w:bCs/>
          <w:sz w:val="24"/>
          <w:szCs w:val="24"/>
        </w:rPr>
        <w:t xml:space="preserve">Machine learning and forecasting</w:t>
      </w:r>
    </w:p>
    <w:p>
      <w:pPr>
        <w:spacing w:after="140" w:line="300"/>
        <w:ind w:left="480" w:hanging="480"/>
        <w:jc w:val="both"/>
      </w:pPr>
      <w:r>
        <w:rPr>
          <w:rFonts w:ascii="Times New Roman" w:cs="Times New Roman" w:eastAsia="Times New Roman" w:hAnsi="Times New Roman"/>
          <w:sz w:val="22"/>
          <w:szCs w:val="22"/>
        </w:rPr>
        <w:t xml:space="preserve">A survey on machine learning for streaming time series forecasting. Computer Science Review, vol. 62, 2026.</w:t>
      </w:r>
    </w:p>
    <w:p>
      <w:pPr>
        <w:spacing w:after="140" w:line="300"/>
        <w:ind w:left="480" w:hanging="480"/>
        <w:jc w:val="both"/>
      </w:pPr>
      <w:r>
        <w:rPr>
          <w:rFonts w:ascii="Times New Roman" w:cs="Times New Roman" w:eastAsia="Times New Roman" w:hAnsi="Times New Roman"/>
          <w:sz w:val="22"/>
          <w:szCs w:val="22"/>
        </w:rPr>
        <w:t xml:space="preserve">Explainable AI with SHAP for Data-Driven Growth Prediction in Smart Poultry Farming. 2025.</w:t>
      </w:r>
    </w:p>
    <w:p>
      <w:pPr>
        <w:spacing w:after="140" w:line="300"/>
        <w:ind w:left="480" w:hanging="480"/>
        <w:jc w:val="both"/>
      </w:pPr>
      <w:r>
        <w:rPr>
          <w:rFonts w:ascii="Times New Roman" w:cs="Times New Roman" w:eastAsia="Times New Roman" w:hAnsi="Times New Roman"/>
          <w:sz w:val="22"/>
          <w:szCs w:val="22"/>
        </w:rPr>
        <w:t xml:space="preserve">IoT based Poultry Farm Monitoring System with Deep Learning Techniques. 2026.</w:t>
      </w:r>
    </w:p>
    <w:p>
      <w:pPr>
        <w:spacing w:after="140" w:line="300"/>
        <w:ind w:left="480" w:hanging="480"/>
        <w:jc w:val="both"/>
      </w:pPr>
      <w:r>
        <w:rPr>
          <w:rFonts w:ascii="Times New Roman" w:cs="Times New Roman" w:eastAsia="Times New Roman" w:hAnsi="Times New Roman"/>
          <w:sz w:val="22"/>
          <w:szCs w:val="22"/>
        </w:rPr>
        <w:t xml:space="preserve">Intelligent Control Shed Poultry Farm System Incorporating With Machine Learning. 2024.</w:t>
      </w:r>
    </w:p>
    <w:p>
      <w:pPr>
        <w:spacing w:after="140" w:line="300"/>
        <w:ind w:left="480" w:hanging="480"/>
        <w:jc w:val="both"/>
      </w:pPr>
      <w:r>
        <w:rPr>
          <w:rFonts w:ascii="Times New Roman" w:cs="Times New Roman" w:eastAsia="Times New Roman" w:hAnsi="Times New Roman"/>
          <w:sz w:val="22"/>
          <w:szCs w:val="22"/>
        </w:rPr>
        <w:t xml:space="preserve">Optimizing Poultry Farming Through Environmental Data Analytics Using IoT and ERP Systems. 2026.</w:t>
      </w:r>
    </w:p>
    <w:p>
      <w:pPr>
        <w:spacing w:after="140" w:line="300"/>
        <w:ind w:left="480" w:hanging="480"/>
        <w:jc w:val="both"/>
      </w:pPr>
      <w:r>
        <w:rPr>
          <w:rFonts w:ascii="Times New Roman" w:cs="Times New Roman" w:eastAsia="Times New Roman" w:hAnsi="Times New Roman"/>
          <w:sz w:val="22"/>
          <w:szCs w:val="22"/>
        </w:rPr>
        <w:t xml:space="preserve">Data drift-resilient inference: Maintaining model integrity via lightweight distribution correction. Future Generation Computer Systems, vol. 184, 2026.</w:t>
      </w:r>
    </w:p>
    <w:p>
      <w:pPr>
        <w:spacing w:before="300"/>
      </w:pPr>
    </w:p>
    <w:p>
      <w:pPr>
        <w:spacing w:after="200" w:line="360"/>
        <w:jc w:val="both"/>
      </w:pPr>
      <w:r>
        <w:rPr>
          <w:rFonts w:ascii="Times New Roman" w:cs="Times New Roman" w:eastAsia="Times New Roman" w:hAnsi="Times New Roman"/>
          <w:color w:val="5A5A5A"/>
          <w:sz w:val="21"/>
          <w:szCs w:val="21"/>
        </w:rPr>
        <w:t xml:space="preserve">A further 30 sources from the corpus, addressing adjacent topics in IoT architecture, scheduling, networking and smart cities, were examined but are not cited above as they do not bear directly on the design decisions discussed in this chapter. They remain available in the project source collection.</w:t>
      </w:r>
    </w:p>
    <w:p>
      <w:pPr>
        <w:spacing w:before="300"/>
      </w:pPr>
    </w:p>
    <w:p>
      <w:pPr>
        <w:spacing w:after="200" w:line="360"/>
        <w:jc w:val="center"/>
      </w:pPr>
      <w:r>
        <w:rPr>
          <w:rFonts w:ascii="Times New Roman" w:cs="Times New Roman" w:eastAsia="Times New Roman" w:hAnsi="Times New Roman"/>
          <w:i/>
          <w:iCs/>
          <w:color w:val="5A5A5A"/>
          <w:sz w:val="24"/>
          <w:szCs w:val="24"/>
        </w:rPr>
        <w:t xml:space="preserve">End of Chapter 2.</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6"/>
      <w:szCs w:val="26"/>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568e0ed17e6b198115ca816bff329b9d99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2026-08-22T17:14:28.757Z</dcterms:created>
  <dcterms:modified xsi:type="dcterms:W3CDTF">2026-08-22T17:14:28.772Z</dcterms:modified>
</cp:coreProperties>
</file>

<file path=docProps/custom.xml><?xml version="1.0" encoding="utf-8"?>
<Properties xmlns="http://schemas.openxmlformats.org/officeDocument/2006/custom-properties" xmlns:vt="http://schemas.openxmlformats.org/officeDocument/2006/docPropsVTypes"/>
</file>