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0"/>
        <w:jc w:val="center"/>
      </w:pPr>
      <w:r>
        <w:drawing>
          <wp:inline distT="0" distB="0" distL="0" distR="0">
            <wp:extent cx="2476500" cy="1685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476500" cy="1685925"/>
                    </a:xfrm>
                    <a:prstGeom prst="rect">
                      <a:avLst/>
                    </a:prstGeom>
                  </pic:spPr>
                </pic:pic>
              </a:graphicData>
            </a:graphic>
          </wp:inline>
        </w:drawing>
      </w:r>
    </w:p>
    <w:p>
      <w:pPr>
        <w:spacing w:after="120" w:line="360"/>
        <w:jc w:val="center"/>
      </w:pPr>
      <w:r>
        <w:rPr>
          <w:rFonts w:ascii="Times New Roman" w:cs="Times New Roman" w:eastAsia="Times New Roman" w:hAnsi="Times New Roman"/>
          <w:b/>
          <w:bCs/>
          <w:color w:val="000000"/>
          <w:sz w:val="32"/>
          <w:szCs w:val="32"/>
        </w:rPr>
        <w:t xml:space="preserve">SMART ODOUR MONITORING PLATFORM</w:t>
      </w:r>
    </w:p>
    <w:p>
      <w:pPr>
        <w:spacing w:after="500" w:line="360"/>
        <w:jc w:val="center"/>
      </w:pPr>
      <w:r>
        <w:rPr>
          <w:rFonts w:ascii="Times New Roman" w:cs="Times New Roman" w:eastAsia="Times New Roman" w:hAnsi="Times New Roman"/>
          <w:b/>
          <w:bCs/>
          <w:color w:val="000000"/>
          <w:sz w:val="26"/>
          <w:szCs w:val="26"/>
        </w:rPr>
        <w:t xml:space="preserve">CAMPUS AIR QUALITY MONITORING USING IoT SENSOR NODES AND EDGE COMPUTING</w:t>
      </w:r>
    </w:p>
    <w:p>
      <w:pPr>
        <w:spacing w:after="100" w:line="360"/>
        <w:jc w:val="center"/>
      </w:pPr>
      <w:r>
        <w:rPr>
          <w:rFonts w:ascii="Times New Roman" w:cs="Times New Roman" w:eastAsia="Times New Roman" w:hAnsi="Times New Roman"/>
          <w:b/>
          <w:bCs/>
          <w:color w:val="000000"/>
          <w:sz w:val="28"/>
          <w:szCs w:val="28"/>
        </w:rPr>
        <w:t xml:space="preserve">CHAPTER 1, 3 AND 4</w:t>
      </w:r>
    </w:p>
    <w:p>
      <w:pPr>
        <w:spacing w:after="600" w:line="360"/>
        <w:jc w:val="center"/>
      </w:pPr>
      <w:r>
        <w:rPr>
          <w:rFonts w:ascii="Times New Roman" w:cs="Times New Roman" w:eastAsia="Times New Roman" w:hAnsi="Times New Roman"/>
          <w:color w:val="000000"/>
          <w:sz w:val="24"/>
          <w:szCs w:val="24"/>
        </w:rPr>
        <w:t xml:space="preserve">INTRODUCTION, METHODOLOGY, ANALYSIS AND DESIGN</w:t>
      </w:r>
    </w:p>
    <w:p>
      <w:pPr>
        <w:spacing w:after="60" w:line="360"/>
        <w:jc w:val="center"/>
      </w:pPr>
      <w:r>
        <w:rPr>
          <w:rFonts w:ascii="Times New Roman" w:cs="Times New Roman" w:eastAsia="Times New Roman" w:hAnsi="Times New Roman"/>
          <w:color w:val="000000"/>
          <w:sz w:val="22"/>
          <w:szCs w:val="22"/>
        </w:rPr>
        <w:t xml:space="preserve">FACULTY OF INFORMATION AND COMMUNICATION TECHNOLOGY</w:t>
      </w:r>
    </w:p>
    <w:p>
      <w:pPr>
        <w:spacing w:after="60" w:line="360"/>
        <w:jc w:val="center"/>
      </w:pPr>
      <w:r>
        <w:rPr>
          <w:rFonts w:ascii="Times New Roman" w:cs="Times New Roman" w:eastAsia="Times New Roman" w:hAnsi="Times New Roman"/>
          <w:color w:val="000000"/>
          <w:sz w:val="22"/>
          <w:szCs w:val="22"/>
        </w:rPr>
        <w:t xml:space="preserve">UNIVERSITI TEKNIKAL MALAYSIA MELAKA</w:t>
      </w:r>
    </w:p>
    <w:p>
      <w:pPr>
        <w:spacing w:after="500" w:line="360"/>
        <w:jc w:val="center"/>
      </w:pPr>
      <w:r>
        <w:rPr>
          <w:rFonts w:ascii="Times New Roman" w:cs="Times New Roman" w:eastAsia="Times New Roman" w:hAnsi="Times New Roman"/>
          <w:color w:val="000000"/>
          <w:sz w:val="22"/>
          <w:szCs w:val="22"/>
        </w:rPr>
        <w:t xml:space="preserve">2026</w:t>
      </w:r>
    </w:p>
    <w:p>
      <w:pPr>
        <w:shd w:fill="FFF4E5" w:val="clear"/>
        <w:spacing w:after="120"/>
      </w:pPr>
      <w:r>
        <w:rPr>
          <w:rFonts w:ascii="Times New Roman" w:cs="Times New Roman" w:eastAsia="Times New Roman" w:hAnsi="Times New Roman"/>
          <w:b/>
          <w:bCs/>
          <w:sz w:val="22"/>
          <w:szCs w:val="22"/>
        </w:rPr>
        <w:t xml:space="preserve">Note on Chapter 2</w:t>
      </w:r>
    </w:p>
    <w:p>
      <w:pPr>
        <w:spacing w:after="200" w:line="360"/>
        <w:jc w:val="both"/>
      </w:pPr>
      <w:r>
        <w:rPr>
          <w:rFonts w:ascii="Times New Roman" w:cs="Times New Roman" w:eastAsia="Times New Roman" w:hAnsi="Times New Roman"/>
          <w:color w:val="000000"/>
          <w:sz w:val="22"/>
          <w:szCs w:val="22"/>
        </w:rPr>
        <w:t xml:space="preserve">Chapter 2, the literature review, is not included in this document. It requires reading and synthesising the collected body of work, and writing it without access to those sources would produce citations that could not be substantiated. Section 1.7 records the foundations on which the review should be built.</w:t>
      </w:r>
    </w:p>
    <w:p>
      <w:pPr>
        <w:spacing w:after="200" w:line="360"/>
        <w:jc w:val="both"/>
      </w:pPr>
      <w:r>
        <w:rPr>
          <w:rFonts w:ascii="Times New Roman" w:cs="Times New Roman" w:eastAsia="Times New Roman" w:hAnsi="Times New Roman"/>
          <w:color w:val="000000"/>
          <w:sz w:val="22"/>
          <w:szCs w:val="22"/>
        </w:rPr>
        <w:t xml:space="preserve">The problem statement and objectives in Chapter 1 are drafted from the system as built and from the project brief. They should be reviewed against the supervisor’s framing before submission.</w:t>
      </w:r>
    </w:p>
    <w:p>
      <w:r>
        <w:br w:type="page"/>
      </w:r>
    </w:p>
    <w:p>
      <w:pPr>
        <w:pStyle w:val="Heading1"/>
        <w:spacing w:after="260" w:before="400"/>
      </w:pPr>
      <w:r>
        <w:rPr>
          <w:rFonts w:ascii="Times New Roman" w:cs="Times New Roman" w:eastAsia="Times New Roman" w:hAnsi="Times New Roman"/>
          <w:b/>
          <w:bCs/>
          <w:sz w:val="32"/>
          <w:szCs w:val="32"/>
        </w:rP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60" w:before="400"/>
      </w:pPr>
      <w:r>
        <w:rPr>
          <w:rFonts w:ascii="Times New Roman" w:cs="Times New Roman" w:eastAsia="Times New Roman" w:hAnsi="Times New Roman"/>
          <w:b/>
          <w:bCs/>
          <w:sz w:val="32"/>
          <w:szCs w:val="32"/>
        </w:rPr>
        <w:t xml:space="preserve">CHAPTER 1: INTRODUCTION</w:t>
      </w:r>
    </w:p>
    <w:p>
      <w:pPr>
        <w:pStyle w:val="Heading2"/>
        <w:spacing w:after="180" w:before="320"/>
      </w:pPr>
      <w:r>
        <w:rPr>
          <w:rFonts w:ascii="Times New Roman" w:cs="Times New Roman" w:eastAsia="Times New Roman" w:hAnsi="Times New Roman"/>
          <w:b/>
          <w:bCs/>
          <w:sz w:val="26"/>
          <w:szCs w:val="26"/>
        </w:rPr>
        <w:t xml:space="preserve">1.1 Introduction</w:t>
      </w:r>
    </w:p>
    <w:p>
      <w:pPr>
        <w:spacing w:after="200" w:line="360"/>
        <w:jc w:val="both"/>
      </w:pPr>
      <w:r>
        <w:rPr>
          <w:rFonts w:ascii="Times New Roman" w:cs="Times New Roman" w:eastAsia="Times New Roman" w:hAnsi="Times New Roman"/>
          <w:color w:val="000000"/>
          <w:sz w:val="24"/>
          <w:szCs w:val="24"/>
        </w:rPr>
        <w:t xml:space="preserve">Airborne odour is among the most frequent environmental complaints in communities situated near agricultural and waste-handling operations. Unlike noise or visible pollution, odour is transient, highly variable, and difficult to substantiate after the fact. A resident who experiences a strong smell at four in the morning has, by the time an inspector arrives, no evidence that it occurred.</w:t>
      </w:r>
    </w:p>
    <w:p>
      <w:pPr>
        <w:spacing w:after="200" w:line="360"/>
        <w:jc w:val="both"/>
      </w:pPr>
      <w:r>
        <w:rPr>
          <w:rFonts w:ascii="Times New Roman" w:cs="Times New Roman" w:eastAsia="Times New Roman" w:hAnsi="Times New Roman"/>
          <w:color w:val="000000"/>
          <w:sz w:val="24"/>
          <w:szCs w:val="24"/>
        </w:rPr>
        <w:t xml:space="preserve">The campus of Universiti Teknikal Malaysia Melaka lies adjacent to agricultural land. Residential colleges, faculty buildings and food-service areas are subject to intermittent odour episodes whose intensity, timing and origin are not currently recorded. Facility management therefore responds to complaints rather than to measurements, and cannot demonstrate whether conditions are improving or worsening.</w:t>
      </w:r>
    </w:p>
    <w:p>
      <w:pPr>
        <w:spacing w:after="200" w:line="360"/>
        <w:jc w:val="both"/>
      </w:pPr>
      <w:r>
        <w:rPr>
          <w:rFonts w:ascii="Times New Roman" w:cs="Times New Roman" w:eastAsia="Times New Roman" w:hAnsi="Times New Roman"/>
          <w:color w:val="000000"/>
          <w:sz w:val="24"/>
          <w:szCs w:val="24"/>
        </w:rPr>
        <w:t xml:space="preserve">This project develops a monitoring platform that measures odour-associated gas concentrations continuously at fixed points across the campus, records every reading in a form that can be audited, evaluates readings against configurable thresholds, and notifies responsible staff automatically when limits are exceeded. Where a breach is severe, the system activates exhaust ventilation without human intervention.</w:t>
      </w:r>
    </w:p>
    <w:p>
      <w:pPr>
        <w:spacing w:after="200" w:line="360"/>
        <w:jc w:val="both"/>
      </w:pPr>
      <w:r>
        <w:rPr>
          <w:rFonts w:ascii="Times New Roman" w:cs="Times New Roman" w:eastAsia="Times New Roman" w:hAnsi="Times New Roman"/>
          <w:color w:val="000000"/>
          <w:sz w:val="24"/>
          <w:szCs w:val="24"/>
        </w:rPr>
        <w:t xml:space="preserve">The platform is built on distributed edge computing rather than on conventional server infrastructure. This decision is central to the project: environmental monitoring has value only if it is continuous, and a monitoring system that is itself unreliable produces gaps precisely when conditions are abnormal.</w:t>
      </w:r>
    </w:p>
    <w:p>
      <w:pPr>
        <w:pStyle w:val="Heading2"/>
        <w:spacing w:after="180" w:before="320"/>
      </w:pPr>
      <w:r>
        <w:rPr>
          <w:rFonts w:ascii="Times New Roman" w:cs="Times New Roman" w:eastAsia="Times New Roman" w:hAnsi="Times New Roman"/>
          <w:b/>
          <w:bCs/>
          <w:sz w:val="26"/>
          <w:szCs w:val="26"/>
        </w:rPr>
        <w:t xml:space="preserve">1.2 Problem Statement</w:t>
      </w:r>
    </w:p>
    <w:p>
      <w:pPr>
        <w:spacing w:after="200" w:line="360"/>
        <w:jc w:val="both"/>
      </w:pPr>
      <w:r>
        <w:rPr>
          <w:rFonts w:ascii="Times New Roman" w:cs="Times New Roman" w:eastAsia="Times New Roman" w:hAnsi="Times New Roman"/>
          <w:color w:val="000000"/>
          <w:sz w:val="24"/>
          <w:szCs w:val="24"/>
        </w:rPr>
        <w:t xml:space="preserve">The problems addressed by this project are summarised in Table 1.1.</w:t>
      </w:r>
    </w:p>
    <w:p>
      <w:pPr>
        <w:spacing w:after="300" w:before="100"/>
        <w:jc w:val="center"/>
      </w:pPr>
      <w:r>
        <w:rPr>
          <w:rFonts w:ascii="Times New Roman" w:cs="Times New Roman" w:eastAsia="Times New Roman" w:hAnsi="Times New Roman"/>
          <w:b/>
          <w:bCs/>
          <w:sz w:val="21"/>
          <w:szCs w:val="21"/>
        </w:rPr>
        <w:t xml:space="preserve">TABLE 1.1: PROBLEM STATEMENT</w:t>
      </w:r>
    </w:p>
    <w:tbl>
      <w:tblPr>
        <w:tblW w:type="dxa" w:w="8400"/>
        <w:tblBorders>
          <w:top w:val="single" w:color="000000" w:sz="4"/>
          <w:left w:val="single" w:color="000000" w:sz="4"/>
          <w:bottom w:val="single" w:color="000000" w:sz="4"/>
          <w:right w:val="single" w:color="000000" w:sz="4"/>
          <w:insideH w:val="single" w:color="808080" w:sz="2"/>
          <w:insideV w:val="single" w:color="808080" w:sz="2"/>
        </w:tblBorders>
      </w:tblPr>
      <w:tblGrid>
        <w:gridCol w:w="900"/>
        <w:gridCol w:w="7500"/>
      </w:tblGrid>
      <w:tr>
        <w:trPr>
          <w:tblHeader/>
        </w:trPr>
        <w:tc>
          <w:tcPr>
            <w:tcW w:type="dxa" w:w="900"/>
            <w:shd w:fill="E8E8E8" w:val="clear"/>
            <w:tcMar>
              <w:top w:type="dxa" w:w="70"/>
              <w:left w:type="dxa" w:w="100"/>
              <w:bottom w:type="dxa" w:w="70"/>
              <w:right w:type="dxa" w:w="100"/>
            </w:tcMar>
          </w:tcPr>
          <w:p>
            <w:pPr>
              <w:spacing w:after="0" w:line="260"/>
            </w:pPr>
            <w:r>
              <w:rPr>
                <w:rFonts w:ascii="Times New Roman" w:cs="Times New Roman" w:eastAsia="Times New Roman" w:hAnsi="Times New Roman"/>
                <w:b/>
                <w:bCs/>
                <w:sz w:val="20"/>
                <w:szCs w:val="20"/>
              </w:rPr>
              <w:t xml:space="preserve">PS</w:t>
            </w:r>
          </w:p>
        </w:tc>
        <w:tc>
          <w:tcPr>
            <w:tcW w:type="dxa" w:w="7500"/>
            <w:shd w:fill="E8E8E8" w:val="clear"/>
            <w:tcMar>
              <w:top w:type="dxa" w:w="70"/>
              <w:left w:type="dxa" w:w="100"/>
              <w:bottom w:type="dxa" w:w="70"/>
              <w:right w:type="dxa" w:w="100"/>
            </w:tcMar>
          </w:tcPr>
          <w:p>
            <w:pPr>
              <w:spacing w:after="0" w:line="260"/>
            </w:pPr>
            <w:r>
              <w:rPr>
                <w:rFonts w:ascii="Times New Roman" w:cs="Times New Roman" w:eastAsia="Times New Roman" w:hAnsi="Times New Roman"/>
                <w:b/>
                <w:bCs/>
                <w:sz w:val="20"/>
                <w:szCs w:val="20"/>
              </w:rPr>
              <w:t xml:space="preserve">Problem Statement</w:t>
            </w:r>
          </w:p>
        </w:tc>
      </w:tr>
      <w:tr>
        <w:tc>
          <w:tcPr>
            <w:tcW w:type="dxa" w:w="900"/>
            <w:tcMar>
              <w:top w:type="dxa" w:w="70"/>
              <w:left w:type="dxa" w:w="100"/>
              <w:bottom w:type="dxa" w:w="70"/>
              <w:right w:type="dxa" w:w="100"/>
            </w:tcMar>
          </w:tcPr>
          <w:p>
            <w:pPr>
              <w:spacing w:after="0" w:line="260"/>
            </w:pPr>
            <w:r>
              <w:rPr>
                <w:rFonts w:ascii="Times New Roman" w:cs="Times New Roman" w:eastAsia="Times New Roman" w:hAnsi="Times New Roman"/>
                <w:sz w:val="20"/>
                <w:szCs w:val="20"/>
              </w:rPr>
              <w:t xml:space="preserve">PS1</w:t>
            </w:r>
          </w:p>
        </w:tc>
        <w:tc>
          <w:tcPr>
            <w:tcW w:type="dxa" w:w="7500"/>
            <w:tcMar>
              <w:top w:type="dxa" w:w="70"/>
              <w:left w:type="dxa" w:w="100"/>
              <w:bottom w:type="dxa" w:w="70"/>
              <w:right w:type="dxa" w:w="100"/>
            </w:tcMar>
          </w:tcPr>
          <w:p>
            <w:pPr>
              <w:spacing w:after="0" w:line="260"/>
            </w:pPr>
            <w:r>
              <w:rPr>
                <w:rFonts w:ascii="Times New Roman" w:cs="Times New Roman" w:eastAsia="Times New Roman" w:hAnsi="Times New Roman"/>
                <w:sz w:val="20"/>
                <w:szCs w:val="20"/>
              </w:rPr>
              <w:t xml:space="preserve">Odour episodes on campus are transient and are not recorded, so complaints cannot be substantiated and no evidence exists to support remediation or to demonstrate whether conditions change over time.</w:t>
            </w:r>
          </w:p>
        </w:tc>
      </w:tr>
      <w:tr>
        <w:tc>
          <w:tcPr>
            <w:tcW w:type="dxa" w:w="900"/>
            <w:tcMar>
              <w:top w:type="dxa" w:w="70"/>
              <w:left w:type="dxa" w:w="100"/>
              <w:bottom w:type="dxa" w:w="70"/>
              <w:right w:type="dxa" w:w="100"/>
            </w:tcMar>
          </w:tcPr>
          <w:p>
            <w:pPr>
              <w:spacing w:after="0" w:line="260"/>
            </w:pPr>
            <w:r>
              <w:rPr>
                <w:rFonts w:ascii="Times New Roman" w:cs="Times New Roman" w:eastAsia="Times New Roman" w:hAnsi="Times New Roman"/>
                <w:sz w:val="20"/>
                <w:szCs w:val="20"/>
              </w:rPr>
              <w:t xml:space="preserve">PS2</w:t>
            </w:r>
          </w:p>
        </w:tc>
        <w:tc>
          <w:tcPr>
            <w:tcW w:type="dxa" w:w="7500"/>
            <w:tcMar>
              <w:top w:type="dxa" w:w="70"/>
              <w:left w:type="dxa" w:w="100"/>
              <w:bottom w:type="dxa" w:w="70"/>
              <w:right w:type="dxa" w:w="100"/>
            </w:tcMar>
          </w:tcPr>
          <w:p>
            <w:pPr>
              <w:spacing w:after="0" w:line="260"/>
            </w:pPr>
            <w:r>
              <w:rPr>
                <w:rFonts w:ascii="Times New Roman" w:cs="Times New Roman" w:eastAsia="Times New Roman" w:hAnsi="Times New Roman"/>
                <w:sz w:val="20"/>
                <w:szCs w:val="20"/>
              </w:rPr>
              <w:t xml:space="preserve">Detection depends on human reporting, which is delayed and intermittent. An episode occurring overnight or in an unoccupied area is not observed at all.</w:t>
            </w:r>
          </w:p>
        </w:tc>
      </w:tr>
      <w:tr>
        <w:tc>
          <w:tcPr>
            <w:tcW w:type="dxa" w:w="900"/>
            <w:tcMar>
              <w:top w:type="dxa" w:w="70"/>
              <w:left w:type="dxa" w:w="100"/>
              <w:bottom w:type="dxa" w:w="70"/>
              <w:right w:type="dxa" w:w="100"/>
            </w:tcMar>
          </w:tcPr>
          <w:p>
            <w:pPr>
              <w:spacing w:after="0" w:line="260"/>
            </w:pPr>
            <w:r>
              <w:rPr>
                <w:rFonts w:ascii="Times New Roman" w:cs="Times New Roman" w:eastAsia="Times New Roman" w:hAnsi="Times New Roman"/>
                <w:sz w:val="20"/>
                <w:szCs w:val="20"/>
              </w:rPr>
              <w:t xml:space="preserve">PS3</w:t>
            </w:r>
          </w:p>
        </w:tc>
        <w:tc>
          <w:tcPr>
            <w:tcW w:type="dxa" w:w="7500"/>
            <w:tcMar>
              <w:top w:type="dxa" w:w="70"/>
              <w:left w:type="dxa" w:w="100"/>
              <w:bottom w:type="dxa" w:w="70"/>
              <w:right w:type="dxa" w:w="100"/>
            </w:tcMar>
          </w:tcPr>
          <w:p>
            <w:pPr>
              <w:spacing w:after="0" w:line="260"/>
            </w:pPr>
            <w:r>
              <w:rPr>
                <w:rFonts w:ascii="Times New Roman" w:cs="Times New Roman" w:eastAsia="Times New Roman" w:hAnsi="Times New Roman"/>
                <w:sz w:val="20"/>
                <w:szCs w:val="20"/>
              </w:rPr>
              <w:t xml:space="preserve">Environmental monitoring deployments commonly depend on a single server or gateway, creating a point of failure that causes data loss during the very periods when conditions are abnormal.</w:t>
            </w:r>
          </w:p>
        </w:tc>
      </w:tr>
    </w:tbl>
    <w:p>
      <w:pPr>
        <w:pStyle w:val="Heading2"/>
        <w:spacing w:after="180" w:before="320"/>
      </w:pPr>
      <w:r>
        <w:rPr>
          <w:rFonts w:ascii="Times New Roman" w:cs="Times New Roman" w:eastAsia="Times New Roman" w:hAnsi="Times New Roman"/>
          <w:b/>
          <w:bCs/>
          <w:sz w:val="26"/>
          <w:szCs w:val="26"/>
        </w:rPr>
        <w:t xml:space="preserve">1.3 Project Question</w:t>
      </w:r>
    </w:p>
    <w:p>
      <w:pPr>
        <w:spacing w:after="200" w:line="360"/>
        <w:jc w:val="both"/>
      </w:pPr>
      <w:r>
        <w:rPr>
          <w:rFonts w:ascii="Times New Roman" w:cs="Times New Roman" w:eastAsia="Times New Roman" w:hAnsi="Times New Roman"/>
          <w:color w:val="000000"/>
          <w:sz w:val="24"/>
          <w:szCs w:val="24"/>
        </w:rPr>
        <w:t xml:space="preserve">The problem statements give rise to the questions summarised in Table 1.2.</w:t>
      </w:r>
    </w:p>
    <w:p>
      <w:pPr>
        <w:spacing w:after="300" w:before="100"/>
        <w:jc w:val="center"/>
      </w:pPr>
      <w:r>
        <w:rPr>
          <w:rFonts w:ascii="Times New Roman" w:cs="Times New Roman" w:eastAsia="Times New Roman" w:hAnsi="Times New Roman"/>
          <w:b/>
          <w:bCs/>
          <w:sz w:val="21"/>
          <w:szCs w:val="21"/>
        </w:rPr>
        <w:t xml:space="preserve">TABLE 1.2: SUMMARY OF PROJECT QUESTION</w:t>
      </w:r>
    </w:p>
    <w:tbl>
      <w:tblPr>
        <w:tblW w:type="dxa" w:w="8400"/>
        <w:tblBorders>
          <w:top w:val="single" w:color="000000" w:sz="4"/>
          <w:left w:val="single" w:color="000000" w:sz="4"/>
          <w:bottom w:val="single" w:color="000000" w:sz="4"/>
          <w:right w:val="single" w:color="000000" w:sz="4"/>
          <w:insideH w:val="single" w:color="808080" w:sz="2"/>
          <w:insideV w:val="single" w:color="808080" w:sz="2"/>
        </w:tblBorders>
      </w:tblPr>
      <w:tblGrid>
        <w:gridCol w:w="800"/>
        <w:gridCol w:w="800"/>
        <w:gridCol w:w="6800"/>
      </w:tblGrid>
      <w:tr>
        <w:trPr>
          <w:tblHeader/>
        </w:trPr>
        <w:tc>
          <w:tcPr>
            <w:tcW w:type="dxa" w:w="800"/>
            <w:shd w:fill="E8E8E8" w:val="clear"/>
            <w:tcMar>
              <w:top w:type="dxa" w:w="70"/>
              <w:left w:type="dxa" w:w="100"/>
              <w:bottom w:type="dxa" w:w="70"/>
              <w:right w:type="dxa" w:w="100"/>
            </w:tcMar>
          </w:tcPr>
          <w:p>
            <w:pPr>
              <w:spacing w:after="0" w:line="260"/>
            </w:pPr>
            <w:r>
              <w:rPr>
                <w:rFonts w:ascii="Times New Roman" w:cs="Times New Roman" w:eastAsia="Times New Roman" w:hAnsi="Times New Roman"/>
                <w:b/>
                <w:bCs/>
                <w:sz w:val="20"/>
                <w:szCs w:val="20"/>
              </w:rPr>
              <w:t xml:space="preserve">PS</w:t>
            </w:r>
          </w:p>
        </w:tc>
        <w:tc>
          <w:tcPr>
            <w:tcW w:type="dxa" w:w="800"/>
            <w:shd w:fill="E8E8E8" w:val="clear"/>
            <w:tcMar>
              <w:top w:type="dxa" w:w="70"/>
              <w:left w:type="dxa" w:w="100"/>
              <w:bottom w:type="dxa" w:w="70"/>
              <w:right w:type="dxa" w:w="100"/>
            </w:tcMar>
          </w:tcPr>
          <w:p>
            <w:pPr>
              <w:spacing w:after="0" w:line="260"/>
            </w:pPr>
            <w:r>
              <w:rPr>
                <w:rFonts w:ascii="Times New Roman" w:cs="Times New Roman" w:eastAsia="Times New Roman" w:hAnsi="Times New Roman"/>
                <w:b/>
                <w:bCs/>
                <w:sz w:val="20"/>
                <w:szCs w:val="20"/>
              </w:rPr>
              <w:t xml:space="preserve">PQ</w:t>
            </w:r>
          </w:p>
        </w:tc>
        <w:tc>
          <w:tcPr>
            <w:tcW w:type="dxa" w:w="6800"/>
            <w:shd w:fill="E8E8E8" w:val="clear"/>
            <w:tcMar>
              <w:top w:type="dxa" w:w="70"/>
              <w:left w:type="dxa" w:w="100"/>
              <w:bottom w:type="dxa" w:w="70"/>
              <w:right w:type="dxa" w:w="100"/>
            </w:tcMar>
          </w:tcPr>
          <w:p>
            <w:pPr>
              <w:spacing w:after="0" w:line="260"/>
            </w:pPr>
            <w:r>
              <w:rPr>
                <w:rFonts w:ascii="Times New Roman" w:cs="Times New Roman" w:eastAsia="Times New Roman" w:hAnsi="Times New Roman"/>
                <w:b/>
                <w:bCs/>
                <w:sz w:val="20"/>
                <w:szCs w:val="20"/>
              </w:rPr>
              <w:t xml:space="preserve">Project Question</w:t>
            </w:r>
          </w:p>
        </w:tc>
      </w:tr>
      <w:tr>
        <w:tc>
          <w:tcPr>
            <w:tcW w:type="dxa" w:w="800"/>
            <w:tcMar>
              <w:top w:type="dxa" w:w="70"/>
              <w:left w:type="dxa" w:w="100"/>
              <w:bottom w:type="dxa" w:w="70"/>
              <w:right w:type="dxa" w:w="100"/>
            </w:tcMar>
          </w:tcPr>
          <w:p>
            <w:pPr>
              <w:spacing w:after="0" w:line="260"/>
            </w:pPr>
            <w:r>
              <w:rPr>
                <w:rFonts w:ascii="Times New Roman" w:cs="Times New Roman" w:eastAsia="Times New Roman" w:hAnsi="Times New Roman"/>
                <w:sz w:val="20"/>
                <w:szCs w:val="20"/>
              </w:rPr>
              <w:t xml:space="preserve">PS1</w:t>
            </w:r>
          </w:p>
        </w:tc>
        <w:tc>
          <w:tcPr>
            <w:tcW w:type="dxa" w:w="800"/>
            <w:tcMar>
              <w:top w:type="dxa" w:w="70"/>
              <w:left w:type="dxa" w:w="100"/>
              <w:bottom w:type="dxa" w:w="70"/>
              <w:right w:type="dxa" w:w="100"/>
            </w:tcMar>
          </w:tcPr>
          <w:p>
            <w:pPr>
              <w:spacing w:after="0" w:line="260"/>
            </w:pPr>
            <w:r>
              <w:rPr>
                <w:rFonts w:ascii="Times New Roman" w:cs="Times New Roman" w:eastAsia="Times New Roman" w:hAnsi="Times New Roman"/>
                <w:sz w:val="20"/>
                <w:szCs w:val="20"/>
              </w:rPr>
              <w:t xml:space="preserve">PQ1</w:t>
            </w:r>
          </w:p>
        </w:tc>
        <w:tc>
          <w:tcPr>
            <w:tcW w:type="dxa" w:w="6800"/>
            <w:tcMar>
              <w:top w:type="dxa" w:w="70"/>
              <w:left w:type="dxa" w:w="100"/>
              <w:bottom w:type="dxa" w:w="70"/>
              <w:right w:type="dxa" w:w="100"/>
            </w:tcMar>
          </w:tcPr>
          <w:p>
            <w:pPr>
              <w:spacing w:after="0" w:line="260"/>
            </w:pPr>
            <w:r>
              <w:rPr>
                <w:rFonts w:ascii="Times New Roman" w:cs="Times New Roman" w:eastAsia="Times New Roman" w:hAnsi="Times New Roman"/>
                <w:sz w:val="20"/>
                <w:szCs w:val="20"/>
              </w:rPr>
              <w:t xml:space="preserve">How can odour-associated gas concentrations be measured continuously and recorded such that each reading is attributable to specific hardware and cannot be forged or altered?</w:t>
            </w:r>
          </w:p>
        </w:tc>
      </w:tr>
      <w:tr>
        <w:tc>
          <w:tcPr>
            <w:tcW w:type="dxa" w:w="800"/>
            <w:tcMar>
              <w:top w:type="dxa" w:w="70"/>
              <w:left w:type="dxa" w:w="100"/>
              <w:bottom w:type="dxa" w:w="70"/>
              <w:right w:type="dxa" w:w="100"/>
            </w:tcMar>
          </w:tcPr>
          <w:p>
            <w:pPr>
              <w:spacing w:after="0" w:line="260"/>
            </w:pPr>
            <w:r>
              <w:rPr>
                <w:rFonts w:ascii="Times New Roman" w:cs="Times New Roman" w:eastAsia="Times New Roman" w:hAnsi="Times New Roman"/>
                <w:sz w:val="20"/>
                <w:szCs w:val="20"/>
              </w:rPr>
              <w:t xml:space="preserve">PS2</w:t>
            </w:r>
          </w:p>
        </w:tc>
        <w:tc>
          <w:tcPr>
            <w:tcW w:type="dxa" w:w="800"/>
            <w:tcMar>
              <w:top w:type="dxa" w:w="70"/>
              <w:left w:type="dxa" w:w="100"/>
              <w:bottom w:type="dxa" w:w="70"/>
              <w:right w:type="dxa" w:w="100"/>
            </w:tcMar>
          </w:tcPr>
          <w:p>
            <w:pPr>
              <w:spacing w:after="0" w:line="260"/>
            </w:pPr>
            <w:r>
              <w:rPr>
                <w:rFonts w:ascii="Times New Roman" w:cs="Times New Roman" w:eastAsia="Times New Roman" w:hAnsi="Times New Roman"/>
                <w:sz w:val="20"/>
                <w:szCs w:val="20"/>
              </w:rPr>
              <w:t xml:space="preserve">PQ2</w:t>
            </w:r>
          </w:p>
        </w:tc>
        <w:tc>
          <w:tcPr>
            <w:tcW w:type="dxa" w:w="6800"/>
            <w:tcMar>
              <w:top w:type="dxa" w:w="70"/>
              <w:left w:type="dxa" w:w="100"/>
              <w:bottom w:type="dxa" w:w="70"/>
              <w:right w:type="dxa" w:w="100"/>
            </w:tcMar>
          </w:tcPr>
          <w:p>
            <w:pPr>
              <w:spacing w:after="0" w:line="260"/>
            </w:pPr>
            <w:r>
              <w:rPr>
                <w:rFonts w:ascii="Times New Roman" w:cs="Times New Roman" w:eastAsia="Times New Roman" w:hAnsi="Times New Roman"/>
                <w:sz w:val="20"/>
                <w:szCs w:val="20"/>
              </w:rPr>
              <w:t xml:space="preserve">How can threshold breaches be detected and communicated to responsible staff automatically, and how can ventilation be actuated without human intervention?</w:t>
            </w:r>
          </w:p>
        </w:tc>
      </w:tr>
      <w:tr>
        <w:tc>
          <w:tcPr>
            <w:tcW w:type="dxa" w:w="800"/>
            <w:tcMar>
              <w:top w:type="dxa" w:w="70"/>
              <w:left w:type="dxa" w:w="100"/>
              <w:bottom w:type="dxa" w:w="70"/>
              <w:right w:type="dxa" w:w="100"/>
            </w:tcMar>
          </w:tcPr>
          <w:p>
            <w:pPr>
              <w:spacing w:after="0" w:line="260"/>
            </w:pPr>
            <w:r>
              <w:rPr>
                <w:rFonts w:ascii="Times New Roman" w:cs="Times New Roman" w:eastAsia="Times New Roman" w:hAnsi="Times New Roman"/>
                <w:sz w:val="20"/>
                <w:szCs w:val="20"/>
              </w:rPr>
              <w:t xml:space="preserve">PS3</w:t>
            </w:r>
          </w:p>
        </w:tc>
        <w:tc>
          <w:tcPr>
            <w:tcW w:type="dxa" w:w="800"/>
            <w:tcMar>
              <w:top w:type="dxa" w:w="70"/>
              <w:left w:type="dxa" w:w="100"/>
              <w:bottom w:type="dxa" w:w="70"/>
              <w:right w:type="dxa" w:w="100"/>
            </w:tcMar>
          </w:tcPr>
          <w:p>
            <w:pPr>
              <w:spacing w:after="0" w:line="260"/>
            </w:pPr>
            <w:r>
              <w:rPr>
                <w:rFonts w:ascii="Times New Roman" w:cs="Times New Roman" w:eastAsia="Times New Roman" w:hAnsi="Times New Roman"/>
                <w:sz w:val="20"/>
                <w:szCs w:val="20"/>
              </w:rPr>
              <w:t xml:space="preserve">PQ3</w:t>
            </w:r>
          </w:p>
        </w:tc>
        <w:tc>
          <w:tcPr>
            <w:tcW w:type="dxa" w:w="6800"/>
            <w:tcMar>
              <w:top w:type="dxa" w:w="70"/>
              <w:left w:type="dxa" w:w="100"/>
              <w:bottom w:type="dxa" w:w="70"/>
              <w:right w:type="dxa" w:w="100"/>
            </w:tcMar>
          </w:tcPr>
          <w:p>
            <w:pPr>
              <w:spacing w:after="0" w:line="260"/>
            </w:pPr>
            <w:r>
              <w:rPr>
                <w:rFonts w:ascii="Times New Roman" w:cs="Times New Roman" w:eastAsia="Times New Roman" w:hAnsi="Times New Roman"/>
                <w:sz w:val="20"/>
                <w:szCs w:val="20"/>
              </w:rPr>
              <w:t xml:space="preserve">How can the platform be architected so that no single component failure interrupts measurement or loses data, and how can that property be measured rather than asserted?</w:t>
            </w:r>
          </w:p>
        </w:tc>
      </w:tr>
    </w:tbl>
    <w:p>
      <w:pPr>
        <w:pStyle w:val="Heading2"/>
        <w:spacing w:after="180" w:before="320"/>
      </w:pPr>
      <w:r>
        <w:rPr>
          <w:rFonts w:ascii="Times New Roman" w:cs="Times New Roman" w:eastAsia="Times New Roman" w:hAnsi="Times New Roman"/>
          <w:b/>
          <w:bCs/>
          <w:sz w:val="26"/>
          <w:szCs w:val="26"/>
        </w:rPr>
        <w:t xml:space="preserve">1.4 Project Objective</w:t>
      </w:r>
    </w:p>
    <w:p>
      <w:pPr>
        <w:spacing w:after="300" w:before="100"/>
        <w:jc w:val="center"/>
      </w:pPr>
      <w:r>
        <w:rPr>
          <w:rFonts w:ascii="Times New Roman" w:cs="Times New Roman" w:eastAsia="Times New Roman" w:hAnsi="Times New Roman"/>
          <w:b/>
          <w:bCs/>
          <w:sz w:val="21"/>
          <w:szCs w:val="21"/>
        </w:rPr>
        <w:t xml:space="preserve">TABLE 1.3: SUMMARY OF PROJECT OBJECTIVE</w:t>
      </w:r>
    </w:p>
    <w:tbl>
      <w:tblPr>
        <w:tblW w:type="dxa" w:w="8400"/>
        <w:tblBorders>
          <w:top w:val="single" w:color="000000" w:sz="4"/>
          <w:left w:val="single" w:color="000000" w:sz="4"/>
          <w:bottom w:val="single" w:color="000000" w:sz="4"/>
          <w:right w:val="single" w:color="000000" w:sz="4"/>
          <w:insideH w:val="single" w:color="808080" w:sz="2"/>
          <w:insideV w:val="single" w:color="808080" w:sz="2"/>
        </w:tblBorders>
      </w:tblPr>
      <w:tblGrid>
        <w:gridCol w:w="700"/>
        <w:gridCol w:w="700"/>
        <w:gridCol w:w="700"/>
        <w:gridCol w:w="6300"/>
      </w:tblGrid>
      <w:tr>
        <w:trPr>
          <w:tblHeader/>
        </w:trPr>
        <w:tc>
          <w:tcPr>
            <w:tcW w:type="dxa" w:w="700"/>
            <w:shd w:fill="E8E8E8" w:val="clear"/>
            <w:tcMar>
              <w:top w:type="dxa" w:w="70"/>
              <w:left w:type="dxa" w:w="100"/>
              <w:bottom w:type="dxa" w:w="70"/>
              <w:right w:type="dxa" w:w="100"/>
            </w:tcMar>
          </w:tcPr>
          <w:p>
            <w:pPr>
              <w:spacing w:after="0" w:line="260"/>
            </w:pPr>
            <w:r>
              <w:rPr>
                <w:rFonts w:ascii="Times New Roman" w:cs="Times New Roman" w:eastAsia="Times New Roman" w:hAnsi="Times New Roman"/>
                <w:b/>
                <w:bCs/>
                <w:sz w:val="20"/>
                <w:szCs w:val="20"/>
              </w:rPr>
              <w:t xml:space="preserve">PS</w:t>
            </w:r>
          </w:p>
        </w:tc>
        <w:tc>
          <w:tcPr>
            <w:tcW w:type="dxa" w:w="700"/>
            <w:shd w:fill="E8E8E8" w:val="clear"/>
            <w:tcMar>
              <w:top w:type="dxa" w:w="70"/>
              <w:left w:type="dxa" w:w="100"/>
              <w:bottom w:type="dxa" w:w="70"/>
              <w:right w:type="dxa" w:w="100"/>
            </w:tcMar>
          </w:tcPr>
          <w:p>
            <w:pPr>
              <w:spacing w:after="0" w:line="260"/>
            </w:pPr>
            <w:r>
              <w:rPr>
                <w:rFonts w:ascii="Times New Roman" w:cs="Times New Roman" w:eastAsia="Times New Roman" w:hAnsi="Times New Roman"/>
                <w:b/>
                <w:bCs/>
                <w:sz w:val="20"/>
                <w:szCs w:val="20"/>
              </w:rPr>
              <w:t xml:space="preserve">PQ</w:t>
            </w:r>
          </w:p>
        </w:tc>
        <w:tc>
          <w:tcPr>
            <w:tcW w:type="dxa" w:w="700"/>
            <w:shd w:fill="E8E8E8" w:val="clear"/>
            <w:tcMar>
              <w:top w:type="dxa" w:w="70"/>
              <w:left w:type="dxa" w:w="100"/>
              <w:bottom w:type="dxa" w:w="70"/>
              <w:right w:type="dxa" w:w="100"/>
            </w:tcMar>
          </w:tcPr>
          <w:p>
            <w:pPr>
              <w:spacing w:after="0" w:line="260"/>
            </w:pPr>
            <w:r>
              <w:rPr>
                <w:rFonts w:ascii="Times New Roman" w:cs="Times New Roman" w:eastAsia="Times New Roman" w:hAnsi="Times New Roman"/>
                <w:b/>
                <w:bCs/>
                <w:sz w:val="20"/>
                <w:szCs w:val="20"/>
              </w:rPr>
              <w:t xml:space="preserve">PO</w:t>
            </w:r>
          </w:p>
        </w:tc>
        <w:tc>
          <w:tcPr>
            <w:tcW w:type="dxa" w:w="6300"/>
            <w:shd w:fill="E8E8E8" w:val="clear"/>
            <w:tcMar>
              <w:top w:type="dxa" w:w="70"/>
              <w:left w:type="dxa" w:w="100"/>
              <w:bottom w:type="dxa" w:w="70"/>
              <w:right w:type="dxa" w:w="100"/>
            </w:tcMar>
          </w:tcPr>
          <w:p>
            <w:pPr>
              <w:spacing w:after="0" w:line="260"/>
            </w:pPr>
            <w:r>
              <w:rPr>
                <w:rFonts w:ascii="Times New Roman" w:cs="Times New Roman" w:eastAsia="Times New Roman" w:hAnsi="Times New Roman"/>
                <w:b/>
                <w:bCs/>
                <w:sz w:val="20"/>
                <w:szCs w:val="20"/>
              </w:rPr>
              <w:t xml:space="preserve">Project Objective</w:t>
            </w:r>
          </w:p>
        </w:tc>
      </w:tr>
      <w:tr>
        <w:tc>
          <w:tcPr>
            <w:tcW w:type="dxa" w:w="700"/>
            <w:tcMar>
              <w:top w:type="dxa" w:w="70"/>
              <w:left w:type="dxa" w:w="100"/>
              <w:bottom w:type="dxa" w:w="70"/>
              <w:right w:type="dxa" w:w="100"/>
            </w:tcMar>
          </w:tcPr>
          <w:p>
            <w:pPr>
              <w:spacing w:after="0" w:line="260"/>
            </w:pPr>
            <w:r>
              <w:rPr>
                <w:rFonts w:ascii="Times New Roman" w:cs="Times New Roman" w:eastAsia="Times New Roman" w:hAnsi="Times New Roman"/>
                <w:sz w:val="20"/>
                <w:szCs w:val="20"/>
              </w:rPr>
              <w:t xml:space="preserve">PS1</w:t>
            </w:r>
          </w:p>
        </w:tc>
        <w:tc>
          <w:tcPr>
            <w:tcW w:type="dxa" w:w="700"/>
            <w:tcMar>
              <w:top w:type="dxa" w:w="70"/>
              <w:left w:type="dxa" w:w="100"/>
              <w:bottom w:type="dxa" w:w="70"/>
              <w:right w:type="dxa" w:w="100"/>
            </w:tcMar>
          </w:tcPr>
          <w:p>
            <w:pPr>
              <w:spacing w:after="0" w:line="260"/>
            </w:pPr>
            <w:r>
              <w:rPr>
                <w:rFonts w:ascii="Times New Roman" w:cs="Times New Roman" w:eastAsia="Times New Roman" w:hAnsi="Times New Roman"/>
                <w:sz w:val="20"/>
                <w:szCs w:val="20"/>
              </w:rPr>
              <w:t xml:space="preserve">PQ1</w:t>
            </w:r>
          </w:p>
        </w:tc>
        <w:tc>
          <w:tcPr>
            <w:tcW w:type="dxa" w:w="700"/>
            <w:tcMar>
              <w:top w:type="dxa" w:w="70"/>
              <w:left w:type="dxa" w:w="100"/>
              <w:bottom w:type="dxa" w:w="70"/>
              <w:right w:type="dxa" w:w="100"/>
            </w:tcMar>
          </w:tcPr>
          <w:p>
            <w:pPr>
              <w:spacing w:after="0" w:line="260"/>
            </w:pPr>
            <w:r>
              <w:rPr>
                <w:rFonts w:ascii="Times New Roman" w:cs="Times New Roman" w:eastAsia="Times New Roman" w:hAnsi="Times New Roman"/>
                <w:sz w:val="20"/>
                <w:szCs w:val="20"/>
              </w:rPr>
              <w:t xml:space="preserve">PO1</w:t>
            </w:r>
          </w:p>
        </w:tc>
        <w:tc>
          <w:tcPr>
            <w:tcW w:type="dxa" w:w="6300"/>
            <w:tcMar>
              <w:top w:type="dxa" w:w="70"/>
              <w:left w:type="dxa" w:w="100"/>
              <w:bottom w:type="dxa" w:w="70"/>
              <w:right w:type="dxa" w:w="100"/>
            </w:tcMar>
          </w:tcPr>
          <w:p>
            <w:pPr>
              <w:spacing w:after="0" w:line="260"/>
            </w:pPr>
            <w:r>
              <w:rPr>
                <w:rFonts w:ascii="Times New Roman" w:cs="Times New Roman" w:eastAsia="Times New Roman" w:hAnsi="Times New Roman"/>
                <w:sz w:val="20"/>
                <w:szCs w:val="20"/>
              </w:rPr>
              <w:t xml:space="preserve">To develop IoT sensor nodes that sample gas concentration, temperature and humidity at fixed intervals and transmit each reading with a cryptographic signature that proves its origin and integrity.</w:t>
            </w:r>
          </w:p>
        </w:tc>
      </w:tr>
      <w:tr>
        <w:tc>
          <w:tcPr>
            <w:tcW w:type="dxa" w:w="700"/>
            <w:tcMar>
              <w:top w:type="dxa" w:w="70"/>
              <w:left w:type="dxa" w:w="100"/>
              <w:bottom w:type="dxa" w:w="70"/>
              <w:right w:type="dxa" w:w="100"/>
            </w:tcMar>
          </w:tcPr>
          <w:p>
            <w:pPr>
              <w:spacing w:after="0" w:line="260"/>
            </w:pPr>
            <w:r>
              <w:rPr>
                <w:rFonts w:ascii="Times New Roman" w:cs="Times New Roman" w:eastAsia="Times New Roman" w:hAnsi="Times New Roman"/>
                <w:sz w:val="20"/>
                <w:szCs w:val="20"/>
              </w:rPr>
              <w:t xml:space="preserve">PS2</w:t>
            </w:r>
          </w:p>
        </w:tc>
        <w:tc>
          <w:tcPr>
            <w:tcW w:type="dxa" w:w="700"/>
            <w:tcMar>
              <w:top w:type="dxa" w:w="70"/>
              <w:left w:type="dxa" w:w="100"/>
              <w:bottom w:type="dxa" w:w="70"/>
              <w:right w:type="dxa" w:w="100"/>
            </w:tcMar>
          </w:tcPr>
          <w:p>
            <w:pPr>
              <w:spacing w:after="0" w:line="260"/>
            </w:pPr>
            <w:r>
              <w:rPr>
                <w:rFonts w:ascii="Times New Roman" w:cs="Times New Roman" w:eastAsia="Times New Roman" w:hAnsi="Times New Roman"/>
                <w:sz w:val="20"/>
                <w:szCs w:val="20"/>
              </w:rPr>
              <w:t xml:space="preserve">PQ2</w:t>
            </w:r>
          </w:p>
        </w:tc>
        <w:tc>
          <w:tcPr>
            <w:tcW w:type="dxa" w:w="700"/>
            <w:tcMar>
              <w:top w:type="dxa" w:w="70"/>
              <w:left w:type="dxa" w:w="100"/>
              <w:bottom w:type="dxa" w:w="70"/>
              <w:right w:type="dxa" w:w="100"/>
            </w:tcMar>
          </w:tcPr>
          <w:p>
            <w:pPr>
              <w:spacing w:after="0" w:line="260"/>
            </w:pPr>
            <w:r>
              <w:rPr>
                <w:rFonts w:ascii="Times New Roman" w:cs="Times New Roman" w:eastAsia="Times New Roman" w:hAnsi="Times New Roman"/>
                <w:sz w:val="20"/>
                <w:szCs w:val="20"/>
              </w:rPr>
              <w:t xml:space="preserve">PO2</w:t>
            </w:r>
          </w:p>
        </w:tc>
        <w:tc>
          <w:tcPr>
            <w:tcW w:type="dxa" w:w="6300"/>
            <w:tcMar>
              <w:top w:type="dxa" w:w="70"/>
              <w:left w:type="dxa" w:w="100"/>
              <w:bottom w:type="dxa" w:w="70"/>
              <w:right w:type="dxa" w:w="100"/>
            </w:tcMar>
          </w:tcPr>
          <w:p>
            <w:pPr>
              <w:spacing w:after="0" w:line="260"/>
            </w:pPr>
            <w:r>
              <w:rPr>
                <w:rFonts w:ascii="Times New Roman" w:cs="Times New Roman" w:eastAsia="Times New Roman" w:hAnsi="Times New Roman"/>
                <w:sz w:val="20"/>
                <w:szCs w:val="20"/>
              </w:rPr>
              <w:t xml:space="preserve">To develop an evaluation and notification subsystem that compares readings against administrator-configured thresholds, raises incidents, delivers alerts through multiple channels, and triggers exhaust ventilation autonomously.</w:t>
            </w:r>
          </w:p>
        </w:tc>
      </w:tr>
      <w:tr>
        <w:tc>
          <w:tcPr>
            <w:tcW w:type="dxa" w:w="700"/>
            <w:tcMar>
              <w:top w:type="dxa" w:w="70"/>
              <w:left w:type="dxa" w:w="100"/>
              <w:bottom w:type="dxa" w:w="70"/>
              <w:right w:type="dxa" w:w="100"/>
            </w:tcMar>
          </w:tcPr>
          <w:p>
            <w:pPr>
              <w:spacing w:after="0" w:line="260"/>
            </w:pPr>
            <w:r>
              <w:rPr>
                <w:rFonts w:ascii="Times New Roman" w:cs="Times New Roman" w:eastAsia="Times New Roman" w:hAnsi="Times New Roman"/>
                <w:sz w:val="20"/>
                <w:szCs w:val="20"/>
              </w:rPr>
              <w:t xml:space="preserve">PS3</w:t>
            </w:r>
          </w:p>
        </w:tc>
        <w:tc>
          <w:tcPr>
            <w:tcW w:type="dxa" w:w="700"/>
            <w:tcMar>
              <w:top w:type="dxa" w:w="70"/>
              <w:left w:type="dxa" w:w="100"/>
              <w:bottom w:type="dxa" w:w="70"/>
              <w:right w:type="dxa" w:w="100"/>
            </w:tcMar>
          </w:tcPr>
          <w:p>
            <w:pPr>
              <w:spacing w:after="0" w:line="260"/>
            </w:pPr>
            <w:r>
              <w:rPr>
                <w:rFonts w:ascii="Times New Roman" w:cs="Times New Roman" w:eastAsia="Times New Roman" w:hAnsi="Times New Roman"/>
                <w:sz w:val="20"/>
                <w:szCs w:val="20"/>
              </w:rPr>
              <w:t xml:space="preserve">PQ3</w:t>
            </w:r>
          </w:p>
        </w:tc>
        <w:tc>
          <w:tcPr>
            <w:tcW w:type="dxa" w:w="700"/>
            <w:tcMar>
              <w:top w:type="dxa" w:w="70"/>
              <w:left w:type="dxa" w:w="100"/>
              <w:bottom w:type="dxa" w:w="70"/>
              <w:right w:type="dxa" w:w="100"/>
            </w:tcMar>
          </w:tcPr>
          <w:p>
            <w:pPr>
              <w:spacing w:after="0" w:line="260"/>
            </w:pPr>
            <w:r>
              <w:rPr>
                <w:rFonts w:ascii="Times New Roman" w:cs="Times New Roman" w:eastAsia="Times New Roman" w:hAnsi="Times New Roman"/>
                <w:sz w:val="20"/>
                <w:szCs w:val="20"/>
              </w:rPr>
              <w:t xml:space="preserve">PO3</w:t>
            </w:r>
          </w:p>
        </w:tc>
        <w:tc>
          <w:tcPr>
            <w:tcW w:type="dxa" w:w="6300"/>
            <w:tcMar>
              <w:top w:type="dxa" w:w="70"/>
              <w:left w:type="dxa" w:w="100"/>
              <w:bottom w:type="dxa" w:w="70"/>
              <w:right w:type="dxa" w:w="100"/>
            </w:tcMar>
          </w:tcPr>
          <w:p>
            <w:pPr>
              <w:spacing w:after="0" w:line="260"/>
            </w:pPr>
            <w:r>
              <w:rPr>
                <w:rFonts w:ascii="Times New Roman" w:cs="Times New Roman" w:eastAsia="Times New Roman" w:hAnsi="Times New Roman"/>
                <w:sz w:val="20"/>
                <w:szCs w:val="20"/>
              </w:rPr>
              <w:t xml:space="preserve">To design a distributed architecture without a single point of failure, incorporating local buffering for network outages, and to instrument the platform so that availability and data completeness are measured from recorded observations.</w:t>
            </w:r>
          </w:p>
        </w:tc>
      </w:tr>
    </w:tbl>
    <w:p>
      <w:pPr>
        <w:pStyle w:val="Heading2"/>
        <w:spacing w:after="180" w:before="320"/>
      </w:pPr>
      <w:r>
        <w:rPr>
          <w:rFonts w:ascii="Times New Roman" w:cs="Times New Roman" w:eastAsia="Times New Roman" w:hAnsi="Times New Roman"/>
          <w:b/>
          <w:bCs/>
          <w:sz w:val="26"/>
          <w:szCs w:val="26"/>
        </w:rPr>
        <w:t xml:space="preserve">1.5 Project Scope</w:t>
      </w:r>
    </w:p>
    <w:p>
      <w:pPr>
        <w:spacing w:after="200" w:line="360"/>
        <w:jc w:val="both"/>
      </w:pPr>
      <w:r>
        <w:rPr>
          <w:rFonts w:ascii="Times New Roman" w:cs="Times New Roman" w:eastAsia="Times New Roman" w:hAnsi="Times New Roman"/>
          <w:color w:val="000000"/>
          <w:sz w:val="24"/>
          <w:szCs w:val="24"/>
        </w:rPr>
        <w:t xml:space="preserve">The scope of the project is bounded as follows.</w:t>
      </w:r>
    </w:p>
    <w:p>
      <w:pPr>
        <w:pStyle w:val="Heading3"/>
        <w:spacing w:after="140" w:before="260"/>
      </w:pPr>
      <w:r>
        <w:rPr>
          <w:rFonts w:ascii="Times New Roman" w:cs="Times New Roman" w:eastAsia="Times New Roman" w:hAnsi="Times New Roman"/>
          <w:b/>
          <w:bCs/>
          <w:sz w:val="24"/>
          <w:szCs w:val="24"/>
        </w:rPr>
        <w:t xml:space="preserve">1.5.1 Within scope</w:t>
      </w:r>
    </w:p>
    <w:p>
      <w:pPr>
        <w:pStyle w:val="ListParagraph"/>
        <w:numPr>
          <w:ilvl w:val="0"/>
          <w:numId w:val="2"/>
        </w:numPr>
        <w:spacing w:after="140" w:line="34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sz w:val="24"/>
          <w:szCs w:val="24"/>
        </w:rPr>
        <w:t xml:space="preserve">Design and construction of an ESP32-based sensor node carrying MQ-5, MQ-6 and two MQ-7 gas sensors, a DHT11 climate sensor, a local display and a relay-driven exhaust output.</w:t>
      </w:r>
    </w:p>
    <w:p>
      <w:pPr>
        <w:pStyle w:val="ListParagraph"/>
        <w:numPr>
          <w:ilvl w:val="0"/>
          <w:numId w:val="2"/>
        </w:numPr>
        <w:spacing w:after="140" w:line="34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sz w:val="24"/>
          <w:szCs w:val="24"/>
        </w:rPr>
        <w:t xml:space="preserve">Cryptographically signed transmission of readings and their storage in a cloud database.</w:t>
      </w:r>
    </w:p>
    <w:p>
      <w:pPr>
        <w:pStyle w:val="ListParagraph"/>
        <w:numPr>
          <w:ilvl w:val="0"/>
          <w:numId w:val="2"/>
        </w:numPr>
        <w:spacing w:after="140" w:line="34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sz w:val="24"/>
          <w:szCs w:val="24"/>
        </w:rPr>
        <w:t xml:space="preserve">Threshold evaluation, incident management and multi-channel notification.</w:t>
      </w:r>
    </w:p>
    <w:p>
      <w:pPr>
        <w:pStyle w:val="ListParagraph"/>
        <w:numPr>
          <w:ilvl w:val="0"/>
          <w:numId w:val="2"/>
        </w:numPr>
        <w:spacing w:after="140" w:line="34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sz w:val="24"/>
          <w:szCs w:val="24"/>
        </w:rPr>
        <w:t xml:space="preserve">Three web interfaces: a public view requiring no account, a portal for registered residents, and an administrative portal with role-separated privileges.</w:t>
      </w:r>
    </w:p>
    <w:p>
      <w:pPr>
        <w:pStyle w:val="ListParagraph"/>
        <w:numPr>
          <w:ilvl w:val="0"/>
          <w:numId w:val="2"/>
        </w:numPr>
        <w:spacing w:after="140" w:line="34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sz w:val="24"/>
          <w:szCs w:val="24"/>
        </w:rPr>
        <w:t xml:space="preserve">Historical querying and export for compliance reporting.</w:t>
      </w:r>
    </w:p>
    <w:p>
      <w:pPr>
        <w:pStyle w:val="ListParagraph"/>
        <w:numPr>
          <w:ilvl w:val="0"/>
          <w:numId w:val="2"/>
        </w:numPr>
        <w:spacing w:after="140" w:line="34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sz w:val="24"/>
          <w:szCs w:val="24"/>
        </w:rPr>
        <w:t xml:space="preserve">A predictive component forecasting short-term trends from recorded readings.</w:t>
      </w:r>
    </w:p>
    <w:p>
      <w:pPr>
        <w:pStyle w:val="ListParagraph"/>
        <w:numPr>
          <w:ilvl w:val="0"/>
          <w:numId w:val="2"/>
        </w:numPr>
        <w:spacing w:after="140" w:line="34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sz w:val="24"/>
          <w:szCs w:val="24"/>
        </w:rPr>
        <w:t xml:space="preserve">Instrumentation for availability measurement.</w:t>
      </w:r>
    </w:p>
    <w:p>
      <w:pPr>
        <w:pStyle w:val="Heading3"/>
        <w:spacing w:after="140" w:before="260"/>
      </w:pPr>
      <w:r>
        <w:rPr>
          <w:rFonts w:ascii="Times New Roman" w:cs="Times New Roman" w:eastAsia="Times New Roman" w:hAnsi="Times New Roman"/>
          <w:b/>
          <w:bCs/>
          <w:sz w:val="24"/>
          <w:szCs w:val="24"/>
        </w:rPr>
        <w:t xml:space="preserve">1.5.2 Outside scope</w:t>
      </w:r>
    </w:p>
    <w:p>
      <w:pPr>
        <w:pStyle w:val="ListParagraph"/>
        <w:numPr>
          <w:ilvl w:val="0"/>
          <w:numId w:val="3"/>
        </w:numPr>
        <w:spacing w:after="140" w:line="34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sz w:val="24"/>
          <w:szCs w:val="24"/>
        </w:rPr>
        <w:t xml:space="preserve">Laboratory calibration of sensors against reference gases. The platform reports a relative severity index and does not claim absolute concentrations.</w:t>
      </w:r>
    </w:p>
    <w:p>
      <w:pPr>
        <w:pStyle w:val="ListParagraph"/>
        <w:numPr>
          <w:ilvl w:val="0"/>
          <w:numId w:val="3"/>
        </w:numPr>
        <w:spacing w:after="140" w:line="34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sz w:val="24"/>
          <w:szCs w:val="24"/>
        </w:rPr>
        <w:t xml:space="preserve">Identification of specific chemical species. The sensors respond to families of gases rather than to individual compounds.</w:t>
      </w:r>
    </w:p>
    <w:p>
      <w:pPr>
        <w:pStyle w:val="ListParagraph"/>
        <w:numPr>
          <w:ilvl w:val="0"/>
          <w:numId w:val="3"/>
        </w:numPr>
        <w:spacing w:after="140" w:line="34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sz w:val="24"/>
          <w:szCs w:val="24"/>
        </w:rPr>
        <w:t xml:space="preserve">Regulatory compliance certification. Output supports internal decision-making, not statutory reporting.</w:t>
      </w:r>
    </w:p>
    <w:p>
      <w:pPr>
        <w:pStyle w:val="ListParagraph"/>
        <w:numPr>
          <w:ilvl w:val="0"/>
          <w:numId w:val="3"/>
        </w:numPr>
        <w:spacing w:after="140" w:line="34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sz w:val="24"/>
          <w:szCs w:val="24"/>
        </w:rPr>
        <w:t xml:space="preserve">Control of the odour source itself. The system measures and mitigates locally; it does not intervene at origin.</w:t>
      </w:r>
    </w:p>
    <w:p>
      <w:pPr>
        <w:pStyle w:val="Heading2"/>
        <w:spacing w:after="180" w:before="320"/>
      </w:pPr>
      <w:r>
        <w:rPr>
          <w:rFonts w:ascii="Times New Roman" w:cs="Times New Roman" w:eastAsia="Times New Roman" w:hAnsi="Times New Roman"/>
          <w:b/>
          <w:bCs/>
          <w:sz w:val="26"/>
          <w:szCs w:val="26"/>
        </w:rPr>
        <w:t xml:space="preserve">1.6 Project Significance</w:t>
      </w:r>
    </w:p>
    <w:p>
      <w:pPr>
        <w:spacing w:after="200" w:line="360"/>
        <w:jc w:val="both"/>
      </w:pPr>
      <w:r>
        <w:rPr>
          <w:rFonts w:ascii="Times New Roman" w:cs="Times New Roman" w:eastAsia="Times New Roman" w:hAnsi="Times New Roman"/>
          <w:color w:val="000000"/>
          <w:sz w:val="24"/>
          <w:szCs w:val="24"/>
        </w:rPr>
        <w:t xml:space="preserve">The project produces a record where none exists. Once episodes are logged with timestamps and intensities, facility management can determine whether complaints correlate with measurable conditions, whether episodes follow a daily or seasonal pattern, and whether any intervention has an effect.</w:t>
      </w:r>
    </w:p>
    <w:p>
      <w:pPr>
        <w:spacing w:after="200" w:line="360"/>
        <w:jc w:val="both"/>
      </w:pPr>
      <w:r>
        <w:rPr>
          <w:rFonts w:ascii="Times New Roman" w:cs="Times New Roman" w:eastAsia="Times New Roman" w:hAnsi="Times New Roman"/>
          <w:color w:val="000000"/>
          <w:sz w:val="24"/>
          <w:szCs w:val="24"/>
        </w:rPr>
        <w:t xml:space="preserve">Two design decisions extend beyond this deployment. First, signing readings at the point of measurement means a stored value is attributable to specific hardware rather than to any party holding a shared credential, which matters whenever environmental data may be contested. Second, pairing local buffering with monotonic sequence numbers and a uniqueness constraint makes delivery idempotent by construction, so a node can lose connectivity without losing data and without double-counting on recovery.</w:t>
      </w:r>
    </w:p>
    <w:p>
      <w:pPr>
        <w:spacing w:after="200" w:line="360"/>
        <w:jc w:val="both"/>
      </w:pPr>
      <w:r>
        <w:rPr>
          <w:rFonts w:ascii="Times New Roman" w:cs="Times New Roman" w:eastAsia="Times New Roman" w:hAnsi="Times New Roman"/>
          <w:color w:val="000000"/>
          <w:sz w:val="24"/>
          <w:szCs w:val="24"/>
        </w:rPr>
        <w:t xml:space="preserve">The platform also operates entirely within free-tier infrastructure, demonstrating that continuous environmental monitoring at this scale need not carry recurring cost.</w:t>
      </w:r>
    </w:p>
    <w:p>
      <w:pPr>
        <w:pStyle w:val="Heading2"/>
        <w:spacing w:after="180" w:before="320"/>
      </w:pPr>
      <w:r>
        <w:rPr>
          <w:rFonts w:ascii="Times New Roman" w:cs="Times New Roman" w:eastAsia="Times New Roman" w:hAnsi="Times New Roman"/>
          <w:b/>
          <w:bCs/>
          <w:sz w:val="26"/>
          <w:szCs w:val="26"/>
        </w:rPr>
        <w:t xml:space="preserve">1.7 Foundations for the Literature Review</w:t>
      </w:r>
    </w:p>
    <w:p>
      <w:pPr>
        <w:spacing w:after="200" w:line="360"/>
        <w:jc w:val="both"/>
      </w:pPr>
      <w:r>
        <w:rPr>
          <w:rFonts w:ascii="Times New Roman" w:cs="Times New Roman" w:eastAsia="Times New Roman" w:hAnsi="Times New Roman"/>
          <w:color w:val="000000"/>
          <w:sz w:val="24"/>
          <w:szCs w:val="24"/>
        </w:rPr>
        <w:t xml:space="preserve">This section records the areas the literature review in Chapter 2 should address. It is not itself a review.</w:t>
      </w:r>
    </w:p>
    <w:p>
      <w:pPr>
        <w:pStyle w:val="ListParagraph"/>
        <w:numPr>
          <w:ilvl w:val="0"/>
          <w:numId w:val="4"/>
        </w:numPr>
        <w:spacing w:after="140" w:line="340"/>
        <w:jc w:val="both"/>
      </w:pPr>
      <w:r>
        <w:rPr>
          <w:rFonts w:ascii="Times New Roman" w:cs="Times New Roman" w:eastAsia="Times New Roman" w:hAnsi="Times New Roman"/>
          <w:b/>
          <w:bCs/>
          <w:sz w:val="24"/>
          <w:szCs w:val="24"/>
        </w:rPr>
        <w:t xml:space="preserve">Gas sensing: </w:t>
      </w:r>
      <w:r>
        <w:rPr>
          <w:rFonts w:ascii="Times New Roman" w:cs="Times New Roman" w:eastAsia="Times New Roman" w:hAnsi="Times New Roman"/>
          <w:sz w:val="24"/>
          <w:szCs w:val="24"/>
        </w:rPr>
        <w:t xml:space="preserve">the response characteristics of MQ-series metal-oxide sensors, their cross-sensitivity between gas families, the influence of temperature and humidity on output, drift over sensor lifetime, and the calibration procedures required to convert resistance to concentration.</w:t>
      </w:r>
    </w:p>
    <w:p>
      <w:pPr>
        <w:pStyle w:val="ListParagraph"/>
        <w:numPr>
          <w:ilvl w:val="0"/>
          <w:numId w:val="4"/>
        </w:numPr>
        <w:spacing w:after="140" w:line="340"/>
        <w:jc w:val="both"/>
      </w:pPr>
      <w:r>
        <w:rPr>
          <w:rFonts w:ascii="Times New Roman" w:cs="Times New Roman" w:eastAsia="Times New Roman" w:hAnsi="Times New Roman"/>
          <w:b/>
          <w:bCs/>
          <w:sz w:val="24"/>
          <w:szCs w:val="24"/>
        </w:rPr>
        <w:t xml:space="preserve">Agricultural environmental monitoring: </w:t>
      </w:r>
      <w:r>
        <w:rPr>
          <w:rFonts w:ascii="Times New Roman" w:cs="Times New Roman" w:eastAsia="Times New Roman" w:hAnsi="Times New Roman"/>
          <w:sz w:val="24"/>
          <w:szCs w:val="24"/>
        </w:rPr>
        <w:t xml:space="preserve">existing deployments monitoring ammonia, carbon dioxide and related gases in poultry and composting environments, including reported thresholds, sampling intervals and observed diurnal patterns.</w:t>
      </w:r>
    </w:p>
    <w:p>
      <w:pPr>
        <w:pStyle w:val="ListParagraph"/>
        <w:numPr>
          <w:ilvl w:val="0"/>
          <w:numId w:val="4"/>
        </w:numPr>
        <w:spacing w:after="140" w:line="340"/>
        <w:jc w:val="both"/>
      </w:pPr>
      <w:r>
        <w:rPr>
          <w:rFonts w:ascii="Times New Roman" w:cs="Times New Roman" w:eastAsia="Times New Roman" w:hAnsi="Times New Roman"/>
          <w:b/>
          <w:bCs/>
          <w:sz w:val="24"/>
          <w:szCs w:val="24"/>
        </w:rPr>
        <w:t xml:space="preserve">IoT system architecture: </w:t>
      </w:r>
      <w:r>
        <w:rPr>
          <w:rFonts w:ascii="Times New Roman" w:cs="Times New Roman" w:eastAsia="Times New Roman" w:hAnsi="Times New Roman"/>
          <w:sz w:val="24"/>
          <w:szCs w:val="24"/>
        </w:rPr>
        <w:t xml:space="preserve">architectural patterns for sensor networks, comparing gateway-centric designs against direct-to-cloud transmission, and the reliability implications of each.</w:t>
      </w:r>
    </w:p>
    <w:p>
      <w:pPr>
        <w:pStyle w:val="ListParagraph"/>
        <w:numPr>
          <w:ilvl w:val="0"/>
          <w:numId w:val="4"/>
        </w:numPr>
        <w:spacing w:after="140" w:line="340"/>
        <w:jc w:val="both"/>
      </w:pPr>
      <w:r>
        <w:rPr>
          <w:rFonts w:ascii="Times New Roman" w:cs="Times New Roman" w:eastAsia="Times New Roman" w:hAnsi="Times New Roman"/>
          <w:b/>
          <w:bCs/>
          <w:sz w:val="24"/>
          <w:szCs w:val="24"/>
        </w:rPr>
        <w:t xml:space="preserve">Edge computing: </w:t>
      </w:r>
      <w:r>
        <w:rPr>
          <w:rFonts w:ascii="Times New Roman" w:cs="Times New Roman" w:eastAsia="Times New Roman" w:hAnsi="Times New Roman"/>
          <w:sz w:val="24"/>
          <w:szCs w:val="24"/>
        </w:rPr>
        <w:t xml:space="preserve">the migration of processing from centralised cloud to distributed edge, and the availability characteristics that motivate it.</w:t>
      </w:r>
    </w:p>
    <w:p>
      <w:pPr>
        <w:pStyle w:val="ListParagraph"/>
        <w:numPr>
          <w:ilvl w:val="0"/>
          <w:numId w:val="4"/>
        </w:numPr>
        <w:spacing w:after="140" w:line="340"/>
        <w:jc w:val="both"/>
      </w:pPr>
      <w:r>
        <w:rPr>
          <w:rFonts w:ascii="Times New Roman" w:cs="Times New Roman" w:eastAsia="Times New Roman" w:hAnsi="Times New Roman"/>
          <w:b/>
          <w:bCs/>
          <w:sz w:val="24"/>
          <w:szCs w:val="24"/>
        </w:rPr>
        <w:t xml:space="preserve">IoT security: </w:t>
      </w:r>
      <w:r>
        <w:rPr>
          <w:rFonts w:ascii="Times New Roman" w:cs="Times New Roman" w:eastAsia="Times New Roman" w:hAnsi="Times New Roman"/>
          <w:sz w:val="24"/>
          <w:szCs w:val="24"/>
        </w:rPr>
        <w:t xml:space="preserve">device authentication in constrained environments, comparing bearer credentials, certificate-based mutual authentication and message-level signing.</w:t>
      </w:r>
    </w:p>
    <w:p>
      <w:pPr>
        <w:pStyle w:val="ListParagraph"/>
        <w:numPr>
          <w:ilvl w:val="0"/>
          <w:numId w:val="4"/>
        </w:numPr>
        <w:spacing w:after="140" w:line="340"/>
        <w:jc w:val="both"/>
      </w:pPr>
      <w:r>
        <w:rPr>
          <w:rFonts w:ascii="Times New Roman" w:cs="Times New Roman" w:eastAsia="Times New Roman" w:hAnsi="Times New Roman"/>
          <w:b/>
          <w:bCs/>
          <w:sz w:val="24"/>
          <w:szCs w:val="24"/>
        </w:rPr>
        <w:t xml:space="preserve">Predictive modelling: </w:t>
      </w:r>
      <w:r>
        <w:rPr>
          <w:rFonts w:ascii="Times New Roman" w:cs="Times New Roman" w:eastAsia="Times New Roman" w:hAnsi="Times New Roman"/>
          <w:sz w:val="24"/>
          <w:szCs w:val="24"/>
        </w:rPr>
        <w:t xml:space="preserve">short-horizon forecasting from environmental sensor data, including model selection under limited sample counts and the treatment of temporal dependence in validation.</w:t>
      </w:r>
    </w:p>
    <w:p>
      <w:pPr>
        <w:spacing w:after="200" w:line="360"/>
        <w:jc w:val="both"/>
      </w:pPr>
      <w:r>
        <w:rPr>
          <w:rFonts w:ascii="Times New Roman" w:cs="Times New Roman" w:eastAsia="Times New Roman" w:hAnsi="Times New Roman"/>
          <w:i/>
          <w:iCs/>
          <w:color w:val="000000"/>
          <w:sz w:val="24"/>
          <w:szCs w:val="24"/>
        </w:rPr>
        <w:t xml:space="preserve">The review should conclude by identifying the gap this project addresses. On the evidence of the system as built, that gap concerns verifiable data provenance and measured availability: many deployments report readings, fewer establish that a reading originated from the claimed device, and fewer still measure their own uptime rather than assuming it.</w:t>
      </w:r>
    </w:p>
    <w:p>
      <w:r>
        <w:br w:type="page"/>
      </w:r>
    </w:p>
    <w:p>
      <w:pPr>
        <w:pStyle w:val="Heading1"/>
        <w:spacing w:after="260" w:before="400"/>
      </w:pPr>
      <w:r>
        <w:rPr>
          <w:rFonts w:ascii="Times New Roman" w:cs="Times New Roman" w:eastAsia="Times New Roman" w:hAnsi="Times New Roman"/>
          <w:b/>
          <w:bCs/>
          <w:sz w:val="32"/>
          <w:szCs w:val="32"/>
        </w:rPr>
        <w:t xml:space="preserve">CHAPTER 3: METHODOLOGY</w:t>
      </w:r>
    </w:p>
    <w:p>
      <w:pPr>
        <w:pStyle w:val="Heading2"/>
        <w:spacing w:after="180" w:before="320"/>
      </w:pPr>
      <w:r>
        <w:rPr>
          <w:rFonts w:ascii="Times New Roman" w:cs="Times New Roman" w:eastAsia="Times New Roman" w:hAnsi="Times New Roman"/>
          <w:b/>
          <w:bCs/>
          <w:sz w:val="26"/>
          <w:szCs w:val="26"/>
        </w:rPr>
        <w:t xml:space="preserve">3.1 Introduction</w:t>
      </w:r>
    </w:p>
    <w:p>
      <w:pPr>
        <w:spacing w:after="200" w:line="360"/>
        <w:jc w:val="both"/>
      </w:pPr>
      <w:r>
        <w:rPr>
          <w:rFonts w:ascii="Times New Roman" w:cs="Times New Roman" w:eastAsia="Times New Roman" w:hAnsi="Times New Roman"/>
          <w:color w:val="000000"/>
          <w:sz w:val="24"/>
          <w:szCs w:val="24"/>
        </w:rPr>
        <w:t xml:space="preserve">This chapter describes the development methodology adopted, the activities performed at each stage, and the milestones by which progress was tracked.</w:t>
      </w:r>
    </w:p>
    <w:p>
      <w:pPr>
        <w:pStyle w:val="Heading2"/>
        <w:spacing w:after="180" w:before="320"/>
      </w:pPr>
      <w:r>
        <w:rPr>
          <w:rFonts w:ascii="Times New Roman" w:cs="Times New Roman" w:eastAsia="Times New Roman" w:hAnsi="Times New Roman"/>
          <w:b/>
          <w:bCs/>
          <w:sz w:val="26"/>
          <w:szCs w:val="26"/>
        </w:rPr>
        <w:t xml:space="preserve">3.2 Methodology</w:t>
      </w:r>
    </w:p>
    <w:p>
      <w:pPr>
        <w:spacing w:after="200" w:line="360"/>
        <w:jc w:val="both"/>
      </w:pPr>
      <w:r>
        <w:rPr>
          <w:rFonts w:ascii="Times New Roman" w:cs="Times New Roman" w:eastAsia="Times New Roman" w:hAnsi="Times New Roman"/>
          <w:color w:val="000000"/>
          <w:sz w:val="24"/>
          <w:szCs w:val="24"/>
        </w:rPr>
        <w:t xml:space="preserve">The project followed an iterative prototyping methodology within the System Development Life Cycle. Iterative prototyping was selected over a linear waterfall approach for a specific reason: the project integrates physical hardware with cloud services, and several constraints in that integration could not be known in advance of implementation.</w:t>
      </w:r>
    </w:p>
    <w:p>
      <w:pPr>
        <w:spacing w:after="200" w:line="360"/>
        <w:jc w:val="both"/>
      </w:pPr>
      <w:r>
        <w:rPr>
          <w:rFonts w:ascii="Times New Roman" w:cs="Times New Roman" w:eastAsia="Times New Roman" w:hAnsi="Times New Roman"/>
          <w:color w:val="000000"/>
          <w:sz w:val="24"/>
          <w:szCs w:val="24"/>
        </w:rPr>
        <w:t xml:space="preserve">This proved correct in practice. Three constraints emerged only during construction: a platform limit on cryptographic iteration count that no documentation review would have surfaced, a browser policy governing credentials across domains, and the unavailability of a hardware peripheral while the wireless radio is active. Each required design revision. A methodology assuming requirements could be fixed before implementation would have absorbed these as defects rather than as expected iteration.</w:t>
      </w:r>
    </w:p>
    <w:p>
      <w:pPr>
        <w:pStyle w:val="Heading3"/>
        <w:spacing w:after="140" w:before="260"/>
      </w:pPr>
      <w:r>
        <w:rPr>
          <w:rFonts w:ascii="Times New Roman" w:cs="Times New Roman" w:eastAsia="Times New Roman" w:hAnsi="Times New Roman"/>
          <w:b/>
          <w:bCs/>
          <w:sz w:val="24"/>
          <w:szCs w:val="24"/>
        </w:rPr>
        <w:t xml:space="preserve">3.2.1 Overview of the System Development Life Cycle</w:t>
      </w:r>
    </w:p>
    <w:p>
      <w:pPr>
        <w:spacing w:after="200" w:line="360"/>
        <w:jc w:val="both"/>
      </w:pPr>
      <w:r>
        <w:rPr>
          <w:rFonts w:ascii="Times New Roman" w:cs="Times New Roman" w:eastAsia="Times New Roman" w:hAnsi="Times New Roman"/>
          <w:color w:val="000000"/>
          <w:sz w:val="24"/>
          <w:szCs w:val="24"/>
        </w:rPr>
        <w:t xml:space="preserve">The lifecycle comprised requirements analysis, analysis and design, prototype creation, evaluation, review and update, development, testing and maintenance. The middle stages were revisited on each iteration rather than completed once.</w:t>
      </w:r>
    </w:p>
    <w:p>
      <w:pPr>
        <w:pStyle w:val="Heading3"/>
        <w:spacing w:after="140" w:before="260"/>
      </w:pPr>
      <w:r>
        <w:rPr>
          <w:rFonts w:ascii="Times New Roman" w:cs="Times New Roman" w:eastAsia="Times New Roman" w:hAnsi="Times New Roman"/>
          <w:b/>
          <w:bCs/>
          <w:sz w:val="24"/>
          <w:szCs w:val="24"/>
        </w:rPr>
        <w:t xml:space="preserve">3.2.2 Requirements Analysis</w:t>
      </w:r>
    </w:p>
    <w:p>
      <w:pPr>
        <w:spacing w:after="200" w:line="360"/>
        <w:jc w:val="both"/>
      </w:pPr>
      <w:r>
        <w:rPr>
          <w:rFonts w:ascii="Times New Roman" w:cs="Times New Roman" w:eastAsia="Times New Roman" w:hAnsi="Times New Roman"/>
          <w:color w:val="000000"/>
          <w:sz w:val="24"/>
          <w:szCs w:val="24"/>
        </w:rPr>
        <w:t xml:space="preserve">Requirements were elicited from the project brief and refined into functional groupings: predictive analytics, hardware and edge integration, cloud architecture, alerting, platform features, and observability. Each requirement was recorded in a form permitting later verification, and traced through to a test case in Chapter 6.</w:t>
      </w:r>
    </w:p>
    <w:p>
      <w:pPr>
        <w:pStyle w:val="Heading3"/>
        <w:spacing w:after="140" w:before="260"/>
      </w:pPr>
      <w:r>
        <w:rPr>
          <w:rFonts w:ascii="Times New Roman" w:cs="Times New Roman" w:eastAsia="Times New Roman" w:hAnsi="Times New Roman"/>
          <w:b/>
          <w:bCs/>
          <w:sz w:val="24"/>
          <w:szCs w:val="24"/>
        </w:rPr>
        <w:t xml:space="preserve">3.2.3 Analysis and Design</w:t>
      </w:r>
    </w:p>
    <w:p>
      <w:pPr>
        <w:spacing w:after="200" w:line="360"/>
        <w:jc w:val="both"/>
      </w:pPr>
      <w:r>
        <w:rPr>
          <w:rFonts w:ascii="Times New Roman" w:cs="Times New Roman" w:eastAsia="Times New Roman" w:hAnsi="Times New Roman"/>
          <w:color w:val="000000"/>
          <w:sz w:val="24"/>
          <w:szCs w:val="24"/>
        </w:rPr>
        <w:t xml:space="preserve">System architecture, data model and interface design were produced during this stage. The architecture was revised once during the project: an initial design based on virtual machines, a load balancer and an auto-scaling group was replaced by distributed edge compute, on the grounds that removing the origin server eliminates a failure mode rather than mitigating it. Chapter 4 documents the resulting design.</w:t>
      </w:r>
    </w:p>
    <w:p>
      <w:pPr>
        <w:pStyle w:val="Heading3"/>
        <w:spacing w:after="140" w:before="260"/>
      </w:pPr>
      <w:r>
        <w:rPr>
          <w:rFonts w:ascii="Times New Roman" w:cs="Times New Roman" w:eastAsia="Times New Roman" w:hAnsi="Times New Roman"/>
          <w:b/>
          <w:bCs/>
          <w:sz w:val="24"/>
          <w:szCs w:val="24"/>
        </w:rPr>
        <w:t xml:space="preserve">3.2.4 Prototype Creation</w:t>
      </w:r>
    </w:p>
    <w:p>
      <w:pPr>
        <w:spacing w:after="200" w:line="360"/>
        <w:jc w:val="both"/>
      </w:pPr>
      <w:r>
        <w:rPr>
          <w:rFonts w:ascii="Times New Roman" w:cs="Times New Roman" w:eastAsia="Times New Roman" w:hAnsi="Times New Roman"/>
          <w:color w:val="000000"/>
          <w:sz w:val="24"/>
          <w:szCs w:val="24"/>
        </w:rPr>
        <w:t xml:space="preserve">Prototypes were constructed for each subsystem independently before integration: firmware sampling and signing, cloud ingestion and storage, the web interfaces, and the predictive component. Constructing them separately allowed each to be verified in isolation, so that failures during integration could be localised.</w:t>
      </w:r>
    </w:p>
    <w:p>
      <w:pPr>
        <w:pStyle w:val="Heading3"/>
        <w:spacing w:after="140" w:before="260"/>
      </w:pPr>
      <w:r>
        <w:rPr>
          <w:rFonts w:ascii="Times New Roman" w:cs="Times New Roman" w:eastAsia="Times New Roman" w:hAnsi="Times New Roman"/>
          <w:b/>
          <w:bCs/>
          <w:sz w:val="24"/>
          <w:szCs w:val="24"/>
        </w:rPr>
        <w:t xml:space="preserve">3.2.5 User Evaluation</w:t>
      </w:r>
    </w:p>
    <w:p>
      <w:pPr>
        <w:spacing w:after="200" w:line="360"/>
        <w:jc w:val="both"/>
      </w:pPr>
      <w:r>
        <w:rPr>
          <w:rFonts w:ascii="Times New Roman" w:cs="Times New Roman" w:eastAsia="Times New Roman" w:hAnsi="Times New Roman"/>
          <w:color w:val="000000"/>
          <w:sz w:val="24"/>
          <w:szCs w:val="24"/>
        </w:rPr>
        <w:t xml:space="preserve">Interface prototypes were reviewed against the intended interaction for each role. Evaluation produced two substantive changes: the administrative portal was made to refuse users lacking privilege rather than presenting a console whose panels silently failed, and the first-run experience was changed to detect an uninitialised system and offer administrator creation directly, rather than presenting a registration form that no user could yet satisfy.</w:t>
      </w:r>
    </w:p>
    <w:p>
      <w:pPr>
        <w:pStyle w:val="Heading3"/>
        <w:spacing w:after="140" w:before="260"/>
      </w:pPr>
      <w:r>
        <w:rPr>
          <w:rFonts w:ascii="Times New Roman" w:cs="Times New Roman" w:eastAsia="Times New Roman" w:hAnsi="Times New Roman"/>
          <w:b/>
          <w:bCs/>
          <w:sz w:val="24"/>
          <w:szCs w:val="24"/>
        </w:rPr>
        <w:t xml:space="preserve">3.2.6 Review and Update</w:t>
      </w:r>
    </w:p>
    <w:p>
      <w:pPr>
        <w:spacing w:after="200" w:line="360"/>
        <w:jc w:val="both"/>
      </w:pPr>
      <w:r>
        <w:rPr>
          <w:rFonts w:ascii="Times New Roman" w:cs="Times New Roman" w:eastAsia="Times New Roman" w:hAnsi="Times New Roman"/>
          <w:color w:val="000000"/>
          <w:sz w:val="24"/>
          <w:szCs w:val="24"/>
        </w:rPr>
        <w:t xml:space="preserve">Each iteration concluded with a review of implemented functionality against requirements. Where implementation revealed a constraint, the design was updated and the change recorded with its rationale in the version control history.</w:t>
      </w:r>
    </w:p>
    <w:p>
      <w:pPr>
        <w:pStyle w:val="Heading3"/>
        <w:spacing w:after="140" w:before="260"/>
      </w:pPr>
      <w:r>
        <w:rPr>
          <w:rFonts w:ascii="Times New Roman" w:cs="Times New Roman" w:eastAsia="Times New Roman" w:hAnsi="Times New Roman"/>
          <w:b/>
          <w:bCs/>
          <w:sz w:val="24"/>
          <w:szCs w:val="24"/>
        </w:rPr>
        <w:t xml:space="preserve">3.2.7 Development</w:t>
      </w:r>
    </w:p>
    <w:p>
      <w:pPr>
        <w:spacing w:after="200" w:line="360"/>
        <w:jc w:val="both"/>
      </w:pPr>
      <w:r>
        <w:rPr>
          <w:rFonts w:ascii="Times New Roman" w:cs="Times New Roman" w:eastAsia="Times New Roman" w:hAnsi="Times New Roman"/>
          <w:color w:val="000000"/>
          <w:sz w:val="24"/>
          <w:szCs w:val="24"/>
        </w:rPr>
        <w:t xml:space="preserve">Development proceeded subsystem by subsystem. Version control was maintained throughout, with continuous deployment configured so that committed changes reached the running system without manual intervention. Chapter 5 documents the configuration in detail.</w:t>
      </w:r>
    </w:p>
    <w:p>
      <w:pPr>
        <w:pStyle w:val="Heading3"/>
        <w:spacing w:after="140" w:before="260"/>
      </w:pPr>
      <w:r>
        <w:rPr>
          <w:rFonts w:ascii="Times New Roman" w:cs="Times New Roman" w:eastAsia="Times New Roman" w:hAnsi="Times New Roman"/>
          <w:b/>
          <w:bCs/>
          <w:sz w:val="24"/>
          <w:szCs w:val="24"/>
        </w:rPr>
        <w:t xml:space="preserve">3.2.8 Testing</w:t>
      </w:r>
    </w:p>
    <w:p>
      <w:pPr>
        <w:spacing w:after="200" w:line="360"/>
        <w:jc w:val="both"/>
      </w:pPr>
      <w:r>
        <w:rPr>
          <w:rFonts w:ascii="Times New Roman" w:cs="Times New Roman" w:eastAsia="Times New Roman" w:hAnsi="Times New Roman"/>
          <w:color w:val="000000"/>
          <w:sz w:val="24"/>
          <w:szCs w:val="24"/>
        </w:rPr>
        <w:t xml:space="preserve">Testing was performed continuously rather than as a terminal phase. Each subsystem was tested on completion and the full suite re-executed after every defect fix. Testing was conducted against the deployed runtime rather than a simulator, a decision vindicated when a defect was found that the simulator could not reproduce. Chapter 6 presents the results.</w:t>
      </w:r>
    </w:p>
    <w:p>
      <w:pPr>
        <w:pStyle w:val="Heading3"/>
        <w:spacing w:after="140" w:before="260"/>
      </w:pPr>
      <w:r>
        <w:rPr>
          <w:rFonts w:ascii="Times New Roman" w:cs="Times New Roman" w:eastAsia="Times New Roman" w:hAnsi="Times New Roman"/>
          <w:b/>
          <w:bCs/>
          <w:sz w:val="24"/>
          <w:szCs w:val="24"/>
        </w:rPr>
        <w:t xml:space="preserve">3.2.9 Maintenance</w:t>
      </w:r>
    </w:p>
    <w:p>
      <w:pPr>
        <w:spacing w:after="200" w:line="360"/>
        <w:jc w:val="both"/>
      </w:pPr>
      <w:r>
        <w:rPr>
          <w:rFonts w:ascii="Times New Roman" w:cs="Times New Roman" w:eastAsia="Times New Roman" w:hAnsi="Times New Roman"/>
          <w:color w:val="000000"/>
          <w:sz w:val="24"/>
          <w:szCs w:val="24"/>
        </w:rPr>
        <w:t xml:space="preserve">Maintenance provisions include a version endpoint reporting the running build, an availability probe recording uptime continuously, and structured logging of notification delivery. The database schema is versioned through migration files so that structural changes are reproducible.</w:t>
      </w:r>
    </w:p>
    <w:p>
      <w:pPr>
        <w:pStyle w:val="Heading2"/>
        <w:spacing w:after="180" w:before="320"/>
      </w:pPr>
      <w:r>
        <w:rPr>
          <w:rFonts w:ascii="Times New Roman" w:cs="Times New Roman" w:eastAsia="Times New Roman" w:hAnsi="Times New Roman"/>
          <w:b/>
          <w:bCs/>
          <w:sz w:val="26"/>
          <w:szCs w:val="26"/>
        </w:rPr>
        <w:t xml:space="preserve">3.3 Project Milestones</w:t>
      </w:r>
    </w:p>
    <w:p>
      <w:pPr>
        <w:spacing w:after="300" w:before="100"/>
        <w:jc w:val="center"/>
      </w:pPr>
      <w:r>
        <w:rPr>
          <w:rFonts w:ascii="Times New Roman" w:cs="Times New Roman" w:eastAsia="Times New Roman" w:hAnsi="Times New Roman"/>
          <w:b/>
          <w:bCs/>
          <w:sz w:val="21"/>
          <w:szCs w:val="21"/>
        </w:rPr>
        <w:t xml:space="preserve">TABLE 3.1: PROJECT MILESTONES</w:t>
      </w:r>
    </w:p>
    <w:tbl>
      <w:tblPr>
        <w:tblW w:type="dxa" w:w="8400"/>
        <w:tblBorders>
          <w:top w:val="single" w:color="000000" w:sz="4"/>
          <w:left w:val="single" w:color="000000" w:sz="4"/>
          <w:bottom w:val="single" w:color="000000" w:sz="4"/>
          <w:right w:val="single" w:color="000000" w:sz="4"/>
          <w:insideH w:val="single" w:color="808080" w:sz="2"/>
          <w:insideV w:val="single" w:color="808080" w:sz="2"/>
        </w:tblBorders>
      </w:tblPr>
      <w:tblGrid>
        <w:gridCol w:w="700"/>
        <w:gridCol w:w="3200"/>
        <w:gridCol w:w="4500"/>
      </w:tblGrid>
      <w:tr>
        <w:trPr>
          <w:tblHeader/>
        </w:trPr>
        <w:tc>
          <w:tcPr>
            <w:tcW w:type="dxa" w:w="700"/>
            <w:shd w:fill="E8E8E8" w:val="clear"/>
            <w:tcMar>
              <w:top w:type="dxa" w:w="70"/>
              <w:left w:type="dxa" w:w="100"/>
              <w:bottom w:type="dxa" w:w="70"/>
              <w:right w:type="dxa" w:w="100"/>
            </w:tcMar>
          </w:tcPr>
          <w:p>
            <w:pPr>
              <w:spacing w:after="0" w:line="260"/>
            </w:pPr>
            <w:r>
              <w:rPr>
                <w:rFonts w:ascii="Times New Roman" w:cs="Times New Roman" w:eastAsia="Times New Roman" w:hAnsi="Times New Roman"/>
                <w:b/>
                <w:bCs/>
                <w:sz w:val="20"/>
                <w:szCs w:val="20"/>
              </w:rPr>
              <w:t xml:space="preserve">No.</w:t>
            </w:r>
          </w:p>
        </w:tc>
        <w:tc>
          <w:tcPr>
            <w:tcW w:type="dxa" w:w="3200"/>
            <w:shd w:fill="E8E8E8" w:val="clear"/>
            <w:tcMar>
              <w:top w:type="dxa" w:w="70"/>
              <w:left w:type="dxa" w:w="100"/>
              <w:bottom w:type="dxa" w:w="70"/>
              <w:right w:type="dxa" w:w="100"/>
            </w:tcMar>
          </w:tcPr>
          <w:p>
            <w:pPr>
              <w:spacing w:after="0" w:line="260"/>
            </w:pPr>
            <w:r>
              <w:rPr>
                <w:rFonts w:ascii="Times New Roman" w:cs="Times New Roman" w:eastAsia="Times New Roman" w:hAnsi="Times New Roman"/>
                <w:b/>
                <w:bCs/>
                <w:sz w:val="20"/>
                <w:szCs w:val="20"/>
              </w:rPr>
              <w:t xml:space="preserve">Milestone</w:t>
            </w:r>
          </w:p>
        </w:tc>
        <w:tc>
          <w:tcPr>
            <w:tcW w:type="dxa" w:w="4500"/>
            <w:shd w:fill="E8E8E8" w:val="clear"/>
            <w:tcMar>
              <w:top w:type="dxa" w:w="70"/>
              <w:left w:type="dxa" w:w="100"/>
              <w:bottom w:type="dxa" w:w="70"/>
              <w:right w:type="dxa" w:w="100"/>
            </w:tcMar>
          </w:tcPr>
          <w:p>
            <w:pPr>
              <w:spacing w:after="0" w:line="260"/>
            </w:pPr>
            <w:r>
              <w:rPr>
                <w:rFonts w:ascii="Times New Roman" w:cs="Times New Roman" w:eastAsia="Times New Roman" w:hAnsi="Times New Roman"/>
                <w:b/>
                <w:bCs/>
                <w:sz w:val="20"/>
                <w:szCs w:val="20"/>
              </w:rPr>
              <w:t xml:space="preserve">Deliverable</w:t>
            </w:r>
          </w:p>
        </w:tc>
      </w:tr>
      <w:tr>
        <w:tc>
          <w:tcPr>
            <w:tcW w:type="dxa" w:w="700"/>
            <w:tcMar>
              <w:top w:type="dxa" w:w="70"/>
              <w:left w:type="dxa" w:w="100"/>
              <w:bottom w:type="dxa" w:w="70"/>
              <w:right w:type="dxa" w:w="100"/>
            </w:tcMar>
          </w:tcPr>
          <w:p>
            <w:pPr>
              <w:spacing w:after="0" w:line="260"/>
            </w:pPr>
            <w:r>
              <w:rPr>
                <w:rFonts w:ascii="Times New Roman" w:cs="Times New Roman" w:eastAsia="Times New Roman" w:hAnsi="Times New Roman"/>
                <w:sz w:val="20"/>
                <w:szCs w:val="20"/>
              </w:rPr>
              <w:t xml:space="preserve">M1</w:t>
            </w:r>
          </w:p>
        </w:tc>
        <w:tc>
          <w:tcPr>
            <w:tcW w:type="dxa" w:w="3200"/>
            <w:tcMar>
              <w:top w:type="dxa" w:w="70"/>
              <w:left w:type="dxa" w:w="100"/>
              <w:bottom w:type="dxa" w:w="70"/>
              <w:right w:type="dxa" w:w="100"/>
            </w:tcMar>
          </w:tcPr>
          <w:p>
            <w:pPr>
              <w:spacing w:after="0" w:line="260"/>
            </w:pPr>
            <w:r>
              <w:rPr>
                <w:rFonts w:ascii="Times New Roman" w:cs="Times New Roman" w:eastAsia="Times New Roman" w:hAnsi="Times New Roman"/>
                <w:sz w:val="20"/>
                <w:szCs w:val="20"/>
              </w:rPr>
              <w:t xml:space="preserve">Requirements analysis</w:t>
            </w:r>
          </w:p>
        </w:tc>
        <w:tc>
          <w:tcPr>
            <w:tcW w:type="dxa" w:w="4500"/>
            <w:tcMar>
              <w:top w:type="dxa" w:w="70"/>
              <w:left w:type="dxa" w:w="100"/>
              <w:bottom w:type="dxa" w:w="70"/>
              <w:right w:type="dxa" w:w="100"/>
            </w:tcMar>
          </w:tcPr>
          <w:p>
            <w:pPr>
              <w:spacing w:after="0" w:line="260"/>
            </w:pPr>
            <w:r>
              <w:rPr>
                <w:rFonts w:ascii="Times New Roman" w:cs="Times New Roman" w:eastAsia="Times New Roman" w:hAnsi="Times New Roman"/>
                <w:sz w:val="20"/>
                <w:szCs w:val="20"/>
              </w:rPr>
              <w:t xml:space="preserve">Requirement groupings with verification criteria</w:t>
            </w:r>
          </w:p>
        </w:tc>
      </w:tr>
      <w:tr>
        <w:tc>
          <w:tcPr>
            <w:tcW w:type="dxa" w:w="700"/>
            <w:tcMar>
              <w:top w:type="dxa" w:w="70"/>
              <w:left w:type="dxa" w:w="100"/>
              <w:bottom w:type="dxa" w:w="70"/>
              <w:right w:type="dxa" w:w="100"/>
            </w:tcMar>
          </w:tcPr>
          <w:p>
            <w:pPr>
              <w:spacing w:after="0" w:line="260"/>
            </w:pPr>
            <w:r>
              <w:rPr>
                <w:rFonts w:ascii="Times New Roman" w:cs="Times New Roman" w:eastAsia="Times New Roman" w:hAnsi="Times New Roman"/>
                <w:sz w:val="20"/>
                <w:szCs w:val="20"/>
              </w:rPr>
              <w:t xml:space="preserve">M2</w:t>
            </w:r>
          </w:p>
        </w:tc>
        <w:tc>
          <w:tcPr>
            <w:tcW w:type="dxa" w:w="3200"/>
            <w:tcMar>
              <w:top w:type="dxa" w:w="70"/>
              <w:left w:type="dxa" w:w="100"/>
              <w:bottom w:type="dxa" w:w="70"/>
              <w:right w:type="dxa" w:w="100"/>
            </w:tcMar>
          </w:tcPr>
          <w:p>
            <w:pPr>
              <w:spacing w:after="0" w:line="260"/>
            </w:pPr>
            <w:r>
              <w:rPr>
                <w:rFonts w:ascii="Times New Roman" w:cs="Times New Roman" w:eastAsia="Times New Roman" w:hAnsi="Times New Roman"/>
                <w:sz w:val="20"/>
                <w:szCs w:val="20"/>
              </w:rPr>
              <w:t xml:space="preserve">Architecture design</w:t>
            </w:r>
          </w:p>
        </w:tc>
        <w:tc>
          <w:tcPr>
            <w:tcW w:type="dxa" w:w="4500"/>
            <w:tcMar>
              <w:top w:type="dxa" w:w="70"/>
              <w:left w:type="dxa" w:w="100"/>
              <w:bottom w:type="dxa" w:w="70"/>
              <w:right w:type="dxa" w:w="100"/>
            </w:tcMar>
          </w:tcPr>
          <w:p>
            <w:pPr>
              <w:spacing w:after="0" w:line="260"/>
            </w:pPr>
            <w:r>
              <w:rPr>
                <w:rFonts w:ascii="Times New Roman" w:cs="Times New Roman" w:eastAsia="Times New Roman" w:hAnsi="Times New Roman"/>
                <w:sz w:val="20"/>
                <w:szCs w:val="20"/>
              </w:rPr>
              <w:t xml:space="preserve">System architecture and data model</w:t>
            </w:r>
          </w:p>
        </w:tc>
      </w:tr>
      <w:tr>
        <w:tc>
          <w:tcPr>
            <w:tcW w:type="dxa" w:w="700"/>
            <w:tcMar>
              <w:top w:type="dxa" w:w="70"/>
              <w:left w:type="dxa" w:w="100"/>
              <w:bottom w:type="dxa" w:w="70"/>
              <w:right w:type="dxa" w:w="100"/>
            </w:tcMar>
          </w:tcPr>
          <w:p>
            <w:pPr>
              <w:spacing w:after="0" w:line="260"/>
            </w:pPr>
            <w:r>
              <w:rPr>
                <w:rFonts w:ascii="Times New Roman" w:cs="Times New Roman" w:eastAsia="Times New Roman" w:hAnsi="Times New Roman"/>
                <w:sz w:val="20"/>
                <w:szCs w:val="20"/>
              </w:rPr>
              <w:t xml:space="preserve">M3</w:t>
            </w:r>
          </w:p>
        </w:tc>
        <w:tc>
          <w:tcPr>
            <w:tcW w:type="dxa" w:w="3200"/>
            <w:tcMar>
              <w:top w:type="dxa" w:w="70"/>
              <w:left w:type="dxa" w:w="100"/>
              <w:bottom w:type="dxa" w:w="70"/>
              <w:right w:type="dxa" w:w="100"/>
            </w:tcMar>
          </w:tcPr>
          <w:p>
            <w:pPr>
              <w:spacing w:after="0" w:line="260"/>
            </w:pPr>
            <w:r>
              <w:rPr>
                <w:rFonts w:ascii="Times New Roman" w:cs="Times New Roman" w:eastAsia="Times New Roman" w:hAnsi="Times New Roman"/>
                <w:sz w:val="20"/>
                <w:szCs w:val="20"/>
              </w:rPr>
              <w:t xml:space="preserve">Database implementation</w:t>
            </w:r>
          </w:p>
        </w:tc>
        <w:tc>
          <w:tcPr>
            <w:tcW w:type="dxa" w:w="4500"/>
            <w:tcMar>
              <w:top w:type="dxa" w:w="70"/>
              <w:left w:type="dxa" w:w="100"/>
              <w:bottom w:type="dxa" w:w="70"/>
              <w:right w:type="dxa" w:w="100"/>
            </w:tcMar>
          </w:tcPr>
          <w:p>
            <w:pPr>
              <w:spacing w:after="0" w:line="260"/>
            </w:pPr>
            <w:r>
              <w:rPr>
                <w:rFonts w:ascii="Times New Roman" w:cs="Times New Roman" w:eastAsia="Times New Roman" w:hAnsi="Times New Roman"/>
                <w:sz w:val="20"/>
                <w:szCs w:val="20"/>
              </w:rPr>
              <w:t xml:space="preserve">Schema, migrations, seed dataset</w:t>
            </w:r>
          </w:p>
        </w:tc>
      </w:tr>
      <w:tr>
        <w:tc>
          <w:tcPr>
            <w:tcW w:type="dxa" w:w="700"/>
            <w:tcMar>
              <w:top w:type="dxa" w:w="70"/>
              <w:left w:type="dxa" w:w="100"/>
              <w:bottom w:type="dxa" w:w="70"/>
              <w:right w:type="dxa" w:w="100"/>
            </w:tcMar>
          </w:tcPr>
          <w:p>
            <w:pPr>
              <w:spacing w:after="0" w:line="260"/>
            </w:pPr>
            <w:r>
              <w:rPr>
                <w:rFonts w:ascii="Times New Roman" w:cs="Times New Roman" w:eastAsia="Times New Roman" w:hAnsi="Times New Roman"/>
                <w:sz w:val="20"/>
                <w:szCs w:val="20"/>
              </w:rPr>
              <w:t xml:space="preserve">M4</w:t>
            </w:r>
          </w:p>
        </w:tc>
        <w:tc>
          <w:tcPr>
            <w:tcW w:type="dxa" w:w="3200"/>
            <w:tcMar>
              <w:top w:type="dxa" w:w="70"/>
              <w:left w:type="dxa" w:w="100"/>
              <w:bottom w:type="dxa" w:w="70"/>
              <w:right w:type="dxa" w:w="100"/>
            </w:tcMar>
          </w:tcPr>
          <w:p>
            <w:pPr>
              <w:spacing w:after="0" w:line="260"/>
            </w:pPr>
            <w:r>
              <w:rPr>
                <w:rFonts w:ascii="Times New Roman" w:cs="Times New Roman" w:eastAsia="Times New Roman" w:hAnsi="Times New Roman"/>
                <w:sz w:val="20"/>
                <w:szCs w:val="20"/>
              </w:rPr>
              <w:t xml:space="preserve">Ingestion and API</w:t>
            </w:r>
          </w:p>
        </w:tc>
        <w:tc>
          <w:tcPr>
            <w:tcW w:type="dxa" w:w="4500"/>
            <w:tcMar>
              <w:top w:type="dxa" w:w="70"/>
              <w:left w:type="dxa" w:w="100"/>
              <w:bottom w:type="dxa" w:w="70"/>
              <w:right w:type="dxa" w:w="100"/>
            </w:tcMar>
          </w:tcPr>
          <w:p>
            <w:pPr>
              <w:spacing w:after="0" w:line="260"/>
            </w:pPr>
            <w:r>
              <w:rPr>
                <w:rFonts w:ascii="Times New Roman" w:cs="Times New Roman" w:eastAsia="Times New Roman" w:hAnsi="Times New Roman"/>
                <w:sz w:val="20"/>
                <w:szCs w:val="20"/>
              </w:rPr>
              <w:t xml:space="preserve">Signed ingestion endpoint and data services</w:t>
            </w:r>
          </w:p>
        </w:tc>
      </w:tr>
      <w:tr>
        <w:tc>
          <w:tcPr>
            <w:tcW w:type="dxa" w:w="700"/>
            <w:tcMar>
              <w:top w:type="dxa" w:w="70"/>
              <w:left w:type="dxa" w:w="100"/>
              <w:bottom w:type="dxa" w:w="70"/>
              <w:right w:type="dxa" w:w="100"/>
            </w:tcMar>
          </w:tcPr>
          <w:p>
            <w:pPr>
              <w:spacing w:after="0" w:line="260"/>
            </w:pPr>
            <w:r>
              <w:rPr>
                <w:rFonts w:ascii="Times New Roman" w:cs="Times New Roman" w:eastAsia="Times New Roman" w:hAnsi="Times New Roman"/>
                <w:sz w:val="20"/>
                <w:szCs w:val="20"/>
              </w:rPr>
              <w:t xml:space="preserve">M5</w:t>
            </w:r>
          </w:p>
        </w:tc>
        <w:tc>
          <w:tcPr>
            <w:tcW w:type="dxa" w:w="3200"/>
            <w:tcMar>
              <w:top w:type="dxa" w:w="70"/>
              <w:left w:type="dxa" w:w="100"/>
              <w:bottom w:type="dxa" w:w="70"/>
              <w:right w:type="dxa" w:w="100"/>
            </w:tcMar>
          </w:tcPr>
          <w:p>
            <w:pPr>
              <w:spacing w:after="0" w:line="260"/>
            </w:pPr>
            <w:r>
              <w:rPr>
                <w:rFonts w:ascii="Times New Roman" w:cs="Times New Roman" w:eastAsia="Times New Roman" w:hAnsi="Times New Roman"/>
                <w:sz w:val="20"/>
                <w:szCs w:val="20"/>
              </w:rPr>
              <w:t xml:space="preserve">Authentication and access control</w:t>
            </w:r>
          </w:p>
        </w:tc>
        <w:tc>
          <w:tcPr>
            <w:tcW w:type="dxa" w:w="4500"/>
            <w:tcMar>
              <w:top w:type="dxa" w:w="70"/>
              <w:left w:type="dxa" w:w="100"/>
              <w:bottom w:type="dxa" w:w="70"/>
              <w:right w:type="dxa" w:w="100"/>
            </w:tcMar>
          </w:tcPr>
          <w:p>
            <w:pPr>
              <w:spacing w:after="0" w:line="260"/>
            </w:pPr>
            <w:r>
              <w:rPr>
                <w:rFonts w:ascii="Times New Roman" w:cs="Times New Roman" w:eastAsia="Times New Roman" w:hAnsi="Times New Roman"/>
                <w:sz w:val="20"/>
                <w:szCs w:val="20"/>
              </w:rPr>
              <w:t xml:space="preserve">Accounts, sessions, three roles</w:t>
            </w:r>
          </w:p>
        </w:tc>
      </w:tr>
      <w:tr>
        <w:tc>
          <w:tcPr>
            <w:tcW w:type="dxa" w:w="700"/>
            <w:tcMar>
              <w:top w:type="dxa" w:w="70"/>
              <w:left w:type="dxa" w:w="100"/>
              <w:bottom w:type="dxa" w:w="70"/>
              <w:right w:type="dxa" w:w="100"/>
            </w:tcMar>
          </w:tcPr>
          <w:p>
            <w:pPr>
              <w:spacing w:after="0" w:line="260"/>
            </w:pPr>
            <w:r>
              <w:rPr>
                <w:rFonts w:ascii="Times New Roman" w:cs="Times New Roman" w:eastAsia="Times New Roman" w:hAnsi="Times New Roman"/>
                <w:sz w:val="20"/>
                <w:szCs w:val="20"/>
              </w:rPr>
              <w:t xml:space="preserve">M6</w:t>
            </w:r>
          </w:p>
        </w:tc>
        <w:tc>
          <w:tcPr>
            <w:tcW w:type="dxa" w:w="3200"/>
            <w:tcMar>
              <w:top w:type="dxa" w:w="70"/>
              <w:left w:type="dxa" w:w="100"/>
              <w:bottom w:type="dxa" w:w="70"/>
              <w:right w:type="dxa" w:w="100"/>
            </w:tcMar>
          </w:tcPr>
          <w:p>
            <w:pPr>
              <w:spacing w:after="0" w:line="260"/>
            </w:pPr>
            <w:r>
              <w:rPr>
                <w:rFonts w:ascii="Times New Roman" w:cs="Times New Roman" w:eastAsia="Times New Roman" w:hAnsi="Times New Roman"/>
                <w:sz w:val="20"/>
                <w:szCs w:val="20"/>
              </w:rPr>
              <w:t xml:space="preserve">Web interfaces</w:t>
            </w:r>
          </w:p>
        </w:tc>
        <w:tc>
          <w:tcPr>
            <w:tcW w:type="dxa" w:w="4500"/>
            <w:tcMar>
              <w:top w:type="dxa" w:w="70"/>
              <w:left w:type="dxa" w:w="100"/>
              <w:bottom w:type="dxa" w:w="70"/>
              <w:right w:type="dxa" w:w="100"/>
            </w:tcMar>
          </w:tcPr>
          <w:p>
            <w:pPr>
              <w:spacing w:after="0" w:line="260"/>
            </w:pPr>
            <w:r>
              <w:rPr>
                <w:rFonts w:ascii="Times New Roman" w:cs="Times New Roman" w:eastAsia="Times New Roman" w:hAnsi="Times New Roman"/>
                <w:sz w:val="20"/>
                <w:szCs w:val="20"/>
              </w:rPr>
              <w:t xml:space="preserve">Public, resident and administrative portals</w:t>
            </w:r>
          </w:p>
        </w:tc>
      </w:tr>
      <w:tr>
        <w:tc>
          <w:tcPr>
            <w:tcW w:type="dxa" w:w="700"/>
            <w:tcMar>
              <w:top w:type="dxa" w:w="70"/>
              <w:left w:type="dxa" w:w="100"/>
              <w:bottom w:type="dxa" w:w="70"/>
              <w:right w:type="dxa" w:w="100"/>
            </w:tcMar>
          </w:tcPr>
          <w:p>
            <w:pPr>
              <w:spacing w:after="0" w:line="260"/>
            </w:pPr>
            <w:r>
              <w:rPr>
                <w:rFonts w:ascii="Times New Roman" w:cs="Times New Roman" w:eastAsia="Times New Roman" w:hAnsi="Times New Roman"/>
                <w:sz w:val="20"/>
                <w:szCs w:val="20"/>
              </w:rPr>
              <w:t xml:space="preserve">M7</w:t>
            </w:r>
          </w:p>
        </w:tc>
        <w:tc>
          <w:tcPr>
            <w:tcW w:type="dxa" w:w="3200"/>
            <w:tcMar>
              <w:top w:type="dxa" w:w="70"/>
              <w:left w:type="dxa" w:w="100"/>
              <w:bottom w:type="dxa" w:w="70"/>
              <w:right w:type="dxa" w:w="100"/>
            </w:tcMar>
          </w:tcPr>
          <w:p>
            <w:pPr>
              <w:spacing w:after="0" w:line="260"/>
            </w:pPr>
            <w:r>
              <w:rPr>
                <w:rFonts w:ascii="Times New Roman" w:cs="Times New Roman" w:eastAsia="Times New Roman" w:hAnsi="Times New Roman"/>
                <w:sz w:val="20"/>
                <w:szCs w:val="20"/>
              </w:rPr>
              <w:t xml:space="preserve">Alerting subsystem</w:t>
            </w:r>
          </w:p>
        </w:tc>
        <w:tc>
          <w:tcPr>
            <w:tcW w:type="dxa" w:w="4500"/>
            <w:tcMar>
              <w:top w:type="dxa" w:w="70"/>
              <w:left w:type="dxa" w:w="100"/>
              <w:bottom w:type="dxa" w:w="70"/>
              <w:right w:type="dxa" w:w="100"/>
            </w:tcMar>
          </w:tcPr>
          <w:p>
            <w:pPr>
              <w:spacing w:after="0" w:line="260"/>
            </w:pPr>
            <w:r>
              <w:rPr>
                <w:rFonts w:ascii="Times New Roman" w:cs="Times New Roman" w:eastAsia="Times New Roman" w:hAnsi="Times New Roman"/>
                <w:sz w:val="20"/>
                <w:szCs w:val="20"/>
              </w:rPr>
              <w:t xml:space="preserve">Thresholds, incidents, notification channels</w:t>
            </w:r>
          </w:p>
        </w:tc>
      </w:tr>
      <w:tr>
        <w:tc>
          <w:tcPr>
            <w:tcW w:type="dxa" w:w="700"/>
            <w:tcMar>
              <w:top w:type="dxa" w:w="70"/>
              <w:left w:type="dxa" w:w="100"/>
              <w:bottom w:type="dxa" w:w="70"/>
              <w:right w:type="dxa" w:w="100"/>
            </w:tcMar>
          </w:tcPr>
          <w:p>
            <w:pPr>
              <w:spacing w:after="0" w:line="260"/>
            </w:pPr>
            <w:r>
              <w:rPr>
                <w:rFonts w:ascii="Times New Roman" w:cs="Times New Roman" w:eastAsia="Times New Roman" w:hAnsi="Times New Roman"/>
                <w:sz w:val="20"/>
                <w:szCs w:val="20"/>
              </w:rPr>
              <w:t xml:space="preserve">M8</w:t>
            </w:r>
          </w:p>
        </w:tc>
        <w:tc>
          <w:tcPr>
            <w:tcW w:type="dxa" w:w="3200"/>
            <w:tcMar>
              <w:top w:type="dxa" w:w="70"/>
              <w:left w:type="dxa" w:w="100"/>
              <w:bottom w:type="dxa" w:w="70"/>
              <w:right w:type="dxa" w:w="100"/>
            </w:tcMar>
          </w:tcPr>
          <w:p>
            <w:pPr>
              <w:spacing w:after="0" w:line="260"/>
            </w:pPr>
            <w:r>
              <w:rPr>
                <w:rFonts w:ascii="Times New Roman" w:cs="Times New Roman" w:eastAsia="Times New Roman" w:hAnsi="Times New Roman"/>
                <w:sz w:val="20"/>
                <w:szCs w:val="20"/>
              </w:rPr>
              <w:t xml:space="preserve">Edge firmware</w:t>
            </w:r>
          </w:p>
        </w:tc>
        <w:tc>
          <w:tcPr>
            <w:tcW w:type="dxa" w:w="4500"/>
            <w:tcMar>
              <w:top w:type="dxa" w:w="70"/>
              <w:left w:type="dxa" w:w="100"/>
              <w:bottom w:type="dxa" w:w="70"/>
              <w:right w:type="dxa" w:w="100"/>
            </w:tcMar>
          </w:tcPr>
          <w:p>
            <w:pPr>
              <w:spacing w:after="0" w:line="260"/>
            </w:pPr>
            <w:r>
              <w:rPr>
                <w:rFonts w:ascii="Times New Roman" w:cs="Times New Roman" w:eastAsia="Times New Roman" w:hAnsi="Times New Roman"/>
                <w:sz w:val="20"/>
                <w:szCs w:val="20"/>
              </w:rPr>
              <w:t xml:space="preserve">Sampling, signing, buffering, actuation</w:t>
            </w:r>
          </w:p>
        </w:tc>
      </w:tr>
      <w:tr>
        <w:tc>
          <w:tcPr>
            <w:tcW w:type="dxa" w:w="700"/>
            <w:tcMar>
              <w:top w:type="dxa" w:w="70"/>
              <w:left w:type="dxa" w:w="100"/>
              <w:bottom w:type="dxa" w:w="70"/>
              <w:right w:type="dxa" w:w="100"/>
            </w:tcMar>
          </w:tcPr>
          <w:p>
            <w:pPr>
              <w:spacing w:after="0" w:line="260"/>
            </w:pPr>
            <w:r>
              <w:rPr>
                <w:rFonts w:ascii="Times New Roman" w:cs="Times New Roman" w:eastAsia="Times New Roman" w:hAnsi="Times New Roman"/>
                <w:sz w:val="20"/>
                <w:szCs w:val="20"/>
              </w:rPr>
              <w:t xml:space="preserve">M9</w:t>
            </w:r>
          </w:p>
        </w:tc>
        <w:tc>
          <w:tcPr>
            <w:tcW w:type="dxa" w:w="3200"/>
            <w:tcMar>
              <w:top w:type="dxa" w:w="70"/>
              <w:left w:type="dxa" w:w="100"/>
              <w:bottom w:type="dxa" w:w="70"/>
              <w:right w:type="dxa" w:w="100"/>
            </w:tcMar>
          </w:tcPr>
          <w:p>
            <w:pPr>
              <w:spacing w:after="0" w:line="260"/>
            </w:pPr>
            <w:r>
              <w:rPr>
                <w:rFonts w:ascii="Times New Roman" w:cs="Times New Roman" w:eastAsia="Times New Roman" w:hAnsi="Times New Roman"/>
                <w:sz w:val="20"/>
                <w:szCs w:val="20"/>
              </w:rPr>
              <w:t xml:space="preserve">Predictive component</w:t>
            </w:r>
          </w:p>
        </w:tc>
        <w:tc>
          <w:tcPr>
            <w:tcW w:type="dxa" w:w="4500"/>
            <w:tcMar>
              <w:top w:type="dxa" w:w="70"/>
              <w:left w:type="dxa" w:w="100"/>
              <w:bottom w:type="dxa" w:w="70"/>
              <w:right w:type="dxa" w:w="100"/>
            </w:tcMar>
          </w:tcPr>
          <w:p>
            <w:pPr>
              <w:spacing w:after="0" w:line="260"/>
            </w:pPr>
            <w:r>
              <w:rPr>
                <w:rFonts w:ascii="Times New Roman" w:cs="Times New Roman" w:eastAsia="Times New Roman" w:hAnsi="Times New Roman"/>
                <w:sz w:val="20"/>
                <w:szCs w:val="20"/>
              </w:rPr>
              <w:t xml:space="preserve">Forecasting model with fallback tiers</w:t>
            </w:r>
          </w:p>
        </w:tc>
      </w:tr>
      <w:tr>
        <w:tc>
          <w:tcPr>
            <w:tcW w:type="dxa" w:w="700"/>
            <w:tcMar>
              <w:top w:type="dxa" w:w="70"/>
              <w:left w:type="dxa" w:w="100"/>
              <w:bottom w:type="dxa" w:w="70"/>
              <w:right w:type="dxa" w:w="100"/>
            </w:tcMar>
          </w:tcPr>
          <w:p>
            <w:pPr>
              <w:spacing w:after="0" w:line="260"/>
            </w:pPr>
            <w:r>
              <w:rPr>
                <w:rFonts w:ascii="Times New Roman" w:cs="Times New Roman" w:eastAsia="Times New Roman" w:hAnsi="Times New Roman"/>
                <w:sz w:val="20"/>
                <w:szCs w:val="20"/>
              </w:rPr>
              <w:t xml:space="preserve">M10</w:t>
            </w:r>
          </w:p>
        </w:tc>
        <w:tc>
          <w:tcPr>
            <w:tcW w:type="dxa" w:w="3200"/>
            <w:tcMar>
              <w:top w:type="dxa" w:w="70"/>
              <w:left w:type="dxa" w:w="100"/>
              <w:bottom w:type="dxa" w:w="70"/>
              <w:right w:type="dxa" w:w="100"/>
            </w:tcMar>
          </w:tcPr>
          <w:p>
            <w:pPr>
              <w:spacing w:after="0" w:line="260"/>
            </w:pPr>
            <w:r>
              <w:rPr>
                <w:rFonts w:ascii="Times New Roman" w:cs="Times New Roman" w:eastAsia="Times New Roman" w:hAnsi="Times New Roman"/>
                <w:sz w:val="20"/>
                <w:szCs w:val="20"/>
              </w:rPr>
              <w:t xml:space="preserve">Testing</w:t>
            </w:r>
          </w:p>
        </w:tc>
        <w:tc>
          <w:tcPr>
            <w:tcW w:type="dxa" w:w="4500"/>
            <w:tcMar>
              <w:top w:type="dxa" w:w="70"/>
              <w:left w:type="dxa" w:w="100"/>
              <w:bottom w:type="dxa" w:w="70"/>
              <w:right w:type="dxa" w:w="100"/>
            </w:tcMar>
          </w:tcPr>
          <w:p>
            <w:pPr>
              <w:spacing w:after="0" w:line="260"/>
            </w:pPr>
            <w:r>
              <w:rPr>
                <w:rFonts w:ascii="Times New Roman" w:cs="Times New Roman" w:eastAsia="Times New Roman" w:hAnsi="Times New Roman"/>
                <w:sz w:val="20"/>
                <w:szCs w:val="20"/>
              </w:rPr>
              <w:t xml:space="preserve">Test cases executed and defects resolved</w:t>
            </w:r>
          </w:p>
        </w:tc>
      </w:tr>
      <w:tr>
        <w:tc>
          <w:tcPr>
            <w:tcW w:type="dxa" w:w="700"/>
            <w:tcMar>
              <w:top w:type="dxa" w:w="70"/>
              <w:left w:type="dxa" w:w="100"/>
              <w:bottom w:type="dxa" w:w="70"/>
              <w:right w:type="dxa" w:w="100"/>
            </w:tcMar>
          </w:tcPr>
          <w:p>
            <w:pPr>
              <w:spacing w:after="0" w:line="260"/>
            </w:pPr>
            <w:r>
              <w:rPr>
                <w:rFonts w:ascii="Times New Roman" w:cs="Times New Roman" w:eastAsia="Times New Roman" w:hAnsi="Times New Roman"/>
                <w:sz w:val="20"/>
                <w:szCs w:val="20"/>
              </w:rPr>
              <w:t xml:space="preserve">M11</w:t>
            </w:r>
          </w:p>
        </w:tc>
        <w:tc>
          <w:tcPr>
            <w:tcW w:type="dxa" w:w="3200"/>
            <w:tcMar>
              <w:top w:type="dxa" w:w="70"/>
              <w:left w:type="dxa" w:w="100"/>
              <w:bottom w:type="dxa" w:w="70"/>
              <w:right w:type="dxa" w:w="100"/>
            </w:tcMar>
          </w:tcPr>
          <w:p>
            <w:pPr>
              <w:spacing w:after="0" w:line="260"/>
            </w:pPr>
            <w:r>
              <w:rPr>
                <w:rFonts w:ascii="Times New Roman" w:cs="Times New Roman" w:eastAsia="Times New Roman" w:hAnsi="Times New Roman"/>
                <w:sz w:val="20"/>
                <w:szCs w:val="20"/>
              </w:rPr>
              <w:t xml:space="preserve">Hardware commissioning</w:t>
            </w:r>
          </w:p>
        </w:tc>
        <w:tc>
          <w:tcPr>
            <w:tcW w:type="dxa" w:w="4500"/>
            <w:tcMar>
              <w:top w:type="dxa" w:w="70"/>
              <w:left w:type="dxa" w:w="100"/>
              <w:bottom w:type="dxa" w:w="70"/>
              <w:right w:type="dxa" w:w="100"/>
            </w:tcMar>
          </w:tcPr>
          <w:p>
            <w:pPr>
              <w:spacing w:after="0" w:line="260"/>
            </w:pPr>
            <w:r>
              <w:rPr>
                <w:rFonts w:ascii="Times New Roman" w:cs="Times New Roman" w:eastAsia="Times New Roman" w:hAnsi="Times New Roman"/>
                <w:sz w:val="20"/>
                <w:szCs w:val="20"/>
              </w:rPr>
              <w:t xml:space="preserve">Physical node assembled and reporting</w:t>
            </w:r>
          </w:p>
        </w:tc>
      </w:tr>
      <w:tr>
        <w:tc>
          <w:tcPr>
            <w:tcW w:type="dxa" w:w="700"/>
            <w:tcMar>
              <w:top w:type="dxa" w:w="70"/>
              <w:left w:type="dxa" w:w="100"/>
              <w:bottom w:type="dxa" w:w="70"/>
              <w:right w:type="dxa" w:w="100"/>
            </w:tcMar>
          </w:tcPr>
          <w:p>
            <w:pPr>
              <w:spacing w:after="0" w:line="260"/>
            </w:pPr>
            <w:r>
              <w:rPr>
                <w:rFonts w:ascii="Times New Roman" w:cs="Times New Roman" w:eastAsia="Times New Roman" w:hAnsi="Times New Roman"/>
                <w:sz w:val="20"/>
                <w:szCs w:val="20"/>
              </w:rPr>
              <w:t xml:space="preserve">M12</w:t>
            </w:r>
          </w:p>
        </w:tc>
        <w:tc>
          <w:tcPr>
            <w:tcW w:type="dxa" w:w="3200"/>
            <w:tcMar>
              <w:top w:type="dxa" w:w="70"/>
              <w:left w:type="dxa" w:w="100"/>
              <w:bottom w:type="dxa" w:w="70"/>
              <w:right w:type="dxa" w:w="100"/>
            </w:tcMar>
          </w:tcPr>
          <w:p>
            <w:pPr>
              <w:spacing w:after="0" w:line="260"/>
            </w:pPr>
            <w:r>
              <w:rPr>
                <w:rFonts w:ascii="Times New Roman" w:cs="Times New Roman" w:eastAsia="Times New Roman" w:hAnsi="Times New Roman"/>
                <w:sz w:val="20"/>
                <w:szCs w:val="20"/>
              </w:rPr>
              <w:t xml:space="preserve">Documentation</w:t>
            </w:r>
          </w:p>
        </w:tc>
        <w:tc>
          <w:tcPr>
            <w:tcW w:type="dxa" w:w="4500"/>
            <w:tcMar>
              <w:top w:type="dxa" w:w="70"/>
              <w:left w:type="dxa" w:w="100"/>
              <w:bottom w:type="dxa" w:w="70"/>
              <w:right w:type="dxa" w:w="100"/>
            </w:tcMar>
          </w:tcPr>
          <w:p>
            <w:pPr>
              <w:spacing w:after="0" w:line="260"/>
            </w:pPr>
            <w:r>
              <w:rPr>
                <w:rFonts w:ascii="Times New Roman" w:cs="Times New Roman" w:eastAsia="Times New Roman" w:hAnsi="Times New Roman"/>
                <w:sz w:val="20"/>
                <w:szCs w:val="20"/>
              </w:rPr>
              <w:t xml:space="preserve">Project report</w:t>
            </w:r>
          </w:p>
        </w:tc>
      </w:tr>
    </w:tbl>
    <w:p>
      <w:pPr>
        <w:pStyle w:val="Heading2"/>
        <w:spacing w:after="180" w:before="320"/>
      </w:pPr>
      <w:r>
        <w:rPr>
          <w:rFonts w:ascii="Times New Roman" w:cs="Times New Roman" w:eastAsia="Times New Roman" w:hAnsi="Times New Roman"/>
          <w:b/>
          <w:bCs/>
          <w:sz w:val="26"/>
          <w:szCs w:val="26"/>
        </w:rPr>
        <w:t xml:space="preserve">3.4 Conclusion</w:t>
      </w:r>
    </w:p>
    <w:p>
      <w:pPr>
        <w:spacing w:after="200" w:line="360"/>
        <w:jc w:val="both"/>
      </w:pPr>
      <w:r>
        <w:rPr>
          <w:rFonts w:ascii="Times New Roman" w:cs="Times New Roman" w:eastAsia="Times New Roman" w:hAnsi="Times New Roman"/>
          <w:color w:val="000000"/>
          <w:sz w:val="24"/>
          <w:szCs w:val="24"/>
        </w:rPr>
        <w:t xml:space="preserve">The iterative prototyping methodology suited a project whose constraints could not be fully established before implementation. Three platform limitations that emerged during construction were absorbed as design revisions rather than as failures, and each is documented with its resolution in Chapter 6.</w:t>
      </w:r>
    </w:p>
    <w:p>
      <w:r>
        <w:br w:type="page"/>
      </w:r>
    </w:p>
    <w:p>
      <w:pPr>
        <w:pStyle w:val="Heading1"/>
        <w:spacing w:after="260" w:before="400"/>
      </w:pPr>
      <w:r>
        <w:rPr>
          <w:rFonts w:ascii="Times New Roman" w:cs="Times New Roman" w:eastAsia="Times New Roman" w:hAnsi="Times New Roman"/>
          <w:b/>
          <w:bCs/>
          <w:sz w:val="32"/>
          <w:szCs w:val="32"/>
        </w:rPr>
        <w:t xml:space="preserve">CHAPTER 4: ANALYSIS AND INTERFACE DESIGN</w:t>
      </w:r>
    </w:p>
    <w:p>
      <w:pPr>
        <w:pStyle w:val="Heading2"/>
        <w:spacing w:after="180" w:before="320"/>
      </w:pPr>
      <w:r>
        <w:rPr>
          <w:rFonts w:ascii="Times New Roman" w:cs="Times New Roman" w:eastAsia="Times New Roman" w:hAnsi="Times New Roman"/>
          <w:b/>
          <w:bCs/>
          <w:sz w:val="26"/>
          <w:szCs w:val="26"/>
        </w:rPr>
        <w:t xml:space="preserve">4.1 Introduction</w:t>
      </w:r>
    </w:p>
    <w:p>
      <w:pPr>
        <w:spacing w:after="200" w:line="360"/>
        <w:jc w:val="both"/>
      </w:pPr>
      <w:r>
        <w:rPr>
          <w:rFonts w:ascii="Times New Roman" w:cs="Times New Roman" w:eastAsia="Times New Roman" w:hAnsi="Times New Roman"/>
          <w:color w:val="000000"/>
          <w:sz w:val="24"/>
          <w:szCs w:val="24"/>
        </w:rPr>
        <w:t xml:space="preserve">This chapter presents the analysis underlying the system design, the resulting architecture, the processing flow, and the design of the user interfaces.</w:t>
      </w:r>
    </w:p>
    <w:p>
      <w:pPr>
        <w:pStyle w:val="Heading2"/>
        <w:spacing w:after="180" w:before="320"/>
      </w:pPr>
      <w:r>
        <w:rPr>
          <w:rFonts w:ascii="Times New Roman" w:cs="Times New Roman" w:eastAsia="Times New Roman" w:hAnsi="Times New Roman"/>
          <w:b/>
          <w:bCs/>
          <w:sz w:val="26"/>
          <w:szCs w:val="26"/>
        </w:rPr>
        <w:t xml:space="preserve">4.2 Problem Analysis</w:t>
      </w:r>
    </w:p>
    <w:p>
      <w:pPr>
        <w:spacing w:after="200" w:line="360"/>
        <w:jc w:val="both"/>
      </w:pPr>
      <w:r>
        <w:rPr>
          <w:rFonts w:ascii="Times New Roman" w:cs="Times New Roman" w:eastAsia="Times New Roman" w:hAnsi="Times New Roman"/>
          <w:color w:val="000000"/>
          <w:sz w:val="24"/>
          <w:szCs w:val="24"/>
        </w:rPr>
        <w:t xml:space="preserve">Analysis of the problem statements identified four properties the system must possess.</w:t>
      </w:r>
    </w:p>
    <w:p>
      <w:pPr>
        <w:pStyle w:val="ListParagraph"/>
        <w:numPr>
          <w:ilvl w:val="0"/>
          <w:numId w:val="5"/>
        </w:numPr>
        <w:spacing w:after="140" w:line="340"/>
        <w:jc w:val="both"/>
      </w:pPr>
      <w:r>
        <w:rPr>
          <w:rFonts w:ascii="Times New Roman" w:cs="Times New Roman" w:eastAsia="Times New Roman" w:hAnsi="Times New Roman"/>
          <w:b/>
          <w:bCs/>
          <w:sz w:val="24"/>
          <w:szCs w:val="24"/>
        </w:rPr>
        <w:t xml:space="preserve">Verifiable provenance: </w:t>
      </w:r>
      <w:r>
        <w:rPr>
          <w:rFonts w:ascii="Times New Roman" w:cs="Times New Roman" w:eastAsia="Times New Roman" w:hAnsi="Times New Roman"/>
          <w:sz w:val="24"/>
          <w:szCs w:val="24"/>
        </w:rPr>
        <w:t xml:space="preserve">a reading must be attributable to specific hardware. If environmental data may be contested, a value that could have originated from any party holding a shared credential has limited evidential weight. This requirement led to message-level signing rather than bearer authentication.</w:t>
      </w:r>
    </w:p>
    <w:p>
      <w:pPr>
        <w:pStyle w:val="ListParagraph"/>
        <w:numPr>
          <w:ilvl w:val="0"/>
          <w:numId w:val="5"/>
        </w:numPr>
        <w:spacing w:after="140" w:line="340"/>
        <w:jc w:val="both"/>
      </w:pPr>
      <w:r>
        <w:rPr>
          <w:rFonts w:ascii="Times New Roman" w:cs="Times New Roman" w:eastAsia="Times New Roman" w:hAnsi="Times New Roman"/>
          <w:b/>
          <w:bCs/>
          <w:sz w:val="24"/>
          <w:szCs w:val="24"/>
        </w:rPr>
        <w:t xml:space="preserve">Continuity under failure: </w:t>
      </w:r>
      <w:r>
        <w:rPr>
          <w:rFonts w:ascii="Times New Roman" w:cs="Times New Roman" w:eastAsia="Times New Roman" w:hAnsi="Times New Roman"/>
          <w:sz w:val="24"/>
          <w:szCs w:val="24"/>
        </w:rPr>
        <w:t xml:space="preserve">measurement must not stop when the network does. A node that discards readings during an outage produces gaps, and outages are not independent of the conditions being measured. This requirement led to local buffering with sequence numbering.</w:t>
      </w:r>
    </w:p>
    <w:p>
      <w:pPr>
        <w:pStyle w:val="ListParagraph"/>
        <w:numPr>
          <w:ilvl w:val="0"/>
          <w:numId w:val="5"/>
        </w:numPr>
        <w:spacing w:after="140" w:line="340"/>
        <w:jc w:val="both"/>
      </w:pPr>
      <w:r>
        <w:rPr>
          <w:rFonts w:ascii="Times New Roman" w:cs="Times New Roman" w:eastAsia="Times New Roman" w:hAnsi="Times New Roman"/>
          <w:b/>
          <w:bCs/>
          <w:sz w:val="24"/>
          <w:szCs w:val="24"/>
        </w:rPr>
        <w:t xml:space="preserve">Autonomous response: </w:t>
      </w:r>
      <w:r>
        <w:rPr>
          <w:rFonts w:ascii="Times New Roman" w:cs="Times New Roman" w:eastAsia="Times New Roman" w:hAnsi="Times New Roman"/>
          <w:sz w:val="24"/>
          <w:szCs w:val="24"/>
        </w:rPr>
        <w:t xml:space="preserve">a hazardous condition must produce a response without waiting for a person. This requirement led to autonomous actuation decided on the node, so that ventilation responds even when connectivity is lost.</w:t>
      </w:r>
    </w:p>
    <w:p>
      <w:pPr>
        <w:pStyle w:val="ListParagraph"/>
        <w:numPr>
          <w:ilvl w:val="0"/>
          <w:numId w:val="5"/>
        </w:numPr>
        <w:spacing w:after="140" w:line="340"/>
        <w:jc w:val="both"/>
      </w:pPr>
      <w:r>
        <w:rPr>
          <w:rFonts w:ascii="Times New Roman" w:cs="Times New Roman" w:eastAsia="Times New Roman" w:hAnsi="Times New Roman"/>
          <w:b/>
          <w:bCs/>
          <w:sz w:val="24"/>
          <w:szCs w:val="24"/>
        </w:rPr>
        <w:t xml:space="preserve">Measurable reliability: </w:t>
      </w:r>
      <w:r>
        <w:rPr>
          <w:rFonts w:ascii="Times New Roman" w:cs="Times New Roman" w:eastAsia="Times New Roman" w:hAnsi="Times New Roman"/>
          <w:sz w:val="24"/>
          <w:szCs w:val="24"/>
        </w:rPr>
        <w:t xml:space="preserve">availability must be recorded rather than assumed. This requirement led to a probe writing observations to persistent storage at fixed intervals.</w:t>
      </w:r>
    </w:p>
    <w:p>
      <w:pPr>
        <w:pStyle w:val="Heading2"/>
        <w:spacing w:after="180" w:before="320"/>
      </w:pPr>
      <w:r>
        <w:rPr>
          <w:rFonts w:ascii="Times New Roman" w:cs="Times New Roman" w:eastAsia="Times New Roman" w:hAnsi="Times New Roman"/>
          <w:b/>
          <w:bCs/>
          <w:sz w:val="26"/>
          <w:szCs w:val="26"/>
        </w:rPr>
        <w:t xml:space="preserve">4.3 System Architecture</w:t>
      </w:r>
    </w:p>
    <w:p>
      <w:pPr>
        <w:spacing w:after="200" w:line="360"/>
        <w:jc w:val="both"/>
      </w:pPr>
      <w:r>
        <w:rPr>
          <w:rFonts w:ascii="Times New Roman" w:cs="Times New Roman" w:eastAsia="Times New Roman" w:hAnsi="Times New Roman"/>
          <w:color w:val="000000"/>
          <w:sz w:val="24"/>
          <w:szCs w:val="24"/>
        </w:rPr>
        <w:t xml:space="preserve">The system comprises four layers.</w:t>
      </w:r>
    </w:p>
    <w:p>
      <w:pPr>
        <w:spacing w:after="300" w:before="100"/>
        <w:jc w:val="center"/>
      </w:pPr>
      <w:r>
        <w:rPr>
          <w:rFonts w:ascii="Times New Roman" w:cs="Times New Roman" w:eastAsia="Times New Roman" w:hAnsi="Times New Roman"/>
          <w:b/>
          <w:bCs/>
          <w:sz w:val="21"/>
          <w:szCs w:val="21"/>
        </w:rPr>
        <w:t xml:space="preserve">TABLE 4.1: SYSTEM ARCHITECTURE LAYERS</w:t>
      </w:r>
    </w:p>
    <w:tbl>
      <w:tblPr>
        <w:tblW w:type="dxa" w:w="8400"/>
        <w:tblBorders>
          <w:top w:val="single" w:color="000000" w:sz="4"/>
          <w:left w:val="single" w:color="000000" w:sz="4"/>
          <w:bottom w:val="single" w:color="000000" w:sz="4"/>
          <w:right w:val="single" w:color="000000" w:sz="4"/>
          <w:insideH w:val="single" w:color="808080" w:sz="2"/>
          <w:insideV w:val="single" w:color="808080" w:sz="2"/>
        </w:tblBorders>
      </w:tblPr>
      <w:tblGrid>
        <w:gridCol w:w="1700"/>
        <w:gridCol w:w="3100"/>
        <w:gridCol w:w="3600"/>
      </w:tblGrid>
      <w:tr>
        <w:trPr>
          <w:tblHeader/>
        </w:trPr>
        <w:tc>
          <w:tcPr>
            <w:tcW w:type="dxa" w:w="1700"/>
            <w:shd w:fill="E8E8E8" w:val="clear"/>
            <w:tcMar>
              <w:top w:type="dxa" w:w="70"/>
              <w:left w:type="dxa" w:w="100"/>
              <w:bottom w:type="dxa" w:w="70"/>
              <w:right w:type="dxa" w:w="100"/>
            </w:tcMar>
          </w:tcPr>
          <w:p>
            <w:pPr>
              <w:spacing w:after="0" w:line="260"/>
            </w:pPr>
            <w:r>
              <w:rPr>
                <w:rFonts w:ascii="Times New Roman" w:cs="Times New Roman" w:eastAsia="Times New Roman" w:hAnsi="Times New Roman"/>
                <w:b/>
                <w:bCs/>
                <w:sz w:val="20"/>
                <w:szCs w:val="20"/>
              </w:rPr>
              <w:t xml:space="preserve">Layer</w:t>
            </w:r>
          </w:p>
        </w:tc>
        <w:tc>
          <w:tcPr>
            <w:tcW w:type="dxa" w:w="3100"/>
            <w:shd w:fill="E8E8E8" w:val="clear"/>
            <w:tcMar>
              <w:top w:type="dxa" w:w="70"/>
              <w:left w:type="dxa" w:w="100"/>
              <w:bottom w:type="dxa" w:w="70"/>
              <w:right w:type="dxa" w:w="100"/>
            </w:tcMar>
          </w:tcPr>
          <w:p>
            <w:pPr>
              <w:spacing w:after="0" w:line="260"/>
            </w:pPr>
            <w:r>
              <w:rPr>
                <w:rFonts w:ascii="Times New Roman" w:cs="Times New Roman" w:eastAsia="Times New Roman" w:hAnsi="Times New Roman"/>
                <w:b/>
                <w:bCs/>
                <w:sz w:val="20"/>
                <w:szCs w:val="20"/>
              </w:rPr>
              <w:t xml:space="preserve">Components</w:t>
            </w:r>
          </w:p>
        </w:tc>
        <w:tc>
          <w:tcPr>
            <w:tcW w:type="dxa" w:w="3600"/>
            <w:shd w:fill="E8E8E8" w:val="clear"/>
            <w:tcMar>
              <w:top w:type="dxa" w:w="70"/>
              <w:left w:type="dxa" w:w="100"/>
              <w:bottom w:type="dxa" w:w="70"/>
              <w:right w:type="dxa" w:w="100"/>
            </w:tcMar>
          </w:tcPr>
          <w:p>
            <w:pPr>
              <w:spacing w:after="0" w:line="260"/>
            </w:pPr>
            <w:r>
              <w:rPr>
                <w:rFonts w:ascii="Times New Roman" w:cs="Times New Roman" w:eastAsia="Times New Roman" w:hAnsi="Times New Roman"/>
                <w:b/>
                <w:bCs/>
                <w:sz w:val="20"/>
                <w:szCs w:val="20"/>
              </w:rPr>
              <w:t xml:space="preserve">Responsibility</w:t>
            </w:r>
          </w:p>
        </w:tc>
      </w:tr>
      <w:tr>
        <w:tc>
          <w:tcPr>
            <w:tcW w:type="dxa" w:w="1700"/>
            <w:tcMar>
              <w:top w:type="dxa" w:w="70"/>
              <w:left w:type="dxa" w:w="100"/>
              <w:bottom w:type="dxa" w:w="70"/>
              <w:right w:type="dxa" w:w="100"/>
            </w:tcMar>
          </w:tcPr>
          <w:p>
            <w:pPr>
              <w:spacing w:after="0" w:line="260"/>
            </w:pPr>
            <w:r>
              <w:rPr>
                <w:rFonts w:ascii="Times New Roman" w:cs="Times New Roman" w:eastAsia="Times New Roman" w:hAnsi="Times New Roman"/>
                <w:sz w:val="20"/>
                <w:szCs w:val="20"/>
              </w:rPr>
              <w:t xml:space="preserve">Edge</w:t>
            </w:r>
          </w:p>
        </w:tc>
        <w:tc>
          <w:tcPr>
            <w:tcW w:type="dxa" w:w="3100"/>
            <w:tcMar>
              <w:top w:type="dxa" w:w="70"/>
              <w:left w:type="dxa" w:w="100"/>
              <w:bottom w:type="dxa" w:w="70"/>
              <w:right w:type="dxa" w:w="100"/>
            </w:tcMar>
          </w:tcPr>
          <w:p>
            <w:pPr>
              <w:spacing w:after="0" w:line="260"/>
            </w:pPr>
            <w:r>
              <w:rPr>
                <w:rFonts w:ascii="Times New Roman" w:cs="Times New Roman" w:eastAsia="Times New Roman" w:hAnsi="Times New Roman"/>
                <w:sz w:val="20"/>
                <w:szCs w:val="20"/>
              </w:rPr>
              <w:t xml:space="preserve">ESP32 node, gas and climate sensors, relay</w:t>
            </w:r>
          </w:p>
        </w:tc>
        <w:tc>
          <w:tcPr>
            <w:tcW w:type="dxa" w:w="3600"/>
            <w:tcMar>
              <w:top w:type="dxa" w:w="70"/>
              <w:left w:type="dxa" w:w="100"/>
              <w:bottom w:type="dxa" w:w="70"/>
              <w:right w:type="dxa" w:w="100"/>
            </w:tcMar>
          </w:tcPr>
          <w:p>
            <w:pPr>
              <w:spacing w:after="0" w:line="260"/>
            </w:pPr>
            <w:r>
              <w:rPr>
                <w:rFonts w:ascii="Times New Roman" w:cs="Times New Roman" w:eastAsia="Times New Roman" w:hAnsi="Times New Roman"/>
                <w:sz w:val="20"/>
                <w:szCs w:val="20"/>
              </w:rPr>
              <w:t xml:space="preserve">Sampling, signing, buffering, local actuation</w:t>
            </w:r>
          </w:p>
        </w:tc>
      </w:tr>
      <w:tr>
        <w:tc>
          <w:tcPr>
            <w:tcW w:type="dxa" w:w="1700"/>
            <w:tcMar>
              <w:top w:type="dxa" w:w="70"/>
              <w:left w:type="dxa" w:w="100"/>
              <w:bottom w:type="dxa" w:w="70"/>
              <w:right w:type="dxa" w:w="100"/>
            </w:tcMar>
          </w:tcPr>
          <w:p>
            <w:pPr>
              <w:spacing w:after="0" w:line="260"/>
            </w:pPr>
            <w:r>
              <w:rPr>
                <w:rFonts w:ascii="Times New Roman" w:cs="Times New Roman" w:eastAsia="Times New Roman" w:hAnsi="Times New Roman"/>
                <w:sz w:val="20"/>
                <w:szCs w:val="20"/>
              </w:rPr>
              <w:t xml:space="preserve">Compute and storage</w:t>
            </w:r>
          </w:p>
        </w:tc>
        <w:tc>
          <w:tcPr>
            <w:tcW w:type="dxa" w:w="3100"/>
            <w:tcMar>
              <w:top w:type="dxa" w:w="70"/>
              <w:left w:type="dxa" w:w="100"/>
              <w:bottom w:type="dxa" w:w="70"/>
              <w:right w:type="dxa" w:w="100"/>
            </w:tcMar>
          </w:tcPr>
          <w:p>
            <w:pPr>
              <w:spacing w:after="0" w:line="260"/>
            </w:pPr>
            <w:r>
              <w:rPr>
                <w:rFonts w:ascii="Times New Roman" w:cs="Times New Roman" w:eastAsia="Times New Roman" w:hAnsi="Times New Roman"/>
                <w:sz w:val="20"/>
                <w:szCs w:val="20"/>
              </w:rPr>
              <w:t xml:space="preserve">Edge functions, database, object storage, key-value store</w:t>
            </w:r>
          </w:p>
        </w:tc>
        <w:tc>
          <w:tcPr>
            <w:tcW w:type="dxa" w:w="3600"/>
            <w:tcMar>
              <w:top w:type="dxa" w:w="70"/>
              <w:left w:type="dxa" w:w="100"/>
              <w:bottom w:type="dxa" w:w="70"/>
              <w:right w:type="dxa" w:w="100"/>
            </w:tcMar>
          </w:tcPr>
          <w:p>
            <w:pPr>
              <w:spacing w:after="0" w:line="260"/>
            </w:pPr>
            <w:r>
              <w:rPr>
                <w:rFonts w:ascii="Times New Roman" w:cs="Times New Roman" w:eastAsia="Times New Roman" w:hAnsi="Times New Roman"/>
                <w:sz w:val="20"/>
                <w:szCs w:val="20"/>
              </w:rPr>
              <w:t xml:space="preserve">Verification, persistence, evaluation, notification</w:t>
            </w:r>
          </w:p>
        </w:tc>
      </w:tr>
      <w:tr>
        <w:tc>
          <w:tcPr>
            <w:tcW w:type="dxa" w:w="1700"/>
            <w:tcMar>
              <w:top w:type="dxa" w:w="70"/>
              <w:left w:type="dxa" w:w="100"/>
              <w:bottom w:type="dxa" w:w="70"/>
              <w:right w:type="dxa" w:w="100"/>
            </w:tcMar>
          </w:tcPr>
          <w:p>
            <w:pPr>
              <w:spacing w:after="0" w:line="260"/>
            </w:pPr>
            <w:r>
              <w:rPr>
                <w:rFonts w:ascii="Times New Roman" w:cs="Times New Roman" w:eastAsia="Times New Roman" w:hAnsi="Times New Roman"/>
                <w:sz w:val="20"/>
                <w:szCs w:val="20"/>
              </w:rPr>
              <w:t xml:space="preserve">Presentation</w:t>
            </w:r>
          </w:p>
        </w:tc>
        <w:tc>
          <w:tcPr>
            <w:tcW w:type="dxa" w:w="3100"/>
            <w:tcMar>
              <w:top w:type="dxa" w:w="70"/>
              <w:left w:type="dxa" w:w="100"/>
              <w:bottom w:type="dxa" w:w="70"/>
              <w:right w:type="dxa" w:w="100"/>
            </w:tcMar>
          </w:tcPr>
          <w:p>
            <w:pPr>
              <w:spacing w:after="0" w:line="260"/>
            </w:pPr>
            <w:r>
              <w:rPr>
                <w:rFonts w:ascii="Times New Roman" w:cs="Times New Roman" w:eastAsia="Times New Roman" w:hAnsi="Times New Roman"/>
                <w:sz w:val="20"/>
                <w:szCs w:val="20"/>
              </w:rPr>
              <w:t xml:space="preserve">Public view, resident portal, administrative portal</w:t>
            </w:r>
          </w:p>
        </w:tc>
        <w:tc>
          <w:tcPr>
            <w:tcW w:type="dxa" w:w="3600"/>
            <w:tcMar>
              <w:top w:type="dxa" w:w="70"/>
              <w:left w:type="dxa" w:w="100"/>
              <w:bottom w:type="dxa" w:w="70"/>
              <w:right w:type="dxa" w:w="100"/>
            </w:tcMar>
          </w:tcPr>
          <w:p>
            <w:pPr>
              <w:spacing w:after="0" w:line="260"/>
            </w:pPr>
            <w:r>
              <w:rPr>
                <w:rFonts w:ascii="Times New Roman" w:cs="Times New Roman" w:eastAsia="Times New Roman" w:hAnsi="Times New Roman"/>
                <w:sz w:val="20"/>
                <w:szCs w:val="20"/>
              </w:rPr>
              <w:t xml:space="preserve">Visualisation, historical query, administration</w:t>
            </w:r>
          </w:p>
        </w:tc>
      </w:tr>
      <w:tr>
        <w:tc>
          <w:tcPr>
            <w:tcW w:type="dxa" w:w="1700"/>
            <w:tcMar>
              <w:top w:type="dxa" w:w="70"/>
              <w:left w:type="dxa" w:w="100"/>
              <w:bottom w:type="dxa" w:w="70"/>
              <w:right w:type="dxa" w:w="100"/>
            </w:tcMar>
          </w:tcPr>
          <w:p>
            <w:pPr>
              <w:spacing w:after="0" w:line="260"/>
            </w:pPr>
            <w:r>
              <w:rPr>
                <w:rFonts w:ascii="Times New Roman" w:cs="Times New Roman" w:eastAsia="Times New Roman" w:hAnsi="Times New Roman"/>
                <w:sz w:val="20"/>
                <w:szCs w:val="20"/>
              </w:rPr>
              <w:t xml:space="preserve">Analytical</w:t>
            </w:r>
          </w:p>
        </w:tc>
        <w:tc>
          <w:tcPr>
            <w:tcW w:type="dxa" w:w="3100"/>
            <w:tcMar>
              <w:top w:type="dxa" w:w="70"/>
              <w:left w:type="dxa" w:w="100"/>
              <w:bottom w:type="dxa" w:w="70"/>
              <w:right w:type="dxa" w:w="100"/>
            </w:tcMar>
          </w:tcPr>
          <w:p>
            <w:pPr>
              <w:spacing w:after="0" w:line="260"/>
            </w:pPr>
            <w:r>
              <w:rPr>
                <w:rFonts w:ascii="Times New Roman" w:cs="Times New Roman" w:eastAsia="Times New Roman" w:hAnsi="Times New Roman"/>
                <w:sz w:val="20"/>
                <w:szCs w:val="20"/>
              </w:rPr>
              <w:t xml:space="preserve">Compute sidecar</w:t>
            </w:r>
          </w:p>
        </w:tc>
        <w:tc>
          <w:tcPr>
            <w:tcW w:type="dxa" w:w="3600"/>
            <w:tcMar>
              <w:top w:type="dxa" w:w="70"/>
              <w:left w:type="dxa" w:w="100"/>
              <w:bottom w:type="dxa" w:w="70"/>
              <w:right w:type="dxa" w:w="100"/>
            </w:tcMar>
          </w:tcPr>
          <w:p>
            <w:pPr>
              <w:spacing w:after="0" w:line="260"/>
            </w:pPr>
            <w:r>
              <w:rPr>
                <w:rFonts w:ascii="Times New Roman" w:cs="Times New Roman" w:eastAsia="Times New Roman" w:hAnsi="Times New Roman"/>
                <w:sz w:val="20"/>
                <w:szCs w:val="20"/>
              </w:rPr>
              <w:t xml:space="preserve">Forecasting, compliance report generation</w:t>
            </w:r>
          </w:p>
        </w:tc>
      </w:tr>
    </w:tbl>
    <w:p>
      <w:pPr>
        <w:spacing w:after="200" w:line="360"/>
        <w:jc w:val="both"/>
      </w:pPr>
      <w:r>
        <w:rPr>
          <w:rFonts w:ascii="Times New Roman" w:cs="Times New Roman" w:eastAsia="Times New Roman" w:hAnsi="Times New Roman"/>
          <w:color w:val="000000"/>
          <w:sz w:val="24"/>
          <w:szCs w:val="24"/>
        </w:rPr>
        <w:t xml:space="preserve">Data flows as follows:</w:t>
      </w:r>
    </w:p>
    <w:p>
      <w:pPr>
        <w:shd w:fill="F2F2F2" w:val="clear"/>
        <w:spacing w:after="60"/>
      </w:pPr>
      <w:r>
        <w:rPr>
          <w:rFonts w:ascii="Courier New" w:cs="Courier New" w:eastAsia="Courier New" w:hAnsi="Courier New"/>
          <w:sz w:val="18"/>
          <w:szCs w:val="18"/>
        </w:rPr>
        <w:t xml:space="preserve">Sensor node  --HTTPS+HMAC--&gt;  Edge function  --&gt;  Database</w:t>
      </w:r>
    </w:p>
    <w:p>
      <w:pPr>
        <w:shd w:fill="F2F2F2" w:val="clear"/>
        <w:spacing w:after="60"/>
      </w:pPr>
      <w:r>
        <w:rPr>
          <w:rFonts w:ascii="Courier New" w:cs="Courier New" w:eastAsia="Courier New" w:hAnsi="Courier New"/>
          <w:sz w:val="18"/>
          <w:szCs w:val="18"/>
        </w:rPr>
        <w:t xml:space="preserve">                                    |</w:t>
      </w:r>
    </w:p>
    <w:p>
      <w:pPr>
        <w:shd w:fill="F2F2F2" w:val="clear"/>
        <w:spacing w:after="60"/>
      </w:pPr>
      <w:r>
        <w:rPr>
          <w:rFonts w:ascii="Courier New" w:cs="Courier New" w:eastAsia="Courier New" w:hAnsi="Courier New"/>
          <w:sz w:val="18"/>
          <w:szCs w:val="18"/>
        </w:rPr>
        <w:t xml:space="preserve">                                    +--&gt; Object storage (raw archive)</w:t>
      </w:r>
    </w:p>
    <w:p>
      <w:pPr>
        <w:shd w:fill="F2F2F2" w:val="clear"/>
        <w:spacing w:after="60"/>
      </w:pPr>
      <w:r>
        <w:rPr>
          <w:rFonts w:ascii="Courier New" w:cs="Courier New" w:eastAsia="Courier New" w:hAnsi="Courier New"/>
          <w:sz w:val="18"/>
          <w:szCs w:val="18"/>
        </w:rPr>
        <w:t xml:space="preserve">                                    +--&gt; Threshold evaluation --&gt; Incident</w:t>
      </w:r>
    </w:p>
    <w:p>
      <w:pPr>
        <w:shd w:fill="F2F2F2" w:val="clear"/>
        <w:spacing w:after="60"/>
      </w:pPr>
      <w:r>
        <w:rPr>
          <w:rFonts w:ascii="Courier New" w:cs="Courier New" w:eastAsia="Courier New" w:hAnsi="Courier New"/>
          <w:sz w:val="18"/>
          <w:szCs w:val="18"/>
        </w:rPr>
        <w:t xml:space="preserve">                                    |                              |</w:t>
      </w:r>
    </w:p>
    <w:p>
      <w:pPr>
        <w:shd w:fill="F2F2F2" w:val="clear"/>
        <w:spacing w:after="60"/>
      </w:pPr>
      <w:r>
        <w:rPr>
          <w:rFonts w:ascii="Courier New" w:cs="Courier New" w:eastAsia="Courier New" w:hAnsi="Courier New"/>
          <w:sz w:val="18"/>
          <w:szCs w:val="18"/>
        </w:rPr>
        <w:t xml:space="preserve">                                    |                              +--&gt; Telegram</w:t>
      </w:r>
    </w:p>
    <w:p>
      <w:pPr>
        <w:shd w:fill="F2F2F2" w:val="clear"/>
        <w:spacing w:after="60"/>
      </w:pPr>
      <w:r>
        <w:rPr>
          <w:rFonts w:ascii="Courier New" w:cs="Courier New" w:eastAsia="Courier New" w:hAnsi="Courier New"/>
          <w:sz w:val="18"/>
          <w:szCs w:val="18"/>
        </w:rPr>
        <w:t xml:space="preserve">                                    |                              +--&gt; Email</w:t>
      </w:r>
    </w:p>
    <w:p>
      <w:pPr>
        <w:shd w:fill="F2F2F2" w:val="clear"/>
        <w:spacing w:after="60"/>
      </w:pPr>
      <w:r>
        <w:rPr>
          <w:rFonts w:ascii="Courier New" w:cs="Courier New" w:eastAsia="Courier New" w:hAnsi="Courier New"/>
          <w:sz w:val="18"/>
          <w:szCs w:val="18"/>
        </w:rPr>
        <w:t xml:space="preserve">                                    +--&gt; Portals (public / resident / admin)</w:t>
      </w:r>
    </w:p>
    <w:p>
      <w:pPr>
        <w:spacing w:after="200" w:line="360"/>
        <w:jc w:val="both"/>
      </w:pPr>
      <w:r>
        <w:rPr>
          <w:rFonts w:ascii="Times New Roman" w:cs="Times New Roman" w:eastAsia="Times New Roman" w:hAnsi="Times New Roman"/>
          <w:color w:val="000000"/>
          <w:sz w:val="24"/>
          <w:szCs w:val="24"/>
        </w:rPr>
        <w:t xml:space="preserve">The raw payload is written to object storage before it is parsed. If a later schema change renders a stored record incorrect, the original bytes remain recoverable.</w:t>
      </w:r>
    </w:p>
    <w:p>
      <w:pPr>
        <w:spacing w:after="200" w:line="360"/>
        <w:jc w:val="both"/>
      </w:pPr>
      <w:r>
        <w:rPr>
          <w:rFonts w:ascii="Times New Roman" w:cs="Times New Roman" w:eastAsia="Times New Roman" w:hAnsi="Times New Roman"/>
          <w:color w:val="000000"/>
          <w:sz w:val="24"/>
          <w:szCs w:val="24"/>
        </w:rPr>
        <w:t xml:space="preserve">The analytical layer is deliberately not on the critical path. If the compute sidecar is unavailable, forecasts become stale and report generation fails, while ingestion, evaluation, alerting and all three portals continue to function.</w:t>
      </w:r>
    </w:p>
    <w:p>
      <w:pPr>
        <w:pStyle w:val="Heading2"/>
        <w:spacing w:after="180" w:before="320"/>
      </w:pPr>
      <w:r>
        <w:rPr>
          <w:rFonts w:ascii="Times New Roman" w:cs="Times New Roman" w:eastAsia="Times New Roman" w:hAnsi="Times New Roman"/>
          <w:b/>
          <w:bCs/>
          <w:sz w:val="26"/>
          <w:szCs w:val="26"/>
        </w:rPr>
        <w:t xml:space="preserve">4.4 Flow Chart of the System</w:t>
      </w:r>
    </w:p>
    <w:p>
      <w:pPr>
        <w:spacing w:after="200" w:line="360"/>
        <w:jc w:val="both"/>
      </w:pPr>
      <w:r>
        <w:rPr>
          <w:rFonts w:ascii="Times New Roman" w:cs="Times New Roman" w:eastAsia="Times New Roman" w:hAnsi="Times New Roman"/>
          <w:color w:val="000000"/>
          <w:sz w:val="24"/>
          <w:szCs w:val="24"/>
        </w:rPr>
        <w:t xml:space="preserve">The principal processing sequence is as follows.</w:t>
      </w:r>
    </w:p>
    <w:p>
      <w:pPr>
        <w:pStyle w:val="ListParagraph"/>
        <w:numPr>
          <w:ilvl w:val="0"/>
          <w:numId w:val="6"/>
        </w:numPr>
        <w:spacing w:after="140" w:line="34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sz w:val="24"/>
          <w:szCs w:val="24"/>
        </w:rPr>
        <w:t xml:space="preserve">The node samples all sensors and computes a local severity index.</w:t>
      </w:r>
    </w:p>
    <w:p>
      <w:pPr>
        <w:pStyle w:val="ListParagraph"/>
        <w:numPr>
          <w:ilvl w:val="0"/>
          <w:numId w:val="6"/>
        </w:numPr>
        <w:spacing w:after="140" w:line="34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sz w:val="24"/>
          <w:szCs w:val="24"/>
        </w:rPr>
        <w:t xml:space="preserve">If the index exceeds the actuation threshold, the exhaust relay engages. This decision is local and does not depend on network availability.</w:t>
      </w:r>
    </w:p>
    <w:p>
      <w:pPr>
        <w:pStyle w:val="ListParagraph"/>
        <w:numPr>
          <w:ilvl w:val="0"/>
          <w:numId w:val="6"/>
        </w:numPr>
        <w:spacing w:after="140" w:line="34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sz w:val="24"/>
          <w:szCs w:val="24"/>
        </w:rPr>
        <w:t xml:space="preserve">The node constructs a payload, signs it, and attempts transmission.</w:t>
      </w:r>
    </w:p>
    <w:p>
      <w:pPr>
        <w:pStyle w:val="ListParagraph"/>
        <w:numPr>
          <w:ilvl w:val="0"/>
          <w:numId w:val="6"/>
        </w:numPr>
        <w:spacing w:after="140" w:line="34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sz w:val="24"/>
          <w:szCs w:val="24"/>
        </w:rPr>
        <w:t xml:space="preserve">If transmission fails, the reading is placed in the local buffer with a sequence number and the loop continues.</w:t>
      </w:r>
    </w:p>
    <w:p>
      <w:pPr>
        <w:pStyle w:val="ListParagraph"/>
        <w:numPr>
          <w:ilvl w:val="0"/>
          <w:numId w:val="6"/>
        </w:numPr>
        <w:spacing w:after="140" w:line="34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sz w:val="24"/>
          <w:szCs w:val="24"/>
        </w:rPr>
        <w:t xml:space="preserve">On receipt, the edge function verifies the signature in constant time. An invalid signature is rejected and nothing is stored.</w:t>
      </w:r>
    </w:p>
    <w:p>
      <w:pPr>
        <w:pStyle w:val="ListParagraph"/>
        <w:numPr>
          <w:ilvl w:val="0"/>
          <w:numId w:val="6"/>
        </w:numPr>
        <w:spacing w:after="140" w:line="34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sz w:val="24"/>
          <w:szCs w:val="24"/>
        </w:rPr>
        <w:t xml:space="preserve">The raw body is archived to object storage.</w:t>
      </w:r>
    </w:p>
    <w:p>
      <w:pPr>
        <w:pStyle w:val="ListParagraph"/>
        <w:numPr>
          <w:ilvl w:val="0"/>
          <w:numId w:val="6"/>
        </w:numPr>
        <w:spacing w:after="140" w:line="34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sz w:val="24"/>
          <w:szCs w:val="24"/>
        </w:rPr>
        <w:t xml:space="preserve">The reading is written to the database. A duplicate sequence number from a replayed buffer is discarded by the uniqueness constraint.</w:t>
      </w:r>
    </w:p>
    <w:p>
      <w:pPr>
        <w:pStyle w:val="ListParagraph"/>
        <w:numPr>
          <w:ilvl w:val="0"/>
          <w:numId w:val="6"/>
        </w:numPr>
        <w:spacing w:after="140" w:line="34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sz w:val="24"/>
          <w:szCs w:val="24"/>
        </w:rPr>
        <w:t xml:space="preserve">The reading is evaluated against configured thresholds. A breach opens an incident, subject to a rate limit of one per zone per cooldown period.</w:t>
      </w:r>
    </w:p>
    <w:p>
      <w:pPr>
        <w:pStyle w:val="ListParagraph"/>
        <w:numPr>
          <w:ilvl w:val="0"/>
          <w:numId w:val="6"/>
        </w:numPr>
        <w:spacing w:after="140" w:line="34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sz w:val="24"/>
          <w:szCs w:val="24"/>
        </w:rPr>
        <w:t xml:space="preserve">An incident triggers notification through the configured channels.</w:t>
      </w:r>
    </w:p>
    <w:p>
      <w:pPr>
        <w:pStyle w:val="ListParagraph"/>
        <w:numPr>
          <w:ilvl w:val="0"/>
          <w:numId w:val="6"/>
        </w:numPr>
        <w:spacing w:after="140" w:line="34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sz w:val="24"/>
          <w:szCs w:val="24"/>
        </w:rPr>
        <w:t xml:space="preserve">Portals reflect the updated state on their next poll.</w:t>
      </w:r>
    </w:p>
    <w:p>
      <w:pPr>
        <w:pStyle w:val="Heading2"/>
        <w:spacing w:after="180" w:before="320"/>
      </w:pPr>
      <w:r>
        <w:rPr>
          <w:rFonts w:ascii="Times New Roman" w:cs="Times New Roman" w:eastAsia="Times New Roman" w:hAnsi="Times New Roman"/>
          <w:b/>
          <w:bCs/>
          <w:sz w:val="26"/>
          <w:szCs w:val="26"/>
        </w:rPr>
        <w:t xml:space="preserve">4.5 User Interface Design</w:t>
      </w:r>
    </w:p>
    <w:p>
      <w:pPr>
        <w:spacing w:after="200" w:line="360"/>
        <w:jc w:val="both"/>
      </w:pPr>
      <w:r>
        <w:rPr>
          <w:rFonts w:ascii="Times New Roman" w:cs="Times New Roman" w:eastAsia="Times New Roman" w:hAnsi="Times New Roman"/>
          <w:color w:val="000000"/>
          <w:sz w:val="24"/>
          <w:szCs w:val="24"/>
        </w:rPr>
        <w:t xml:space="preserve">Three interfaces were designed, separated by the privilege they require rather than by the data they present.</w:t>
      </w:r>
    </w:p>
    <w:p>
      <w:pPr>
        <w:pStyle w:val="Heading3"/>
        <w:spacing w:after="140" w:before="260"/>
      </w:pPr>
      <w:r>
        <w:rPr>
          <w:rFonts w:ascii="Times New Roman" w:cs="Times New Roman" w:eastAsia="Times New Roman" w:hAnsi="Times New Roman"/>
          <w:b/>
          <w:bCs/>
          <w:sz w:val="24"/>
          <w:szCs w:val="24"/>
        </w:rPr>
        <w:t xml:space="preserve">4.5.1 Public View</w:t>
      </w:r>
    </w:p>
    <w:p>
      <w:pPr>
        <w:spacing w:after="200" w:line="360"/>
        <w:jc w:val="both"/>
      </w:pPr>
      <w:r>
        <w:rPr>
          <w:rFonts w:ascii="Times New Roman" w:cs="Times New Roman" w:eastAsia="Times New Roman" w:hAnsi="Times New Roman"/>
          <w:color w:val="000000"/>
          <w:sz w:val="24"/>
          <w:szCs w:val="24"/>
        </w:rPr>
        <w:t xml:space="preserve">Accessible without an account. Presents the current campus reading, the status of each station, a map of station positions, and any active advisories. Air quality in a shared environment is information residents have a reasonable interest in, and requiring authentication to view it would serve no protective purpose.</w:t>
      </w:r>
    </w:p>
    <w:p>
      <w:pPr>
        <w:pStyle w:val="Heading3"/>
        <w:spacing w:after="140" w:before="260"/>
      </w:pPr>
      <w:r>
        <w:rPr>
          <w:rFonts w:ascii="Times New Roman" w:cs="Times New Roman" w:eastAsia="Times New Roman" w:hAnsi="Times New Roman"/>
          <w:b/>
          <w:bCs/>
          <w:sz w:val="24"/>
          <w:szCs w:val="24"/>
        </w:rPr>
        <w:t xml:space="preserve">4.5.2 Resident Portal</w:t>
      </w:r>
    </w:p>
    <w:p>
      <w:pPr>
        <w:spacing w:after="200" w:line="360"/>
        <w:jc w:val="both"/>
      </w:pPr>
      <w:r>
        <w:rPr>
          <w:rFonts w:ascii="Times New Roman" w:cs="Times New Roman" w:eastAsia="Times New Roman" w:hAnsi="Times New Roman"/>
          <w:color w:val="000000"/>
          <w:sz w:val="24"/>
          <w:szCs w:val="24"/>
        </w:rPr>
        <w:t xml:space="preserve">Requires an account. Adds a selectable home zone, historical querying with export, notification preferences, and the ability to submit an observed odour report. Community reports are stored separately from sensor readings: a human observation is not a measurement, and merging the two would corrupt both the charts and the compliance record.</w:t>
      </w:r>
    </w:p>
    <w:p>
      <w:pPr>
        <w:pStyle w:val="Heading3"/>
        <w:spacing w:after="140" w:before="260"/>
      </w:pPr>
      <w:r>
        <w:rPr>
          <w:rFonts w:ascii="Times New Roman" w:cs="Times New Roman" w:eastAsia="Times New Roman" w:hAnsi="Times New Roman"/>
          <w:b/>
          <w:bCs/>
          <w:sz w:val="24"/>
          <w:szCs w:val="24"/>
        </w:rPr>
        <w:t xml:space="preserve">4.5.3 Administrative Portal</w:t>
      </w:r>
    </w:p>
    <w:p>
      <w:pPr>
        <w:spacing w:after="200" w:line="360"/>
        <w:jc w:val="both"/>
      </w:pPr>
      <w:r>
        <w:rPr>
          <w:rFonts w:ascii="Times New Roman" w:cs="Times New Roman" w:eastAsia="Times New Roman" w:hAnsi="Times New Roman"/>
          <w:color w:val="000000"/>
          <w:sz w:val="24"/>
          <w:szCs w:val="24"/>
        </w:rPr>
        <w:t xml:space="preserve">Requires the administrator or facility role. Provides live telemetry, historical reporting, the predictive view, threshold calibration, incident management and user administration. A user lacking privilege is refused at entry and directed to the resident portal.</w:t>
      </w:r>
    </w:p>
    <w:p>
      <w:pPr>
        <w:pStyle w:val="Heading3"/>
        <w:spacing w:after="140" w:before="260"/>
      </w:pPr>
      <w:r>
        <w:rPr>
          <w:rFonts w:ascii="Times New Roman" w:cs="Times New Roman" w:eastAsia="Times New Roman" w:hAnsi="Times New Roman"/>
          <w:b/>
          <w:bCs/>
          <w:sz w:val="24"/>
          <w:szCs w:val="24"/>
        </w:rPr>
        <w:t xml:space="preserve">4.5.4 Design principles</w:t>
      </w:r>
    </w:p>
    <w:p>
      <w:pPr>
        <w:pStyle w:val="ListParagraph"/>
        <w:numPr>
          <w:ilvl w:val="0"/>
          <w:numId w:val="7"/>
        </w:numPr>
        <w:spacing w:after="140" w:line="340"/>
        <w:jc w:val="both"/>
      </w:pPr>
      <w:r>
        <w:rPr>
          <w:rFonts w:ascii="Times New Roman" w:cs="Times New Roman" w:eastAsia="Times New Roman" w:hAnsi="Times New Roman"/>
          <w:b/>
          <w:bCs/>
          <w:sz w:val="24"/>
          <w:szCs w:val="24"/>
        </w:rPr>
        <w:t xml:space="preserve">Colour as information: </w:t>
      </w:r>
      <w:r>
        <w:rPr>
          <w:rFonts w:ascii="Times New Roman" w:cs="Times New Roman" w:eastAsia="Times New Roman" w:hAnsi="Times New Roman"/>
          <w:sz w:val="24"/>
          <w:szCs w:val="24"/>
        </w:rPr>
        <w:t xml:space="preserve">saturated colour is reserved for sensor state. Nothing decorative uses red, amber or green, so those three always carry meaning.</w:t>
      </w:r>
    </w:p>
    <w:p>
      <w:pPr>
        <w:pStyle w:val="ListParagraph"/>
        <w:numPr>
          <w:ilvl w:val="0"/>
          <w:numId w:val="7"/>
        </w:numPr>
        <w:spacing w:after="140" w:line="340"/>
        <w:jc w:val="both"/>
      </w:pPr>
      <w:r>
        <w:rPr>
          <w:rFonts w:ascii="Times New Roman" w:cs="Times New Roman" w:eastAsia="Times New Roman" w:hAnsi="Times New Roman"/>
          <w:b/>
          <w:bCs/>
          <w:sz w:val="24"/>
          <w:szCs w:val="24"/>
        </w:rPr>
        <w:t xml:space="preserve">Numeric legibility: </w:t>
      </w:r>
      <w:r>
        <w:rPr>
          <w:rFonts w:ascii="Times New Roman" w:cs="Times New Roman" w:eastAsia="Times New Roman" w:hAnsi="Times New Roman"/>
          <w:sz w:val="24"/>
          <w:szCs w:val="24"/>
        </w:rPr>
        <w:t xml:space="preserve">every measurement is set in a monospaced face with tabular figures, so digits remain in column as values update rather than shifting the layout.</w:t>
      </w:r>
    </w:p>
    <w:p>
      <w:pPr>
        <w:pStyle w:val="ListParagraph"/>
        <w:numPr>
          <w:ilvl w:val="0"/>
          <w:numId w:val="7"/>
        </w:numPr>
        <w:spacing w:after="140" w:line="340"/>
        <w:jc w:val="both"/>
      </w:pPr>
      <w:r>
        <w:rPr>
          <w:rFonts w:ascii="Times New Roman" w:cs="Times New Roman" w:eastAsia="Times New Roman" w:hAnsi="Times New Roman"/>
          <w:b/>
          <w:bCs/>
          <w:sz w:val="24"/>
          <w:szCs w:val="24"/>
        </w:rPr>
        <w:t xml:space="preserve">Explicit absence: </w:t>
      </w:r>
      <w:r>
        <w:rPr>
          <w:rFonts w:ascii="Times New Roman" w:cs="Times New Roman" w:eastAsia="Times New Roman" w:hAnsi="Times New Roman"/>
          <w:sz w:val="24"/>
          <w:szCs w:val="24"/>
        </w:rPr>
        <w:t xml:space="preserve">a panel that cannot show data states why. An empty chart is indistinguishable from a broken one, and a system that reports hazardous conditions must not appear broken when it is merely waiting.</w:t>
      </w:r>
    </w:p>
    <w:p>
      <w:pPr>
        <w:pStyle w:val="ListParagraph"/>
        <w:numPr>
          <w:ilvl w:val="0"/>
          <w:numId w:val="7"/>
        </w:numPr>
        <w:spacing w:after="140" w:line="340"/>
        <w:jc w:val="both"/>
      </w:pPr>
      <w:r>
        <w:rPr>
          <w:rFonts w:ascii="Times New Roman" w:cs="Times New Roman" w:eastAsia="Times New Roman" w:hAnsi="Times New Roman"/>
          <w:b/>
          <w:bCs/>
          <w:sz w:val="24"/>
          <w:szCs w:val="24"/>
        </w:rPr>
        <w:t xml:space="preserve">Honest labelling: </w:t>
      </w:r>
      <w:r>
        <w:rPr>
          <w:rFonts w:ascii="Times New Roman" w:cs="Times New Roman" w:eastAsia="Times New Roman" w:hAnsi="Times New Roman"/>
          <w:sz w:val="24"/>
          <w:szCs w:val="24"/>
        </w:rPr>
        <w:t xml:space="preserve">stations replaying recorded data are labelled as such wherever they appear, so that a reader is never misled about which values are live measurements.</w:t>
      </w:r>
    </w:p>
    <w:p>
      <w:pPr>
        <w:pStyle w:val="Heading2"/>
        <w:spacing w:after="180" w:before="320"/>
      </w:pPr>
      <w:r>
        <w:rPr>
          <w:rFonts w:ascii="Times New Roman" w:cs="Times New Roman" w:eastAsia="Times New Roman" w:hAnsi="Times New Roman"/>
          <w:b/>
          <w:bCs/>
          <w:sz w:val="26"/>
          <w:szCs w:val="26"/>
        </w:rPr>
        <w:t xml:space="preserve">4.6 Conclusion</w:t>
      </w:r>
    </w:p>
    <w:p>
      <w:pPr>
        <w:spacing w:after="200" w:line="360"/>
        <w:jc w:val="both"/>
      </w:pPr>
      <w:r>
        <w:rPr>
          <w:rFonts w:ascii="Times New Roman" w:cs="Times New Roman" w:eastAsia="Times New Roman" w:hAnsi="Times New Roman"/>
          <w:color w:val="000000"/>
          <w:sz w:val="24"/>
          <w:szCs w:val="24"/>
        </w:rPr>
        <w:t xml:space="preserve">The analysis identified four required properties, each of which is traceable to a specific design decision: signing for provenance, buffering with sequence numbering for continuity, local actuation for autonomous response, and probe instrumentation for measurable reliability. The architecture distributes compute to the edge, removing the origin server as a failure point, and isolates the analytical layer so that its unavailability degrades capability without interrupting measurement.</w:t>
      </w:r>
    </w:p>
    <w:p>
      <w:pPr>
        <w:spacing w:before="400"/>
      </w:pPr>
    </w:p>
    <w:p>
      <w:pPr>
        <w:spacing w:after="200" w:line="360"/>
        <w:jc w:val="center"/>
      </w:pPr>
      <w:r>
        <w:rPr>
          <w:rFonts w:ascii="Times New Roman" w:cs="Times New Roman" w:eastAsia="Times New Roman" w:hAnsi="Times New Roman"/>
          <w:i/>
          <w:iCs/>
          <w:color w:val="5A5A5A"/>
          <w:sz w:val="24"/>
          <w:szCs w:val="24"/>
        </w:rPr>
        <w:t xml:space="preserve">End of Chapters 1, 3 and 4.</w:t>
      </w:r>
    </w:p>
    <w:sectPr>
      <w:footerReference w:type="default" r:id="rId7"/>
      <w:pgSz w:w="11906" w:h="16838" w:orient="portrait"/>
      <w:pgMar w:top="1440" w:right="1440" w:bottom="144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80" w:hanging="300"/>
      </w:pPr>
    </w:lvl>
  </w:abstractNum>
  <w:abstractNum w:abstractNumId="3" w15:restartNumberingAfterBreak="0">
    <w:multiLevelType w:val="hybridMultilevel"/>
    <w:lvl w:ilvl="0" w15:tentative="1">
      <w:start w:val="1"/>
      <w:numFmt w:val="decimal"/>
      <w:lvlText w:val="%1."/>
      <w:lvlJc w:val="left"/>
      <w:pPr>
        <w:ind w:left="480" w:hanging="300"/>
      </w:pPr>
    </w:lvl>
  </w:abstractNum>
  <w:abstractNum w:abstractNumId="4" w15:restartNumberingAfterBreak="0">
    <w:multiLevelType w:val="hybridMultilevel"/>
    <w:lvl w:ilvl="0" w15:tentative="1">
      <w:start w:val="1"/>
      <w:numFmt w:val="decimal"/>
      <w:lvlText w:val="%1."/>
      <w:lvlJc w:val="left"/>
      <w:pPr>
        <w:ind w:left="480" w:hanging="300"/>
      </w:pPr>
    </w:lvl>
  </w:abstractNum>
  <w:abstractNum w:abstractNumId="5" w15:restartNumberingAfterBreak="0">
    <w:multiLevelType w:val="hybridMultilevel"/>
    <w:lvl w:ilvl="0" w15:tentative="1">
      <w:start w:val="1"/>
      <w:numFmt w:val="decimal"/>
      <w:lvlText w:val="%1."/>
      <w:lvlJc w:val="left"/>
      <w:pPr>
        <w:ind w:left="480" w:hanging="300"/>
      </w:pPr>
    </w:lvl>
  </w:abstractNum>
  <w:abstractNum w:abstractNumId="6" w15:restartNumberingAfterBreak="0">
    <w:multiLevelType w:val="hybridMultilevel"/>
    <w:lvl w:ilvl="0" w15:tentative="1">
      <w:start w:val="1"/>
      <w:numFmt w:val="decimal"/>
      <w:lvlText w:val="%1."/>
      <w:lvlJc w:val="left"/>
      <w:pPr>
        <w:ind w:left="480" w:hanging="300"/>
      </w:pPr>
    </w:lvl>
  </w:abstractNum>
  <w:abstractNum w:abstractNumId="7" w15:restartNumberingAfterBreak="0">
    <w:multiLevelType w:val="hybridMultilevel"/>
    <w:lvl w:ilvl="0" w15:tentative="1">
      <w:start w:val="1"/>
      <w:numFmt w:val="decimal"/>
      <w:lvlText w:val="%1."/>
      <w:lvlJc w:val="left"/>
      <w:pPr>
        <w:ind w:left="48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Times New Roman" w:cs="Times New Roman" w:eastAsia="Times New Roman" w:hAnsi="Times New Roman"/>
      <w:b/>
      <w:bCs/>
      <w:sz w:val="32"/>
      <w:szCs w:val="32"/>
    </w:rPr>
  </w:style>
  <w:style w:type="paragraph" w:styleId="Heading2">
    <w:name w:val="Heading 2"/>
    <w:basedOn w:val="Normal"/>
    <w:next w:val="Normal"/>
    <w:qFormat/>
    <w:rPr>
      <w:rFonts w:ascii="Times New Roman" w:cs="Times New Roman" w:eastAsia="Times New Roman" w:hAnsi="Times New Roman"/>
      <w:b/>
      <w:bCs/>
      <w:sz w:val="26"/>
      <w:szCs w:val="26"/>
    </w:rPr>
  </w:style>
  <w:style w:type="paragraph" w:styleId="Heading3">
    <w:name w:val="Heading 3"/>
    <w:basedOn w:val="Normal"/>
    <w:next w:val="Normal"/>
    <w:qFormat/>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95f568e0ed17e6b198115ca816bff329b9d99dc.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2026-08-22T17:06:39.745Z</dcterms:created>
  <dcterms:modified xsi:type="dcterms:W3CDTF">2026-08-22T17:06:39.745Z</dcterms:modified>
</cp:coreProperties>
</file>

<file path=docProps/custom.xml><?xml version="1.0" encoding="utf-8"?>
<Properties xmlns="http://schemas.openxmlformats.org/officeDocument/2006/custom-properties" xmlns:vt="http://schemas.openxmlformats.org/officeDocument/2006/docPropsVTypes"/>
</file>