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EB93" w14:textId="38554EFC" w:rsidR="00120B32" w:rsidRPr="00120B32" w:rsidRDefault="00120B32" w:rsidP="003530B6">
      <w:pPr>
        <w:pStyle w:val="ListParagraph"/>
        <w:shd w:val="clear" w:color="auto" w:fill="FFFFFF"/>
        <w:spacing w:after="0" w:line="288" w:lineRule="atLeast"/>
        <w:ind w:left="360"/>
        <w:jc w:val="center"/>
        <w:outlineLvl w:val="0"/>
        <w:rPr>
          <w:b/>
          <w:bCs/>
          <w:i/>
          <w:iCs/>
          <w:color w:val="000000" w:themeColor="text1"/>
          <w:sz w:val="32"/>
          <w:szCs w:val="32"/>
          <w:lang w:val="en-US"/>
        </w:rPr>
      </w:pPr>
      <w:r w:rsidRPr="00120B32">
        <w:rPr>
          <w:b/>
          <w:bCs/>
          <w:i/>
          <w:iCs/>
          <w:color w:val="000000" w:themeColor="text1"/>
          <w:sz w:val="32"/>
          <w:szCs w:val="32"/>
          <w:lang w:val="en-US"/>
        </w:rPr>
        <w:t xml:space="preserve">Data Analysis on Comparative </w:t>
      </w:r>
      <w:r>
        <w:rPr>
          <w:b/>
          <w:bCs/>
          <w:i/>
          <w:iCs/>
          <w:color w:val="000000" w:themeColor="text1"/>
          <w:sz w:val="32"/>
          <w:szCs w:val="32"/>
          <w:lang w:val="en-US"/>
        </w:rPr>
        <w:t>S</w:t>
      </w:r>
      <w:r w:rsidRPr="00120B32">
        <w:rPr>
          <w:b/>
          <w:bCs/>
          <w:i/>
          <w:iCs/>
          <w:color w:val="000000" w:themeColor="text1"/>
          <w:sz w:val="32"/>
          <w:szCs w:val="32"/>
          <w:lang w:val="en-US"/>
        </w:rPr>
        <w:t xml:space="preserve">tudy on Pre &amp; Post Lockdown effects of Economy on different Sectors </w:t>
      </w:r>
    </w:p>
    <w:p w14:paraId="438DA447" w14:textId="77777777" w:rsidR="00120B32" w:rsidRDefault="00120B32" w:rsidP="003530B6">
      <w:pPr>
        <w:pStyle w:val="ListParagraph"/>
        <w:shd w:val="clear" w:color="auto" w:fill="FFFFFF"/>
        <w:spacing w:after="0" w:line="288" w:lineRule="atLeast"/>
        <w:ind w:left="360"/>
        <w:jc w:val="center"/>
        <w:outlineLvl w:val="0"/>
        <w:rPr>
          <w:b/>
          <w:bCs/>
          <w:color w:val="000000" w:themeColor="text1"/>
          <w:sz w:val="28"/>
          <w:szCs w:val="28"/>
          <w:lang w:val="en-US"/>
        </w:rPr>
      </w:pPr>
    </w:p>
    <w:p w14:paraId="21606689" w14:textId="74E493A4" w:rsidR="002025B1" w:rsidRPr="003530B6" w:rsidRDefault="002025B1" w:rsidP="003530B6">
      <w:pPr>
        <w:pStyle w:val="ListParagraph"/>
        <w:shd w:val="clear" w:color="auto" w:fill="FFFFFF"/>
        <w:spacing w:after="0" w:line="288" w:lineRule="atLeast"/>
        <w:ind w:left="360"/>
        <w:jc w:val="center"/>
        <w:outlineLvl w:val="0"/>
        <w:rPr>
          <w:b/>
          <w:bCs/>
          <w:color w:val="000000" w:themeColor="text1"/>
          <w:sz w:val="28"/>
          <w:szCs w:val="28"/>
          <w:lang w:val="en-US"/>
        </w:rPr>
      </w:pPr>
      <w:r w:rsidRPr="003530B6">
        <w:rPr>
          <w:b/>
          <w:bCs/>
          <w:color w:val="000000" w:themeColor="text1"/>
          <w:sz w:val="28"/>
          <w:szCs w:val="28"/>
          <w:lang w:val="en-US"/>
        </w:rPr>
        <w:t>Q</w:t>
      </w:r>
      <w:r w:rsidR="003530B6" w:rsidRPr="003530B6">
        <w:rPr>
          <w:b/>
          <w:bCs/>
          <w:color w:val="000000" w:themeColor="text1"/>
          <w:sz w:val="28"/>
          <w:szCs w:val="28"/>
          <w:lang w:val="en-US"/>
        </w:rPr>
        <w:t>uestion</w:t>
      </w:r>
      <w:r w:rsidR="009F71E5">
        <w:rPr>
          <w:b/>
          <w:bCs/>
          <w:color w:val="000000" w:themeColor="text1"/>
          <w:sz w:val="28"/>
          <w:szCs w:val="28"/>
          <w:lang w:val="en-US"/>
        </w:rPr>
        <w:t>s</w:t>
      </w:r>
      <w:r w:rsidR="003530B6" w:rsidRPr="003530B6">
        <w:rPr>
          <w:b/>
          <w:bCs/>
          <w:color w:val="000000" w:themeColor="text1"/>
          <w:sz w:val="28"/>
          <w:szCs w:val="28"/>
          <w:lang w:val="en-US"/>
        </w:rPr>
        <w:t xml:space="preserve"> Related to Project</w:t>
      </w:r>
    </w:p>
    <w:p w14:paraId="3D88A5E2" w14:textId="77777777" w:rsidR="002025B1" w:rsidRDefault="002025B1" w:rsidP="001A3333">
      <w:pPr>
        <w:pStyle w:val="ListParagraph"/>
        <w:shd w:val="clear" w:color="auto" w:fill="FFFFFF"/>
        <w:spacing w:after="0" w:line="288" w:lineRule="atLeast"/>
        <w:ind w:left="360"/>
        <w:jc w:val="both"/>
        <w:outlineLvl w:val="0"/>
        <w:rPr>
          <w:color w:val="000000" w:themeColor="text1"/>
          <w:sz w:val="24"/>
          <w:szCs w:val="24"/>
          <w:lang w:val="en-US"/>
        </w:rPr>
      </w:pPr>
    </w:p>
    <w:p w14:paraId="35740DFC" w14:textId="4756EA1C" w:rsidR="002025B1" w:rsidRPr="003530B6" w:rsidRDefault="002025B1" w:rsidP="002025B1">
      <w:pPr>
        <w:pStyle w:val="ListParagraph"/>
        <w:numPr>
          <w:ilvl w:val="0"/>
          <w:numId w:val="3"/>
        </w:numPr>
        <w:shd w:val="clear" w:color="auto" w:fill="FFFFFF"/>
        <w:spacing w:after="0" w:line="288" w:lineRule="atLeast"/>
        <w:jc w:val="both"/>
        <w:outlineLvl w:val="0"/>
        <w:rPr>
          <w:rFonts w:eastAsia="Times New Roman"/>
          <w:b/>
          <w:bCs/>
          <w:color w:val="000000" w:themeColor="text1"/>
          <w:kern w:val="36"/>
          <w:sz w:val="28"/>
          <w:szCs w:val="28"/>
          <w:lang w:eastAsia="en-IN"/>
        </w:rPr>
      </w:pPr>
      <w:r w:rsidRPr="003530B6">
        <w:rPr>
          <w:rFonts w:eastAsia="Times New Roman"/>
          <w:b/>
          <w:bCs/>
          <w:color w:val="000000" w:themeColor="text1"/>
          <w:kern w:val="36"/>
          <w:sz w:val="28"/>
          <w:szCs w:val="28"/>
          <w:lang w:eastAsia="en-IN"/>
        </w:rPr>
        <w:t>How does the stock market affect the economy?</w:t>
      </w:r>
    </w:p>
    <w:p w14:paraId="562F180D" w14:textId="10191CC4" w:rsidR="001A3333" w:rsidRPr="00FA6576" w:rsidRDefault="001A3333" w:rsidP="002025B1">
      <w:pPr>
        <w:pStyle w:val="ListParagraph"/>
        <w:shd w:val="clear" w:color="auto" w:fill="FFFFFF"/>
        <w:spacing w:after="0" w:line="288" w:lineRule="atLeast"/>
        <w:ind w:left="360"/>
        <w:jc w:val="both"/>
        <w:outlineLvl w:val="0"/>
        <w:rPr>
          <w:color w:val="000000" w:themeColor="text1"/>
          <w:sz w:val="24"/>
          <w:szCs w:val="24"/>
          <w:shd w:val="clear" w:color="auto" w:fill="FFFFFF"/>
        </w:rPr>
      </w:pPr>
      <w:r w:rsidRPr="00FA6576">
        <w:rPr>
          <w:color w:val="000000" w:themeColor="text1"/>
          <w:sz w:val="24"/>
          <w:szCs w:val="24"/>
          <w:shd w:val="clear" w:color="auto" w:fill="FFFFFF"/>
        </w:rPr>
        <w:t>Movements in the stock market can have a profound economic impact on the economy and individual consumers. A collapse in share prices has the potential to cause widespread economic disruption. Most famously, </w:t>
      </w:r>
      <w:hyperlink r:id="rId5" w:history="1">
        <w:r w:rsidRPr="00FA6576">
          <w:rPr>
            <w:rStyle w:val="Hyperlink"/>
            <w:color w:val="000000" w:themeColor="text1"/>
            <w:sz w:val="24"/>
            <w:szCs w:val="24"/>
            <w:u w:val="none"/>
            <w:bdr w:val="none" w:sz="0" w:space="0" w:color="auto" w:frame="1"/>
            <w:shd w:val="clear" w:color="auto" w:fill="FFFFFF"/>
          </w:rPr>
          <w:t>the stock market crash of 1929</w:t>
        </w:r>
      </w:hyperlink>
      <w:r w:rsidRPr="00FA6576">
        <w:rPr>
          <w:color w:val="000000" w:themeColor="text1"/>
          <w:sz w:val="24"/>
          <w:szCs w:val="24"/>
          <w:shd w:val="clear" w:color="auto" w:fill="FFFFFF"/>
        </w:rPr>
        <w:t> was a key factor. Yet, daily movements in the stock market can also have less impact on the economy than we might imagine.</w:t>
      </w:r>
      <w:r w:rsidR="0084680B">
        <w:rPr>
          <w:color w:val="000000" w:themeColor="text1"/>
          <w:sz w:val="24"/>
          <w:szCs w:val="24"/>
          <w:shd w:val="clear" w:color="auto" w:fill="FFFFFF"/>
        </w:rPr>
        <w:t>[1]</w:t>
      </w:r>
    </w:p>
    <w:p w14:paraId="67BA9BA3" w14:textId="77777777" w:rsidR="001A3333" w:rsidRPr="002025B1" w:rsidRDefault="001A3333" w:rsidP="001A3333">
      <w:pPr>
        <w:pStyle w:val="NormalWeb"/>
        <w:shd w:val="clear" w:color="auto" w:fill="FFFFFF"/>
        <w:spacing w:before="0" w:beforeAutospacing="0" w:after="0" w:afterAutospacing="0"/>
        <w:ind w:left="360"/>
        <w:jc w:val="both"/>
        <w:rPr>
          <w:color w:val="000000" w:themeColor="text1"/>
        </w:rPr>
      </w:pPr>
      <w:r w:rsidRPr="002025B1">
        <w:rPr>
          <w:color w:val="000000" w:themeColor="text1"/>
        </w:rPr>
        <w:t>One well-known joke is:</w:t>
      </w:r>
    </w:p>
    <w:p w14:paraId="5F4C5842" w14:textId="4B6474D9" w:rsidR="001A3333" w:rsidRPr="00FA6576" w:rsidRDefault="001A3333" w:rsidP="001A3333">
      <w:pPr>
        <w:pStyle w:val="NormalWeb"/>
        <w:shd w:val="clear" w:color="auto" w:fill="FFFFFF"/>
        <w:spacing w:before="0" w:beforeAutospacing="0" w:after="0" w:afterAutospacing="0"/>
        <w:ind w:left="360"/>
        <w:jc w:val="both"/>
        <w:rPr>
          <w:i/>
          <w:iCs/>
          <w:color w:val="000000" w:themeColor="text1"/>
        </w:rPr>
      </w:pPr>
      <w:r w:rsidRPr="00FA6576">
        <w:rPr>
          <w:i/>
          <w:iCs/>
          <w:color w:val="000000" w:themeColor="text1"/>
        </w:rPr>
        <w:t>Stock markets have predicted 10 out of the last three recessions.</w:t>
      </w:r>
    </w:p>
    <w:p w14:paraId="0EE2D0F1" w14:textId="77777777" w:rsidR="001A3333" w:rsidRPr="00FA6576" w:rsidRDefault="001A3333" w:rsidP="001A3333">
      <w:pPr>
        <w:pStyle w:val="Heading3"/>
        <w:shd w:val="clear" w:color="auto" w:fill="FFFFFF"/>
        <w:spacing w:before="0" w:line="288" w:lineRule="atLeast"/>
        <w:ind w:left="360"/>
        <w:jc w:val="both"/>
        <w:rPr>
          <w:rFonts w:ascii="Times New Roman" w:hAnsi="Times New Roman" w:cs="Times New Roman"/>
          <w:color w:val="000000" w:themeColor="text1"/>
        </w:rPr>
      </w:pPr>
      <w:r w:rsidRPr="00FA6576">
        <w:rPr>
          <w:rFonts w:ascii="Times New Roman" w:hAnsi="Times New Roman" w:cs="Times New Roman"/>
          <w:color w:val="000000" w:themeColor="text1"/>
        </w:rPr>
        <w:t>2008 Share price falls</w:t>
      </w:r>
    </w:p>
    <w:p w14:paraId="2E7675C8" w14:textId="77777777" w:rsidR="001A3333" w:rsidRPr="00FA6576" w:rsidRDefault="001A3333" w:rsidP="001A3333">
      <w:pPr>
        <w:pStyle w:val="NormalWeb"/>
        <w:shd w:val="clear" w:color="auto" w:fill="FFFFFF"/>
        <w:spacing w:before="0" w:beforeAutospacing="0" w:after="0" w:afterAutospacing="0"/>
        <w:ind w:left="360"/>
        <w:jc w:val="both"/>
        <w:rPr>
          <w:color w:val="000000" w:themeColor="text1"/>
        </w:rPr>
      </w:pPr>
      <w:r w:rsidRPr="00FA6576">
        <w:rPr>
          <w:color w:val="000000" w:themeColor="text1"/>
        </w:rPr>
        <w:t>However, the fall in share prices 2008/09 was reflecting the real economic problems and after the share price falls of 2008, we did get a steep recession starting at the end of 2008 early 2009. The falling share prices and financial uncertainty contributed in a small way to the economic downturn.</w:t>
      </w:r>
    </w:p>
    <w:p w14:paraId="11915765" w14:textId="77777777" w:rsidR="001A3333" w:rsidRPr="00FA6576" w:rsidRDefault="001A3333" w:rsidP="001A3333">
      <w:pPr>
        <w:pStyle w:val="Heading3"/>
        <w:shd w:val="clear" w:color="auto" w:fill="FFFFFF"/>
        <w:spacing w:before="0" w:line="288" w:lineRule="atLeast"/>
        <w:ind w:left="360"/>
        <w:jc w:val="both"/>
        <w:rPr>
          <w:rFonts w:ascii="Times New Roman" w:hAnsi="Times New Roman" w:cs="Times New Roman"/>
          <w:color w:val="000000" w:themeColor="text1"/>
        </w:rPr>
      </w:pPr>
      <w:r w:rsidRPr="00FA6576">
        <w:rPr>
          <w:rFonts w:ascii="Times New Roman" w:hAnsi="Times New Roman" w:cs="Times New Roman"/>
          <w:color w:val="000000" w:themeColor="text1"/>
        </w:rPr>
        <w:t>2020 Share price falls</w:t>
      </w:r>
    </w:p>
    <w:p w14:paraId="0FD27A16" w14:textId="77777777" w:rsidR="001A3333" w:rsidRPr="00FA6576" w:rsidRDefault="001A3333" w:rsidP="001A3333">
      <w:pPr>
        <w:pStyle w:val="NormalWeb"/>
        <w:shd w:val="clear" w:color="auto" w:fill="FFFFFF"/>
        <w:spacing w:before="0" w:beforeAutospacing="0" w:after="0" w:afterAutospacing="0"/>
        <w:ind w:left="360"/>
        <w:jc w:val="both"/>
        <w:rPr>
          <w:color w:val="000000" w:themeColor="text1"/>
          <w:sz w:val="26"/>
          <w:szCs w:val="26"/>
        </w:rPr>
      </w:pPr>
      <w:r w:rsidRPr="00FA6576">
        <w:rPr>
          <w:color w:val="000000" w:themeColor="text1"/>
        </w:rPr>
        <w:t>The fall in share prices since the start of the year primarily reflect concern and uncertainty over the global spread of Coronavirus. Share prices have fallen 15% and could fall further. There are good reasons to believe these share price falls do reflect a real economic shock and could be the precursor to a recession in 2020. The share price falls reflect – not market adjustment – but an awareness of disruption of supply chains, a disruption to the free movement of people and goods, and a shock to aggregate demand as consumers and business cut back on consumption and investment.</w:t>
      </w:r>
    </w:p>
    <w:p w14:paraId="69061D9F" w14:textId="14C66963" w:rsidR="001A3333" w:rsidRPr="002025B1" w:rsidRDefault="001A3333" w:rsidP="001A3333">
      <w:pPr>
        <w:pStyle w:val="NormalWeb"/>
        <w:shd w:val="clear" w:color="auto" w:fill="FFFFFF"/>
        <w:spacing w:before="0" w:beforeAutospacing="0" w:after="0" w:afterAutospacing="0"/>
        <w:ind w:left="360"/>
        <w:jc w:val="both"/>
        <w:rPr>
          <w:i/>
          <w:iCs/>
          <w:color w:val="000000" w:themeColor="text1"/>
          <w:shd w:val="clear" w:color="auto" w:fill="FFFFFF"/>
        </w:rPr>
      </w:pPr>
      <w:r w:rsidRPr="002025B1">
        <w:rPr>
          <w:i/>
          <w:iCs/>
          <w:color w:val="000000" w:themeColor="text1"/>
          <w:shd w:val="clear" w:color="auto" w:fill="FFFFFF"/>
        </w:rPr>
        <w:t>In other words, share prices alone do not cause economic recessions, but if share prices reflect a fundamental weakness in the economy – then they may be the harbinger of an economic slowdown.</w:t>
      </w:r>
    </w:p>
    <w:p w14:paraId="448E0F47" w14:textId="77777777" w:rsidR="001A3333" w:rsidRPr="00FA6576" w:rsidRDefault="001A3333" w:rsidP="001A3333">
      <w:pPr>
        <w:pStyle w:val="NormalWeb"/>
        <w:shd w:val="clear" w:color="auto" w:fill="FFFFFF"/>
        <w:spacing w:before="0" w:beforeAutospacing="0" w:after="0" w:afterAutospacing="0"/>
        <w:ind w:left="360"/>
        <w:jc w:val="both"/>
        <w:rPr>
          <w:b/>
          <w:bCs/>
          <w:color w:val="000000" w:themeColor="text1"/>
          <w:shd w:val="clear" w:color="auto" w:fill="FFFFFF"/>
        </w:rPr>
      </w:pPr>
    </w:p>
    <w:p w14:paraId="05C0FDFC" w14:textId="14B3DC9B" w:rsidR="001A3333" w:rsidRPr="003530B6" w:rsidRDefault="001A3333" w:rsidP="002025B1">
      <w:pPr>
        <w:pStyle w:val="NormalWeb"/>
        <w:numPr>
          <w:ilvl w:val="0"/>
          <w:numId w:val="3"/>
        </w:numPr>
        <w:shd w:val="clear" w:color="auto" w:fill="FFFFFF"/>
        <w:spacing w:before="0" w:beforeAutospacing="0" w:after="0" w:afterAutospacing="0"/>
        <w:jc w:val="both"/>
        <w:rPr>
          <w:b/>
          <w:bCs/>
          <w:color w:val="000000" w:themeColor="text1"/>
          <w:sz w:val="28"/>
          <w:szCs w:val="28"/>
          <w:shd w:val="clear" w:color="auto" w:fill="FFFFFF"/>
        </w:rPr>
      </w:pPr>
      <w:r w:rsidRPr="003530B6">
        <w:rPr>
          <w:b/>
          <w:bCs/>
          <w:color w:val="000000" w:themeColor="text1"/>
          <w:sz w:val="28"/>
          <w:szCs w:val="28"/>
          <w:shd w:val="clear" w:color="auto" w:fill="FFFFFF"/>
        </w:rPr>
        <w:t xml:space="preserve">How </w:t>
      </w:r>
      <w:r w:rsidR="00DB398A">
        <w:rPr>
          <w:b/>
          <w:bCs/>
          <w:color w:val="000000" w:themeColor="text1"/>
          <w:sz w:val="28"/>
          <w:szCs w:val="28"/>
          <w:shd w:val="clear" w:color="auto" w:fill="FFFFFF"/>
        </w:rPr>
        <w:t>are</w:t>
      </w:r>
      <w:r w:rsidRPr="003530B6">
        <w:rPr>
          <w:b/>
          <w:bCs/>
          <w:color w:val="000000" w:themeColor="text1"/>
          <w:sz w:val="28"/>
          <w:szCs w:val="28"/>
          <w:shd w:val="clear" w:color="auto" w:fill="FFFFFF"/>
        </w:rPr>
        <w:t xml:space="preserve"> the Quarters divided for the Fiscal Year? </w:t>
      </w:r>
    </w:p>
    <w:p w14:paraId="221940F2" w14:textId="57E29B05" w:rsidR="001A3333" w:rsidRPr="00FA6576" w:rsidRDefault="001A3333" w:rsidP="001A3333">
      <w:pPr>
        <w:pStyle w:val="NormalWeb"/>
        <w:shd w:val="clear" w:color="auto" w:fill="FFFFFF"/>
        <w:spacing w:before="0" w:beforeAutospacing="0" w:after="0" w:afterAutospacing="0"/>
        <w:ind w:left="360"/>
        <w:jc w:val="both"/>
        <w:rPr>
          <w:color w:val="000000" w:themeColor="text1"/>
          <w:shd w:val="clear" w:color="auto" w:fill="FFFFFF"/>
        </w:rPr>
      </w:pPr>
      <w:r w:rsidRPr="00FA6576">
        <w:rPr>
          <w:color w:val="000000" w:themeColor="text1"/>
          <w:shd w:val="clear" w:color="auto" w:fill="FFFFFF"/>
        </w:rPr>
        <w:t xml:space="preserve">There are 4 quarters in the fiscal year that is April, May, June (Q1), July, August, September (Q2), October, November, December (Q3) &amp; the final that is January, February, March (Q4). </w:t>
      </w:r>
    </w:p>
    <w:p w14:paraId="4D58FAA0" w14:textId="3D99645A" w:rsidR="001A3333" w:rsidRPr="00FA6576" w:rsidRDefault="00FA6576" w:rsidP="00FA6576">
      <w:pPr>
        <w:pStyle w:val="NormalWeb"/>
        <w:shd w:val="clear" w:color="auto" w:fill="FFFFFF"/>
        <w:spacing w:before="0" w:beforeAutospacing="0" w:after="0" w:afterAutospacing="0"/>
        <w:ind w:left="360"/>
        <w:jc w:val="both"/>
        <w:rPr>
          <w:color w:val="000000" w:themeColor="text1"/>
          <w:shd w:val="clear" w:color="auto" w:fill="FFFFFF"/>
        </w:rPr>
      </w:pPr>
      <w:r w:rsidRPr="00FA6576">
        <w:rPr>
          <w:color w:val="000000" w:themeColor="text1"/>
          <w:shd w:val="clear" w:color="auto" w:fill="FFFFFF"/>
        </w:rPr>
        <w:t>Example: FY 2019-2020 is the fiscal year that is going to end in March of 2020.</w:t>
      </w:r>
    </w:p>
    <w:p w14:paraId="40AB9E8C" w14:textId="77777777" w:rsidR="00FA6576" w:rsidRPr="00FA6576" w:rsidRDefault="00FA6576" w:rsidP="00FA6576">
      <w:pPr>
        <w:pStyle w:val="NormalWeb"/>
        <w:shd w:val="clear" w:color="auto" w:fill="FFFFFF"/>
        <w:spacing w:before="0" w:beforeAutospacing="0" w:after="0" w:afterAutospacing="0"/>
        <w:ind w:left="360"/>
        <w:jc w:val="both"/>
        <w:rPr>
          <w:color w:val="000000" w:themeColor="text1"/>
          <w:shd w:val="clear" w:color="auto" w:fill="FFFFFF"/>
        </w:rPr>
      </w:pPr>
    </w:p>
    <w:p w14:paraId="3C517931" w14:textId="56B968EF" w:rsidR="00FA6576" w:rsidRPr="003530B6" w:rsidRDefault="00FA6576" w:rsidP="002025B1">
      <w:pPr>
        <w:pStyle w:val="NormalWeb"/>
        <w:numPr>
          <w:ilvl w:val="0"/>
          <w:numId w:val="3"/>
        </w:numPr>
        <w:shd w:val="clear" w:color="auto" w:fill="FFFFFF"/>
        <w:spacing w:before="0" w:beforeAutospacing="0" w:after="0" w:afterAutospacing="0"/>
        <w:jc w:val="both"/>
        <w:rPr>
          <w:rStyle w:val="Strong"/>
          <w:rFonts w:eastAsiaTheme="majorEastAsia"/>
          <w:color w:val="000000" w:themeColor="text1"/>
          <w:sz w:val="28"/>
          <w:szCs w:val="28"/>
          <w:bdr w:val="none" w:sz="0" w:space="0" w:color="auto" w:frame="1"/>
        </w:rPr>
      </w:pPr>
      <w:r w:rsidRPr="003530B6">
        <w:rPr>
          <w:rStyle w:val="Strong"/>
          <w:rFonts w:eastAsiaTheme="majorEastAsia"/>
          <w:color w:val="000000" w:themeColor="text1"/>
          <w:sz w:val="28"/>
          <w:szCs w:val="28"/>
          <w:bdr w:val="none" w:sz="0" w:space="0" w:color="auto" w:frame="1"/>
        </w:rPr>
        <w:t>Q4 FY 2019-20 GDP growth estimates Highlights</w:t>
      </w:r>
    </w:p>
    <w:p w14:paraId="04789D58" w14:textId="25FEB97E" w:rsidR="001A3333" w:rsidRDefault="00FA6576" w:rsidP="00FA6576">
      <w:pPr>
        <w:pStyle w:val="ListParagraph"/>
        <w:ind w:left="360"/>
        <w:jc w:val="both"/>
        <w:rPr>
          <w:color w:val="000000" w:themeColor="text1"/>
          <w:sz w:val="24"/>
          <w:szCs w:val="24"/>
          <w:bdr w:val="none" w:sz="0" w:space="0" w:color="auto" w:frame="1"/>
        </w:rPr>
      </w:pPr>
      <w:r w:rsidRPr="00FA6576">
        <w:rPr>
          <w:color w:val="000000" w:themeColor="text1"/>
          <w:sz w:val="24"/>
          <w:szCs w:val="24"/>
          <w:bdr w:val="none" w:sz="0" w:space="0" w:color="auto" w:frame="1"/>
        </w:rPr>
        <w:t xml:space="preserve">India’s economy slowed down to 3.1 percent in Q4 on the back of the coronavirus pandemic superimposed on a prolonged slowdown. Though the GDP growth estimates have surpassed most estimates made by various economists and rating agencies, the government has left a caveat that the figures can be revised as the current data is insufficient. With the release of Q4 GDP growth, the full year 2019-20 GDP growth stood at 4.2 percent. The government has also revised down the GDP growth in Q1, Q2, and Q3 to 5.2 percent, 4.4 percent, and 4.1 percent respectively. As India travels through the path of economic uncertainty, the GDP growth in the fourth quarter becomes important as it includes the figures for one week of lockdown. It is also expected that today’s figures will help to determine the impact of the pandemic more clearly. Meanwhile, the growth rate of eight </w:t>
      </w:r>
      <w:r w:rsidRPr="00FA6576">
        <w:rPr>
          <w:color w:val="000000" w:themeColor="text1"/>
          <w:sz w:val="24"/>
          <w:szCs w:val="24"/>
          <w:bdr w:val="none" w:sz="0" w:space="0" w:color="auto" w:frame="1"/>
        </w:rPr>
        <w:lastRenderedPageBreak/>
        <w:t>core industries for April 2020 fell by 38.1 percent, compared to a fall of 9 percent in March 2020. The output of electricity fell by 22.8 percent, while the output of cement fell by 86 percent; steel by 84 percent; fertili</w:t>
      </w:r>
      <w:r w:rsidR="00DB398A">
        <w:rPr>
          <w:color w:val="000000" w:themeColor="text1"/>
          <w:sz w:val="24"/>
          <w:szCs w:val="24"/>
          <w:bdr w:val="none" w:sz="0" w:space="0" w:color="auto" w:frame="1"/>
        </w:rPr>
        <w:t>z</w:t>
      </w:r>
      <w:r w:rsidRPr="00FA6576">
        <w:rPr>
          <w:color w:val="000000" w:themeColor="text1"/>
          <w:sz w:val="24"/>
          <w:szCs w:val="24"/>
          <w:bdr w:val="none" w:sz="0" w:space="0" w:color="auto" w:frame="1"/>
        </w:rPr>
        <w:t>er by 4.5; refinery by 24.2 percent; crude oil by 6.4 percent; and coal by 15.5 percent in April 2020. Even before the coronavirus cases started to surge in India, the country’s economy was struggling through a prolonged economic slowdown.</w:t>
      </w:r>
      <w:r w:rsidR="005B633C">
        <w:rPr>
          <w:color w:val="000000" w:themeColor="text1"/>
          <w:sz w:val="24"/>
          <w:szCs w:val="24"/>
          <w:bdr w:val="none" w:sz="0" w:space="0" w:color="auto" w:frame="1"/>
        </w:rPr>
        <w:t>[2]</w:t>
      </w:r>
    </w:p>
    <w:p w14:paraId="16A76C4E" w14:textId="77777777" w:rsidR="00FA6576" w:rsidRPr="003530B6" w:rsidRDefault="00FA6576" w:rsidP="002025B1">
      <w:pPr>
        <w:pStyle w:val="ListParagraph"/>
        <w:numPr>
          <w:ilvl w:val="0"/>
          <w:numId w:val="3"/>
        </w:numPr>
        <w:jc w:val="both"/>
        <w:rPr>
          <w:b/>
          <w:bCs/>
          <w:color w:val="000000" w:themeColor="text1"/>
          <w:sz w:val="28"/>
          <w:szCs w:val="28"/>
          <w:lang w:val="en-US"/>
        </w:rPr>
      </w:pPr>
      <w:r w:rsidRPr="003530B6">
        <w:rPr>
          <w:b/>
          <w:bCs/>
          <w:color w:val="000000" w:themeColor="text1"/>
          <w:sz w:val="28"/>
          <w:szCs w:val="28"/>
          <w:lang w:val="en-US"/>
        </w:rPr>
        <w:t>India’s GDP with the current Fiscal Year that is FY 2020-2021</w:t>
      </w:r>
    </w:p>
    <w:p w14:paraId="730F7418" w14:textId="6B95E90A" w:rsidR="00FA6576" w:rsidRPr="00FA6576" w:rsidRDefault="00FA6576" w:rsidP="00FA6576">
      <w:pPr>
        <w:pStyle w:val="ListParagraph"/>
        <w:ind w:left="360"/>
        <w:jc w:val="both"/>
        <w:rPr>
          <w:color w:val="000000" w:themeColor="text1"/>
          <w:sz w:val="36"/>
          <w:szCs w:val="36"/>
          <w:lang w:val="en-US"/>
        </w:rPr>
      </w:pPr>
      <w:r w:rsidRPr="00FA6576">
        <w:rPr>
          <w:color w:val="000000"/>
          <w:sz w:val="24"/>
          <w:szCs w:val="24"/>
          <w:shd w:val="clear" w:color="auto" w:fill="FFFFFF"/>
        </w:rPr>
        <w:t>India's GDP growth for the current fiscal is expected to slow down to 4.8 percent.</w:t>
      </w:r>
    </w:p>
    <w:p w14:paraId="09236929" w14:textId="13312954" w:rsidR="00FA6576" w:rsidRDefault="00FA6576" w:rsidP="00FA6576">
      <w:pPr>
        <w:pStyle w:val="ListParagraph"/>
        <w:ind w:left="360"/>
        <w:jc w:val="both"/>
        <w:rPr>
          <w:color w:val="000000"/>
          <w:sz w:val="24"/>
          <w:szCs w:val="24"/>
          <w:shd w:val="clear" w:color="auto" w:fill="FFFFFF"/>
        </w:rPr>
      </w:pPr>
      <w:r w:rsidRPr="00FA6576">
        <w:rPr>
          <w:color w:val="000000"/>
          <w:sz w:val="24"/>
          <w:szCs w:val="24"/>
          <w:shd w:val="clear" w:color="auto" w:fill="FFFFFF"/>
        </w:rPr>
        <w:t>India's GDP growth for the fiscal year 2019-2020 was estimated at 5 percent and is forecast to slow down to 4.8 percent for the current fiscal 2020-21.</w:t>
      </w:r>
      <w:r w:rsidR="005B633C">
        <w:rPr>
          <w:color w:val="000000"/>
          <w:sz w:val="24"/>
          <w:szCs w:val="24"/>
          <w:shd w:val="clear" w:color="auto" w:fill="FFFFFF"/>
        </w:rPr>
        <w:t>[3]</w:t>
      </w:r>
      <w:r w:rsidRPr="00FA6576">
        <w:rPr>
          <w:color w:val="000000"/>
          <w:sz w:val="24"/>
          <w:szCs w:val="24"/>
          <w:shd w:val="clear" w:color="auto" w:fill="FFFFFF"/>
        </w:rPr>
        <w:t xml:space="preserve"> </w:t>
      </w:r>
    </w:p>
    <w:p w14:paraId="5295B3E4" w14:textId="17C4A80F" w:rsidR="00FA6576" w:rsidRDefault="00FA6576" w:rsidP="00FA6576">
      <w:pPr>
        <w:pStyle w:val="ListParagraph"/>
        <w:ind w:left="360"/>
        <w:jc w:val="both"/>
        <w:rPr>
          <w:color w:val="000000"/>
          <w:sz w:val="24"/>
          <w:szCs w:val="24"/>
          <w:shd w:val="clear" w:color="auto" w:fill="FFFFFF"/>
        </w:rPr>
      </w:pPr>
      <w:r w:rsidRPr="00FA6576">
        <w:rPr>
          <w:color w:val="000000"/>
          <w:sz w:val="24"/>
          <w:szCs w:val="24"/>
          <w:shd w:val="clear" w:color="auto" w:fill="FFFFFF"/>
        </w:rPr>
        <w:t xml:space="preserve">Economic growth for the country could stand at 5.1 percent for </w:t>
      </w:r>
      <w:r w:rsidR="00DB398A">
        <w:rPr>
          <w:color w:val="000000"/>
          <w:sz w:val="24"/>
          <w:szCs w:val="24"/>
          <w:shd w:val="clear" w:color="auto" w:fill="FFFFFF"/>
        </w:rPr>
        <w:t xml:space="preserve">the </w:t>
      </w:r>
      <w:r w:rsidRPr="00FA6576">
        <w:rPr>
          <w:color w:val="000000"/>
          <w:sz w:val="24"/>
          <w:szCs w:val="24"/>
          <w:shd w:val="clear" w:color="auto" w:fill="FFFFFF"/>
        </w:rPr>
        <w:t>fiscal year 2021-22</w:t>
      </w:r>
    </w:p>
    <w:p w14:paraId="1DBF5716" w14:textId="77777777" w:rsidR="00FA6576" w:rsidRDefault="00FA6576" w:rsidP="00FA6576">
      <w:pPr>
        <w:pStyle w:val="ListParagraph"/>
        <w:ind w:left="360"/>
        <w:jc w:val="both"/>
        <w:rPr>
          <w:color w:val="000000"/>
          <w:sz w:val="24"/>
          <w:szCs w:val="24"/>
          <w:shd w:val="clear" w:color="auto" w:fill="FFFFFF"/>
        </w:rPr>
      </w:pPr>
    </w:p>
    <w:p w14:paraId="3BB13136" w14:textId="738D6250" w:rsidR="00FA6576" w:rsidRPr="008F555D" w:rsidRDefault="008F555D" w:rsidP="008F555D">
      <w:pPr>
        <w:pStyle w:val="ListParagraph"/>
        <w:numPr>
          <w:ilvl w:val="0"/>
          <w:numId w:val="3"/>
        </w:numPr>
        <w:jc w:val="both"/>
        <w:rPr>
          <w:b/>
          <w:bCs/>
          <w:color w:val="000000" w:themeColor="text1"/>
          <w:sz w:val="28"/>
          <w:szCs w:val="28"/>
          <w:lang w:val="en-US"/>
        </w:rPr>
      </w:pPr>
      <w:r w:rsidRPr="008F555D">
        <w:rPr>
          <w:b/>
          <w:bCs/>
          <w:color w:val="000000" w:themeColor="text1"/>
          <w:sz w:val="28"/>
          <w:szCs w:val="28"/>
          <w:lang w:val="en-US"/>
        </w:rPr>
        <w:t>P</w:t>
      </w:r>
      <w:r w:rsidR="00FA6576" w:rsidRPr="008F555D">
        <w:rPr>
          <w:b/>
          <w:bCs/>
          <w:color w:val="000000" w:themeColor="text1"/>
          <w:sz w:val="28"/>
          <w:szCs w:val="28"/>
          <w:lang w:val="en-US"/>
        </w:rPr>
        <w:t>arameters related to the Stock Market</w:t>
      </w:r>
    </w:p>
    <w:p w14:paraId="690C3842" w14:textId="6E70051D" w:rsidR="00FA6576" w:rsidRDefault="00FA6576" w:rsidP="00FA6576">
      <w:pPr>
        <w:pStyle w:val="ListParagraph"/>
        <w:numPr>
          <w:ilvl w:val="0"/>
          <w:numId w:val="2"/>
        </w:numPr>
        <w:spacing w:after="0"/>
        <w:jc w:val="both"/>
        <w:rPr>
          <w:sz w:val="24"/>
          <w:szCs w:val="24"/>
          <w:shd w:val="clear" w:color="auto" w:fill="FFFFFF"/>
        </w:rPr>
      </w:pPr>
      <w:r w:rsidRPr="00FA6576">
        <w:rPr>
          <w:sz w:val="24"/>
          <w:szCs w:val="24"/>
          <w:shd w:val="clear" w:color="auto" w:fill="FFFFFF"/>
        </w:rPr>
        <w:t xml:space="preserve">In stock trading, the high and low refer to the maximum and minimum prices in a given period. </w:t>
      </w:r>
    </w:p>
    <w:p w14:paraId="0E485F6F" w14:textId="77777777" w:rsidR="00FA6576" w:rsidRPr="00FA6576" w:rsidRDefault="00FA6576" w:rsidP="00FA6576">
      <w:pPr>
        <w:pStyle w:val="ListParagraph"/>
        <w:numPr>
          <w:ilvl w:val="0"/>
          <w:numId w:val="2"/>
        </w:numPr>
        <w:spacing w:after="0"/>
        <w:jc w:val="both"/>
        <w:rPr>
          <w:color w:val="000000" w:themeColor="text1"/>
          <w:sz w:val="24"/>
          <w:szCs w:val="24"/>
          <w:lang w:val="en-US"/>
        </w:rPr>
      </w:pPr>
      <w:r w:rsidRPr="00FA6576">
        <w:rPr>
          <w:sz w:val="24"/>
          <w:szCs w:val="24"/>
          <w:shd w:val="clear" w:color="auto" w:fill="FFFFFF"/>
        </w:rPr>
        <w:t>Open and close are the prices at which a stock began and ended trading in the same period.</w:t>
      </w:r>
    </w:p>
    <w:p w14:paraId="5296896C" w14:textId="0981D1D6" w:rsidR="00FA6576" w:rsidRPr="00FA6576" w:rsidRDefault="00FA6576" w:rsidP="00FA6576">
      <w:pPr>
        <w:pStyle w:val="ListParagraph"/>
        <w:numPr>
          <w:ilvl w:val="0"/>
          <w:numId w:val="2"/>
        </w:numPr>
        <w:spacing w:after="0"/>
        <w:jc w:val="both"/>
        <w:rPr>
          <w:color w:val="000000" w:themeColor="text1"/>
          <w:sz w:val="24"/>
          <w:szCs w:val="24"/>
          <w:lang w:val="en-US"/>
        </w:rPr>
      </w:pPr>
      <w:r w:rsidRPr="00FA6576">
        <w:rPr>
          <w:sz w:val="24"/>
          <w:szCs w:val="24"/>
          <w:shd w:val="clear" w:color="auto" w:fill="FFFFFF"/>
        </w:rPr>
        <w:t>Volume is the total amount of trading activity.</w:t>
      </w:r>
    </w:p>
    <w:p w14:paraId="7422D02B" w14:textId="174B5434" w:rsidR="00FA6576" w:rsidRPr="00FA6576" w:rsidRDefault="00FA6576" w:rsidP="00FA6576">
      <w:pPr>
        <w:pStyle w:val="NormalWeb"/>
        <w:numPr>
          <w:ilvl w:val="0"/>
          <w:numId w:val="2"/>
        </w:numPr>
        <w:shd w:val="clear" w:color="auto" w:fill="FFFFFF"/>
        <w:spacing w:before="0" w:beforeAutospacing="0" w:after="0" w:afterAutospacing="0"/>
        <w:jc w:val="both"/>
        <w:rPr>
          <w:shd w:val="clear" w:color="auto" w:fill="FFFFFF"/>
        </w:rPr>
      </w:pPr>
      <w:r w:rsidRPr="00FA6576">
        <w:rPr>
          <w:shd w:val="clear" w:color="auto" w:fill="FFFFFF"/>
        </w:rPr>
        <w:t xml:space="preserve">Valuable information can be gleaned from understanding the open, high, low, close of a stock, and as well as </w:t>
      </w:r>
      <w:r w:rsidR="005B633C" w:rsidRPr="00FA6576">
        <w:rPr>
          <w:shd w:val="clear" w:color="auto" w:fill="FFFFFF"/>
        </w:rPr>
        <w:t>it</w:t>
      </w:r>
      <w:r w:rsidR="005B633C">
        <w:rPr>
          <w:shd w:val="clear" w:color="auto" w:fill="FFFFFF"/>
        </w:rPr>
        <w:t>s</w:t>
      </w:r>
      <w:r w:rsidRPr="00FA6576">
        <w:rPr>
          <w:shd w:val="clear" w:color="auto" w:fill="FFFFFF"/>
        </w:rPr>
        <w:t xml:space="preserve"> trading volume.</w:t>
      </w:r>
    </w:p>
    <w:p w14:paraId="7698FCF3" w14:textId="77777777" w:rsidR="00FA6576" w:rsidRPr="00FA6576" w:rsidRDefault="00FA6576" w:rsidP="00FA6576">
      <w:pPr>
        <w:pStyle w:val="NormalWeb"/>
        <w:numPr>
          <w:ilvl w:val="0"/>
          <w:numId w:val="2"/>
        </w:numPr>
        <w:shd w:val="clear" w:color="auto" w:fill="FFFFFF"/>
        <w:spacing w:before="0" w:beforeAutospacing="0" w:after="0" w:afterAutospacing="0"/>
        <w:jc w:val="both"/>
        <w:textAlignment w:val="baseline"/>
      </w:pPr>
      <w:r w:rsidRPr="00FA6576">
        <w:t>Open means the price at which a stock started trading when the opening bell rang.</w:t>
      </w:r>
    </w:p>
    <w:p w14:paraId="1AC300B8" w14:textId="77777777" w:rsidR="00FA6576" w:rsidRDefault="00FA6576" w:rsidP="00FA6576">
      <w:pPr>
        <w:pStyle w:val="NormalWeb"/>
        <w:numPr>
          <w:ilvl w:val="0"/>
          <w:numId w:val="2"/>
        </w:numPr>
        <w:shd w:val="clear" w:color="auto" w:fill="FFFFFF"/>
        <w:spacing w:before="0" w:beforeAutospacing="0" w:after="0" w:afterAutospacing="0"/>
        <w:jc w:val="both"/>
        <w:textAlignment w:val="baseline"/>
      </w:pPr>
      <w:r w:rsidRPr="00FA6576">
        <w:t>It can be the same as where the stock closed the night before, but not always. Sometimes events such as company earnings reports that happen in </w:t>
      </w:r>
      <w:hyperlink r:id="rId6" w:history="1">
        <w:r w:rsidRPr="00FA6576">
          <w:rPr>
            <w:rStyle w:val="Hyperlink"/>
            <w:rFonts w:eastAsiaTheme="majorEastAsia"/>
            <w:color w:val="auto"/>
            <w:u w:val="none"/>
            <w:bdr w:val="none" w:sz="0" w:space="0" w:color="auto" w:frame="1"/>
          </w:rPr>
          <w:t>after-hours trading</w:t>
        </w:r>
      </w:hyperlink>
      <w:r w:rsidRPr="00FA6576">
        <w:t xml:space="preserve"> can alter a stock’s price overnight. </w:t>
      </w:r>
    </w:p>
    <w:p w14:paraId="5AB6F74D" w14:textId="6864B515" w:rsidR="00FA6576" w:rsidRDefault="00FA6576" w:rsidP="00FA6576">
      <w:pPr>
        <w:pStyle w:val="NormalWeb"/>
        <w:numPr>
          <w:ilvl w:val="0"/>
          <w:numId w:val="2"/>
        </w:numPr>
        <w:shd w:val="clear" w:color="auto" w:fill="FFFFFF"/>
        <w:spacing w:before="0" w:beforeAutospacing="0" w:after="0" w:afterAutospacing="0"/>
        <w:jc w:val="both"/>
        <w:textAlignment w:val="baseline"/>
      </w:pPr>
      <w:r w:rsidRPr="00FA6576">
        <w:t>Then there is “close”.</w:t>
      </w:r>
      <w:r>
        <w:t xml:space="preserve"> </w:t>
      </w:r>
      <w:r w:rsidRPr="00FA6576">
        <w:t>Close refers to the price of an individual stock when the stock exchange closed shop for the day. It represents the last buy-sell order executed between two traders. In many cases, this occurs in the final seconds of the trading day. For less actively traded stocks, the last trade of the day could be well before the closing bell, depending on when the last buy and sell orders were last paired.</w:t>
      </w:r>
      <w:r w:rsidR="005B633C">
        <w:t>[4]</w:t>
      </w:r>
    </w:p>
    <w:p w14:paraId="71428BBE" w14:textId="20F7E87E" w:rsidR="00FA6576" w:rsidRDefault="00FA6576" w:rsidP="00FA6576">
      <w:pPr>
        <w:pStyle w:val="NormalWeb"/>
        <w:shd w:val="clear" w:color="auto" w:fill="FFFFFF"/>
        <w:spacing w:before="0" w:beforeAutospacing="0" w:after="0" w:afterAutospacing="0"/>
        <w:ind w:left="360"/>
        <w:jc w:val="both"/>
        <w:textAlignment w:val="baseline"/>
      </w:pPr>
    </w:p>
    <w:p w14:paraId="216C88D7" w14:textId="65838E73" w:rsidR="00FA6576" w:rsidRPr="003530B6" w:rsidRDefault="00FA6576" w:rsidP="002025B1">
      <w:pPr>
        <w:pStyle w:val="Heading2"/>
        <w:numPr>
          <w:ilvl w:val="0"/>
          <w:numId w:val="3"/>
        </w:numPr>
        <w:shd w:val="clear" w:color="auto" w:fill="FFFFFF"/>
        <w:spacing w:before="120" w:after="48"/>
        <w:textAlignment w:val="baseline"/>
        <w:rPr>
          <w:rFonts w:ascii="Times New Roman" w:hAnsi="Times New Roman" w:cs="Times New Roman"/>
          <w:b/>
          <w:bCs/>
          <w:color w:val="000000" w:themeColor="text1"/>
          <w:sz w:val="24"/>
          <w:szCs w:val="24"/>
        </w:rPr>
      </w:pPr>
      <w:r w:rsidRPr="003530B6">
        <w:rPr>
          <w:rFonts w:ascii="Times New Roman" w:hAnsi="Times New Roman" w:cs="Times New Roman"/>
          <w:b/>
          <w:bCs/>
          <w:color w:val="000000" w:themeColor="text1"/>
          <w:sz w:val="28"/>
          <w:szCs w:val="28"/>
        </w:rPr>
        <w:t>Why is a Stock’s Closing Price Significant?</w:t>
      </w:r>
    </w:p>
    <w:p w14:paraId="5BCA541B" w14:textId="77777777" w:rsidR="00FA6576" w:rsidRPr="00B078E0" w:rsidRDefault="00FA6576" w:rsidP="00FA6576">
      <w:pPr>
        <w:pStyle w:val="NormalWeb"/>
        <w:shd w:val="clear" w:color="auto" w:fill="FFFFFF"/>
        <w:spacing w:before="0" w:beforeAutospacing="0" w:after="0" w:afterAutospacing="0"/>
        <w:ind w:left="360"/>
        <w:jc w:val="both"/>
        <w:textAlignment w:val="baseline"/>
      </w:pPr>
      <w:r w:rsidRPr="00B078E0">
        <w:t>While much fanfare surrounds the stock market’s opening bell and opening prices, it is a stock’s closing price that determines how a share performed during the day.</w:t>
      </w:r>
    </w:p>
    <w:p w14:paraId="7C096BE4" w14:textId="77777777" w:rsidR="00FA6576" w:rsidRPr="00B078E0" w:rsidRDefault="00FA6576" w:rsidP="00FA6576">
      <w:pPr>
        <w:pStyle w:val="NormalWeb"/>
        <w:shd w:val="clear" w:color="auto" w:fill="FFFFFF"/>
        <w:spacing w:before="0" w:beforeAutospacing="0" w:after="0" w:afterAutospacing="0"/>
        <w:ind w:left="360"/>
        <w:jc w:val="both"/>
        <w:textAlignment w:val="baseline"/>
      </w:pPr>
      <w:r w:rsidRPr="00B078E0">
        <w:t>The close price is considered the reference point for any time frame. It’s the price traders agreed on after all the action throughout the day. When researching historical stock price data, financial institutions, regulators, and individual investors use the closing price as the standard measure of the stock’s value as of a specific date. For example, a stock’s close on December 31, 2019, was the closing price for not only that day, but also that week, month, quarter, and year.</w:t>
      </w:r>
    </w:p>
    <w:p w14:paraId="619EF5F9" w14:textId="23D76E2A" w:rsidR="00FA6576" w:rsidRDefault="00FA6576" w:rsidP="00FA6576">
      <w:pPr>
        <w:pStyle w:val="NormalWeb"/>
        <w:shd w:val="clear" w:color="auto" w:fill="FFFFFF"/>
        <w:spacing w:before="0" w:beforeAutospacing="0" w:after="0" w:afterAutospacing="0"/>
        <w:ind w:left="360"/>
        <w:jc w:val="both"/>
        <w:textAlignment w:val="baseline"/>
      </w:pPr>
      <w:r w:rsidRPr="00B078E0">
        <w:t>The difference between the stocks open and close divided by the open is the stock’s return or its performance in percentage terms. If we want to take a longer-term view of a stock’s performance, such as one-year, we would use the closing price from a year ago and compare it to the closing price from today to get the annual return</w:t>
      </w:r>
      <w:r>
        <w:t>.</w:t>
      </w:r>
      <w:r w:rsidR="005B633C">
        <w:t>[4]</w:t>
      </w:r>
    </w:p>
    <w:p w14:paraId="1D6E9BAB" w14:textId="1A0AA309" w:rsidR="00FA6576" w:rsidRDefault="00FA6576" w:rsidP="00FA6576">
      <w:pPr>
        <w:pStyle w:val="NormalWeb"/>
        <w:shd w:val="clear" w:color="auto" w:fill="FFFFFF"/>
        <w:spacing w:before="0" w:beforeAutospacing="0" w:after="0" w:afterAutospacing="0"/>
        <w:ind w:left="360"/>
        <w:jc w:val="both"/>
        <w:textAlignment w:val="baseline"/>
      </w:pPr>
    </w:p>
    <w:p w14:paraId="251D41E0" w14:textId="6E74EB4A" w:rsidR="00120B32" w:rsidRDefault="00120B32" w:rsidP="00FA6576">
      <w:pPr>
        <w:pStyle w:val="NormalWeb"/>
        <w:shd w:val="clear" w:color="auto" w:fill="FFFFFF"/>
        <w:spacing w:before="0" w:beforeAutospacing="0" w:after="0" w:afterAutospacing="0"/>
        <w:ind w:left="360"/>
        <w:jc w:val="both"/>
        <w:textAlignment w:val="baseline"/>
      </w:pPr>
    </w:p>
    <w:p w14:paraId="16736993" w14:textId="64A5F142" w:rsidR="00120B32" w:rsidRDefault="00120B32" w:rsidP="00FA6576">
      <w:pPr>
        <w:pStyle w:val="NormalWeb"/>
        <w:shd w:val="clear" w:color="auto" w:fill="FFFFFF"/>
        <w:spacing w:before="0" w:beforeAutospacing="0" w:after="0" w:afterAutospacing="0"/>
        <w:ind w:left="360"/>
        <w:jc w:val="both"/>
        <w:textAlignment w:val="baseline"/>
      </w:pPr>
    </w:p>
    <w:p w14:paraId="4D256E68" w14:textId="77777777" w:rsidR="00120B32" w:rsidRDefault="00120B32" w:rsidP="00FA6576">
      <w:pPr>
        <w:pStyle w:val="NormalWeb"/>
        <w:shd w:val="clear" w:color="auto" w:fill="FFFFFF"/>
        <w:spacing w:before="0" w:beforeAutospacing="0" w:after="0" w:afterAutospacing="0"/>
        <w:ind w:left="360"/>
        <w:jc w:val="both"/>
        <w:textAlignment w:val="baseline"/>
      </w:pPr>
    </w:p>
    <w:p w14:paraId="55144BAB" w14:textId="284DA58C" w:rsidR="002025B1" w:rsidRPr="003530B6" w:rsidRDefault="00015426" w:rsidP="002025B1">
      <w:pPr>
        <w:pStyle w:val="NormalWeb"/>
        <w:numPr>
          <w:ilvl w:val="0"/>
          <w:numId w:val="3"/>
        </w:numPr>
        <w:shd w:val="clear" w:color="auto" w:fill="FFFFFF"/>
        <w:spacing w:before="0" w:beforeAutospacing="0" w:after="0" w:afterAutospacing="0"/>
        <w:jc w:val="both"/>
        <w:textAlignment w:val="baseline"/>
        <w:rPr>
          <w:b/>
          <w:bCs/>
          <w:color w:val="000000" w:themeColor="text1"/>
          <w:sz w:val="28"/>
          <w:szCs w:val="28"/>
        </w:rPr>
      </w:pPr>
      <w:r>
        <w:rPr>
          <w:b/>
          <w:bCs/>
          <w:color w:val="000000" w:themeColor="text1"/>
          <w:sz w:val="28"/>
          <w:szCs w:val="28"/>
        </w:rPr>
        <w:lastRenderedPageBreak/>
        <w:t>W</w:t>
      </w:r>
      <w:r w:rsidR="002025B1" w:rsidRPr="003530B6">
        <w:rPr>
          <w:b/>
          <w:bCs/>
          <w:color w:val="000000" w:themeColor="text1"/>
          <w:sz w:val="28"/>
          <w:szCs w:val="28"/>
        </w:rPr>
        <w:t xml:space="preserve">hat is the reason for </w:t>
      </w:r>
      <w:r w:rsidR="00DB398A">
        <w:rPr>
          <w:b/>
          <w:bCs/>
          <w:color w:val="000000" w:themeColor="text1"/>
          <w:sz w:val="28"/>
          <w:szCs w:val="28"/>
        </w:rPr>
        <w:t xml:space="preserve">the </w:t>
      </w:r>
      <w:r w:rsidR="002025B1" w:rsidRPr="003530B6">
        <w:rPr>
          <w:b/>
          <w:bCs/>
          <w:color w:val="000000" w:themeColor="text1"/>
          <w:sz w:val="28"/>
          <w:szCs w:val="28"/>
        </w:rPr>
        <w:t>market down?</w:t>
      </w:r>
    </w:p>
    <w:p w14:paraId="06A7CC25" w14:textId="45D4C327" w:rsidR="002025B1" w:rsidRDefault="002025B1" w:rsidP="002025B1">
      <w:pPr>
        <w:pStyle w:val="NormalWeb"/>
        <w:shd w:val="clear" w:color="auto" w:fill="FFFFFF"/>
        <w:spacing w:before="0" w:beforeAutospacing="0" w:after="0" w:afterAutospacing="0"/>
        <w:ind w:left="360"/>
        <w:jc w:val="both"/>
        <w:textAlignment w:val="baseline"/>
        <w:rPr>
          <w:color w:val="222222"/>
          <w:shd w:val="clear" w:color="auto" w:fill="FFFFFF"/>
        </w:rPr>
      </w:pPr>
      <w:r w:rsidRPr="00B078E0">
        <w:rPr>
          <w:color w:val="222222"/>
          <w:shd w:val="clear" w:color="auto" w:fill="FFFFFF"/>
        </w:rPr>
        <w:t>Economic factors</w:t>
      </w:r>
      <w:r>
        <w:rPr>
          <w:color w:val="222222"/>
          <w:shd w:val="clear" w:color="auto" w:fill="FFFFFF"/>
        </w:rPr>
        <w:t>, v</w:t>
      </w:r>
      <w:r w:rsidRPr="00B078E0">
        <w:rPr>
          <w:color w:val="222222"/>
          <w:shd w:val="clear" w:color="auto" w:fill="FFFFFF"/>
        </w:rPr>
        <w:t xml:space="preserve">arying interest rates, declining economy, inflation, deflation, tax increases, financial and political shocks, changes in the economic policy, changing </w:t>
      </w:r>
      <w:r w:rsidR="00DB398A">
        <w:rPr>
          <w:color w:val="222222"/>
          <w:shd w:val="clear" w:color="auto" w:fill="FFFFFF"/>
        </w:rPr>
        <w:t xml:space="preserve">the </w:t>
      </w:r>
      <w:r w:rsidRPr="00B078E0">
        <w:rPr>
          <w:color w:val="222222"/>
          <w:shd w:val="clear" w:color="auto" w:fill="FFFFFF"/>
        </w:rPr>
        <w:t>value of the Indian Rupee, are some of the many factors that can </w:t>
      </w:r>
      <w:r w:rsidRPr="002025B1">
        <w:rPr>
          <w:color w:val="222222"/>
          <w:shd w:val="clear" w:color="auto" w:fill="FFFFFF"/>
        </w:rPr>
        <w:t>cause</w:t>
      </w:r>
      <w:r w:rsidRPr="00B078E0">
        <w:rPr>
          <w:color w:val="222222"/>
          <w:shd w:val="clear" w:color="auto" w:fill="FFFFFF"/>
        </w:rPr>
        <w:t> a decline in the share </w:t>
      </w:r>
      <w:r w:rsidRPr="002025B1">
        <w:rPr>
          <w:color w:val="222222"/>
          <w:shd w:val="clear" w:color="auto" w:fill="FFFFFF"/>
        </w:rPr>
        <w:t>market</w:t>
      </w:r>
      <w:r w:rsidRPr="00B078E0">
        <w:rPr>
          <w:color w:val="222222"/>
          <w:shd w:val="clear" w:color="auto" w:fill="FFFFFF"/>
        </w:rPr>
        <w:t>.</w:t>
      </w:r>
    </w:p>
    <w:p w14:paraId="6E4F65EE" w14:textId="50C06067" w:rsidR="002025B1" w:rsidRDefault="002025B1" w:rsidP="002025B1">
      <w:pPr>
        <w:pStyle w:val="NormalWeb"/>
        <w:shd w:val="clear" w:color="auto" w:fill="FFFFFF"/>
        <w:spacing w:before="0" w:beforeAutospacing="0" w:after="0" w:afterAutospacing="0"/>
        <w:ind w:left="360"/>
        <w:jc w:val="both"/>
        <w:textAlignment w:val="baseline"/>
        <w:rPr>
          <w:color w:val="222222"/>
          <w:shd w:val="clear" w:color="auto" w:fill="FFFFFF"/>
        </w:rPr>
      </w:pPr>
    </w:p>
    <w:p w14:paraId="7F3F3E62" w14:textId="3849362E" w:rsidR="002025B1" w:rsidRDefault="002025B1" w:rsidP="002025B1">
      <w:pPr>
        <w:pStyle w:val="NormalWeb"/>
        <w:shd w:val="clear" w:color="auto" w:fill="FFFFFF"/>
        <w:spacing w:before="0" w:beforeAutospacing="0" w:after="0" w:afterAutospacing="0"/>
        <w:ind w:left="360"/>
        <w:jc w:val="both"/>
        <w:textAlignment w:val="baseline"/>
        <w:rPr>
          <w:color w:val="222222"/>
          <w:shd w:val="clear" w:color="auto" w:fill="FFFFFF"/>
        </w:rPr>
      </w:pPr>
    </w:p>
    <w:p w14:paraId="6BB050DC" w14:textId="77777777" w:rsidR="002025B1" w:rsidRDefault="002025B1" w:rsidP="002025B1">
      <w:pPr>
        <w:pStyle w:val="NormalWeb"/>
        <w:shd w:val="clear" w:color="auto" w:fill="FFFFFF"/>
        <w:spacing w:before="0" w:beforeAutospacing="0" w:after="0" w:afterAutospacing="0"/>
        <w:ind w:left="360"/>
        <w:jc w:val="both"/>
        <w:textAlignment w:val="baseline"/>
        <w:rPr>
          <w:color w:val="222222"/>
          <w:shd w:val="clear" w:color="auto" w:fill="FFFFFF"/>
        </w:rPr>
      </w:pPr>
    </w:p>
    <w:p w14:paraId="77064807" w14:textId="0E4F7A1A" w:rsidR="002025B1" w:rsidRPr="003530B6" w:rsidRDefault="00015426" w:rsidP="002025B1">
      <w:pPr>
        <w:pStyle w:val="NormalWeb"/>
        <w:numPr>
          <w:ilvl w:val="0"/>
          <w:numId w:val="3"/>
        </w:numPr>
        <w:shd w:val="clear" w:color="auto" w:fill="FFFFFF"/>
        <w:spacing w:before="0" w:beforeAutospacing="0" w:after="0" w:afterAutospacing="0"/>
        <w:jc w:val="both"/>
        <w:textAlignment w:val="baseline"/>
        <w:rPr>
          <w:b/>
          <w:bCs/>
          <w:color w:val="000000" w:themeColor="text1"/>
          <w:sz w:val="28"/>
          <w:szCs w:val="28"/>
        </w:rPr>
      </w:pPr>
      <w:r>
        <w:rPr>
          <w:b/>
          <w:bCs/>
          <w:color w:val="000000" w:themeColor="text1"/>
          <w:sz w:val="28"/>
          <w:szCs w:val="28"/>
        </w:rPr>
        <w:t>W</w:t>
      </w:r>
      <w:r w:rsidR="002025B1" w:rsidRPr="003530B6">
        <w:rPr>
          <w:b/>
          <w:bCs/>
          <w:color w:val="000000" w:themeColor="text1"/>
          <w:sz w:val="28"/>
          <w:szCs w:val="28"/>
        </w:rPr>
        <w:t xml:space="preserve">hat is the reason for </w:t>
      </w:r>
      <w:r w:rsidR="00DB398A">
        <w:rPr>
          <w:b/>
          <w:bCs/>
          <w:color w:val="000000" w:themeColor="text1"/>
          <w:sz w:val="28"/>
          <w:szCs w:val="28"/>
        </w:rPr>
        <w:t xml:space="preserve">the </w:t>
      </w:r>
      <w:r w:rsidR="002025B1" w:rsidRPr="003530B6">
        <w:rPr>
          <w:b/>
          <w:bCs/>
          <w:color w:val="000000" w:themeColor="text1"/>
          <w:sz w:val="28"/>
          <w:szCs w:val="28"/>
        </w:rPr>
        <w:t>decrease in share price mean?</w:t>
      </w:r>
    </w:p>
    <w:p w14:paraId="12802F8F" w14:textId="7A597FBF" w:rsidR="00FA6576" w:rsidRDefault="002025B1" w:rsidP="002025B1">
      <w:pPr>
        <w:pStyle w:val="NormalWeb"/>
        <w:shd w:val="clear" w:color="auto" w:fill="FFFFFF"/>
        <w:spacing w:before="0" w:beforeAutospacing="0" w:after="0" w:afterAutospacing="0"/>
        <w:ind w:left="360"/>
        <w:jc w:val="both"/>
        <w:textAlignment w:val="baseline"/>
        <w:rPr>
          <w:rStyle w:val="e24kjd"/>
          <w:color w:val="222222"/>
        </w:rPr>
      </w:pPr>
      <w:r w:rsidRPr="000E09E7">
        <w:rPr>
          <w:rStyle w:val="e24kjd"/>
          <w:color w:val="222222"/>
        </w:rPr>
        <w:t>The </w:t>
      </w:r>
      <w:r w:rsidRPr="002025B1">
        <w:rPr>
          <w:rStyle w:val="e24kjd"/>
          <w:color w:val="222222"/>
        </w:rPr>
        <w:t>price</w:t>
      </w:r>
      <w:r w:rsidRPr="000E09E7">
        <w:rPr>
          <w:rStyle w:val="e24kjd"/>
          <w:color w:val="222222"/>
        </w:rPr>
        <w:t> of a </w:t>
      </w:r>
      <w:r w:rsidRPr="002025B1">
        <w:rPr>
          <w:rStyle w:val="e24kjd"/>
          <w:color w:val="222222"/>
        </w:rPr>
        <w:t>share</w:t>
      </w:r>
      <w:r w:rsidRPr="000E09E7">
        <w:rPr>
          <w:rStyle w:val="e24kjd"/>
          <w:color w:val="222222"/>
        </w:rPr>
        <w:t> changes because there's a change in the supply and demand equilibrium. When the demand for a </w:t>
      </w:r>
      <w:r w:rsidRPr="002025B1">
        <w:rPr>
          <w:rStyle w:val="e24kjd"/>
          <w:color w:val="222222"/>
        </w:rPr>
        <w:t>stock</w:t>
      </w:r>
      <w:r w:rsidRPr="000E09E7">
        <w:rPr>
          <w:rStyle w:val="e24kjd"/>
          <w:color w:val="222222"/>
        </w:rPr>
        <w:t> is high but supply </w:t>
      </w:r>
      <w:r w:rsidRPr="002025B1">
        <w:rPr>
          <w:rStyle w:val="e24kjd"/>
          <w:color w:val="222222"/>
        </w:rPr>
        <w:t>low</w:t>
      </w:r>
      <w:r w:rsidRPr="000E09E7">
        <w:rPr>
          <w:rStyle w:val="e24kjd"/>
          <w:color w:val="222222"/>
        </w:rPr>
        <w:t>, it </w:t>
      </w:r>
      <w:r w:rsidRPr="002025B1">
        <w:rPr>
          <w:rStyle w:val="e24kjd"/>
          <w:color w:val="222222"/>
        </w:rPr>
        <w:t>causes</w:t>
      </w:r>
      <w:r w:rsidRPr="000E09E7">
        <w:rPr>
          <w:rStyle w:val="e24kjd"/>
          <w:color w:val="222222"/>
        </w:rPr>
        <w:t> the </w:t>
      </w:r>
      <w:r w:rsidRPr="002025B1">
        <w:rPr>
          <w:rStyle w:val="e24kjd"/>
          <w:color w:val="222222"/>
        </w:rPr>
        <w:t>price</w:t>
      </w:r>
      <w:r w:rsidRPr="000E09E7">
        <w:rPr>
          <w:rStyle w:val="e24kjd"/>
          <w:color w:val="222222"/>
        </w:rPr>
        <w:t> of those </w:t>
      </w:r>
      <w:r w:rsidRPr="002025B1">
        <w:rPr>
          <w:rStyle w:val="e24kjd"/>
          <w:color w:val="222222"/>
        </w:rPr>
        <w:t>shares</w:t>
      </w:r>
      <w:r w:rsidRPr="000E09E7">
        <w:rPr>
          <w:rStyle w:val="e24kjd"/>
          <w:color w:val="222222"/>
        </w:rPr>
        <w:t> to rise. Similarly, if the supply is high, but the demand is </w:t>
      </w:r>
      <w:r w:rsidRPr="002025B1">
        <w:rPr>
          <w:rStyle w:val="e24kjd"/>
          <w:color w:val="222222"/>
        </w:rPr>
        <w:t>low</w:t>
      </w:r>
      <w:r w:rsidRPr="000E09E7">
        <w:rPr>
          <w:rStyle w:val="e24kjd"/>
          <w:color w:val="222222"/>
        </w:rPr>
        <w:t xml:space="preserve"> the </w:t>
      </w:r>
      <w:r w:rsidRPr="002025B1">
        <w:rPr>
          <w:rStyle w:val="e24kjd"/>
          <w:color w:val="222222"/>
        </w:rPr>
        <w:t>share</w:t>
      </w:r>
      <w:r w:rsidRPr="000E09E7">
        <w:rPr>
          <w:rStyle w:val="e24kjd"/>
          <w:b/>
          <w:bCs/>
          <w:color w:val="222222"/>
        </w:rPr>
        <w:t xml:space="preserve"> </w:t>
      </w:r>
      <w:r w:rsidRPr="002025B1">
        <w:rPr>
          <w:rStyle w:val="e24kjd"/>
          <w:color w:val="222222"/>
        </w:rPr>
        <w:t>price</w:t>
      </w:r>
      <w:r w:rsidRPr="000E09E7">
        <w:rPr>
          <w:rStyle w:val="e24kjd"/>
          <w:b/>
          <w:bCs/>
          <w:color w:val="222222"/>
        </w:rPr>
        <w:t xml:space="preserve"> </w:t>
      </w:r>
      <w:r w:rsidRPr="002025B1">
        <w:rPr>
          <w:rStyle w:val="e24kjd"/>
          <w:color w:val="222222"/>
        </w:rPr>
        <w:t>decreases</w:t>
      </w:r>
      <w:r w:rsidRPr="000E09E7">
        <w:rPr>
          <w:rStyle w:val="e24kjd"/>
          <w:color w:val="222222"/>
        </w:rPr>
        <w:t>.</w:t>
      </w:r>
    </w:p>
    <w:p w14:paraId="5686AD4F" w14:textId="0AE770DC" w:rsidR="004278FA" w:rsidRDefault="004278FA" w:rsidP="002025B1">
      <w:pPr>
        <w:pStyle w:val="NormalWeb"/>
        <w:shd w:val="clear" w:color="auto" w:fill="FFFFFF"/>
        <w:spacing w:before="0" w:beforeAutospacing="0" w:after="0" w:afterAutospacing="0"/>
        <w:ind w:left="360"/>
        <w:jc w:val="both"/>
        <w:textAlignment w:val="baseline"/>
        <w:rPr>
          <w:rStyle w:val="e24kjd"/>
          <w:color w:val="222222"/>
        </w:rPr>
      </w:pPr>
    </w:p>
    <w:p w14:paraId="6BE15061" w14:textId="5C160E56" w:rsidR="004278FA" w:rsidRDefault="004278FA" w:rsidP="004278FA">
      <w:pPr>
        <w:pStyle w:val="NormalWeb"/>
        <w:shd w:val="clear" w:color="auto" w:fill="FFFFFF"/>
        <w:spacing w:before="0" w:beforeAutospacing="0" w:after="0" w:afterAutospacing="0"/>
        <w:ind w:left="360"/>
        <w:jc w:val="center"/>
        <w:textAlignment w:val="baseline"/>
        <w:rPr>
          <w:rStyle w:val="e24kjd"/>
          <w:b/>
          <w:bCs/>
          <w:color w:val="222222"/>
          <w:sz w:val="28"/>
          <w:szCs w:val="28"/>
        </w:rPr>
      </w:pPr>
      <w:r w:rsidRPr="004278FA">
        <w:rPr>
          <w:rStyle w:val="e24kjd"/>
          <w:b/>
          <w:bCs/>
          <w:color w:val="222222"/>
          <w:sz w:val="28"/>
          <w:szCs w:val="28"/>
        </w:rPr>
        <w:t xml:space="preserve">Steps </w:t>
      </w:r>
    </w:p>
    <w:p w14:paraId="5530EA62" w14:textId="77777777" w:rsidR="004278FA" w:rsidRDefault="004278FA" w:rsidP="004278FA">
      <w:pPr>
        <w:pStyle w:val="NormalWeb"/>
        <w:shd w:val="clear" w:color="auto" w:fill="FFFFFF"/>
        <w:spacing w:before="0" w:beforeAutospacing="0" w:after="0" w:afterAutospacing="0"/>
        <w:ind w:left="360"/>
        <w:jc w:val="center"/>
        <w:textAlignment w:val="baseline"/>
        <w:rPr>
          <w:rStyle w:val="e24kjd"/>
          <w:b/>
          <w:bCs/>
          <w:color w:val="222222"/>
          <w:sz w:val="28"/>
          <w:szCs w:val="28"/>
        </w:rPr>
      </w:pPr>
    </w:p>
    <w:p w14:paraId="548EA597" w14:textId="5F25C0FE" w:rsidR="004278FA" w:rsidRPr="0084680B" w:rsidRDefault="004278FA" w:rsidP="0084680B">
      <w:pPr>
        <w:pStyle w:val="NormalWeb"/>
        <w:numPr>
          <w:ilvl w:val="0"/>
          <w:numId w:val="11"/>
        </w:numPr>
        <w:shd w:val="clear" w:color="auto" w:fill="FFFFFF"/>
        <w:spacing w:before="0" w:beforeAutospacing="0" w:after="0" w:afterAutospacing="0"/>
        <w:jc w:val="both"/>
        <w:textAlignment w:val="baseline"/>
        <w:rPr>
          <w:rStyle w:val="e24kjd"/>
          <w:color w:val="222222"/>
        </w:rPr>
      </w:pPr>
      <w:r w:rsidRPr="0084680B">
        <w:rPr>
          <w:rStyle w:val="e24kjd"/>
          <w:color w:val="222222"/>
        </w:rPr>
        <w:t xml:space="preserve">The data for the stock for every sector was collected from </w:t>
      </w:r>
    </w:p>
    <w:p w14:paraId="4669B4E7" w14:textId="0FB89242" w:rsidR="004278FA" w:rsidRPr="0084680B" w:rsidRDefault="00120B32" w:rsidP="0084680B">
      <w:pPr>
        <w:pStyle w:val="NormalWeb"/>
        <w:shd w:val="clear" w:color="auto" w:fill="FFFFFF"/>
        <w:spacing w:before="0" w:beforeAutospacing="0" w:after="0" w:afterAutospacing="0"/>
        <w:ind w:left="720"/>
        <w:jc w:val="both"/>
        <w:textAlignment w:val="baseline"/>
      </w:pPr>
      <w:hyperlink r:id="rId7" w:history="1">
        <w:r w:rsidR="004278FA" w:rsidRPr="0084680B">
          <w:rPr>
            <w:rStyle w:val="Hyperlink"/>
            <w:rFonts w:eastAsiaTheme="majorEastAsia"/>
          </w:rPr>
          <w:t>https://www.moneycontrol.com/</w:t>
        </w:r>
      </w:hyperlink>
    </w:p>
    <w:p w14:paraId="36CFAFEA" w14:textId="0AFA1213" w:rsidR="004278FA" w:rsidRPr="0084680B" w:rsidRDefault="004278FA" w:rsidP="0084680B">
      <w:pPr>
        <w:pStyle w:val="NormalWeb"/>
        <w:numPr>
          <w:ilvl w:val="0"/>
          <w:numId w:val="11"/>
        </w:numPr>
        <w:shd w:val="clear" w:color="auto" w:fill="FFFFFF"/>
        <w:spacing w:before="0" w:beforeAutospacing="0" w:after="0" w:afterAutospacing="0"/>
        <w:jc w:val="both"/>
        <w:textAlignment w:val="baseline"/>
        <w:rPr>
          <w:rStyle w:val="e24kjd"/>
          <w:color w:val="222222"/>
        </w:rPr>
      </w:pPr>
      <w:r w:rsidRPr="0084680B">
        <w:rPr>
          <w:rStyle w:val="e24kjd"/>
          <w:color w:val="222222"/>
        </w:rPr>
        <w:t>For every sector 4 companies’ stocks were gathered respectively</w:t>
      </w:r>
    </w:p>
    <w:p w14:paraId="599C4C60" w14:textId="26E144BA" w:rsidR="004278FA" w:rsidRPr="0084680B" w:rsidRDefault="004278FA" w:rsidP="0084680B">
      <w:pPr>
        <w:pStyle w:val="NormalWeb"/>
        <w:numPr>
          <w:ilvl w:val="0"/>
          <w:numId w:val="11"/>
        </w:numPr>
        <w:shd w:val="clear" w:color="auto" w:fill="FFFFFF"/>
        <w:spacing w:before="0" w:beforeAutospacing="0" w:after="0" w:afterAutospacing="0"/>
        <w:jc w:val="both"/>
        <w:textAlignment w:val="baseline"/>
        <w:rPr>
          <w:rStyle w:val="e24kjd"/>
          <w:color w:val="222222"/>
        </w:rPr>
      </w:pPr>
      <w:r w:rsidRPr="0084680B">
        <w:rPr>
          <w:rStyle w:val="e24kjd"/>
          <w:color w:val="222222"/>
        </w:rPr>
        <w:t xml:space="preserve">The first datasets for each sector was related to Pre-Lockdown </w:t>
      </w:r>
    </w:p>
    <w:p w14:paraId="2B164D0B" w14:textId="69C45F7D" w:rsidR="004278FA" w:rsidRPr="0084680B" w:rsidRDefault="004278FA" w:rsidP="0084680B">
      <w:pPr>
        <w:pStyle w:val="NormalWeb"/>
        <w:shd w:val="clear" w:color="auto" w:fill="FFFFFF"/>
        <w:spacing w:before="0" w:beforeAutospacing="0" w:after="0" w:afterAutospacing="0"/>
        <w:ind w:left="720"/>
        <w:jc w:val="both"/>
        <w:textAlignment w:val="baseline"/>
        <w:rPr>
          <w:rStyle w:val="e24kjd"/>
          <w:color w:val="222222"/>
        </w:rPr>
      </w:pPr>
      <w:r w:rsidRPr="0084680B">
        <w:rPr>
          <w:rStyle w:val="e24kjd"/>
          <w:color w:val="222222"/>
        </w:rPr>
        <w:t>Pre-Lockdown 01-01-2020 to 25-03-2020</w:t>
      </w:r>
    </w:p>
    <w:p w14:paraId="163A0665" w14:textId="71C67615" w:rsidR="004278FA" w:rsidRPr="0084680B" w:rsidRDefault="004278FA" w:rsidP="0084680B">
      <w:pPr>
        <w:pStyle w:val="NormalWeb"/>
        <w:numPr>
          <w:ilvl w:val="0"/>
          <w:numId w:val="11"/>
        </w:numPr>
        <w:shd w:val="clear" w:color="auto" w:fill="FFFFFF"/>
        <w:spacing w:before="0" w:beforeAutospacing="0" w:after="0" w:afterAutospacing="0"/>
        <w:jc w:val="both"/>
        <w:textAlignment w:val="baseline"/>
        <w:rPr>
          <w:rStyle w:val="e24kjd"/>
          <w:color w:val="222222"/>
        </w:rPr>
      </w:pPr>
      <w:r w:rsidRPr="0084680B">
        <w:rPr>
          <w:rStyle w:val="e24kjd"/>
          <w:color w:val="222222"/>
        </w:rPr>
        <w:t>The second datasets for each sector was related to Post-Lockdown</w:t>
      </w:r>
    </w:p>
    <w:p w14:paraId="65ACE602" w14:textId="2D903E2A" w:rsidR="004278FA" w:rsidRPr="0084680B" w:rsidRDefault="004278FA" w:rsidP="0084680B">
      <w:pPr>
        <w:pStyle w:val="NormalWeb"/>
        <w:shd w:val="clear" w:color="auto" w:fill="FFFFFF"/>
        <w:spacing w:before="0" w:beforeAutospacing="0" w:after="0" w:afterAutospacing="0"/>
        <w:ind w:left="720"/>
        <w:jc w:val="both"/>
        <w:textAlignment w:val="baseline"/>
        <w:rPr>
          <w:rStyle w:val="e24kjd"/>
          <w:color w:val="222222"/>
        </w:rPr>
      </w:pPr>
      <w:r w:rsidRPr="0084680B">
        <w:rPr>
          <w:rStyle w:val="e24kjd"/>
          <w:color w:val="222222"/>
        </w:rPr>
        <w:t>Post-Lockdown 26-03-2020 to 25-06-2020</w:t>
      </w:r>
    </w:p>
    <w:p w14:paraId="3D2575E5" w14:textId="47BD626A" w:rsidR="004278FA" w:rsidRPr="0084680B" w:rsidRDefault="004278FA" w:rsidP="0084680B">
      <w:pPr>
        <w:pStyle w:val="NormalWeb"/>
        <w:numPr>
          <w:ilvl w:val="0"/>
          <w:numId w:val="11"/>
        </w:numPr>
        <w:shd w:val="clear" w:color="auto" w:fill="FFFFFF"/>
        <w:spacing w:before="0" w:beforeAutospacing="0" w:after="0" w:afterAutospacing="0"/>
        <w:jc w:val="both"/>
        <w:textAlignment w:val="baseline"/>
        <w:rPr>
          <w:rStyle w:val="e24kjd"/>
          <w:color w:val="222222"/>
        </w:rPr>
      </w:pPr>
      <w:r w:rsidRPr="0084680B">
        <w:rPr>
          <w:rStyle w:val="e24kjd"/>
          <w:color w:val="222222"/>
        </w:rPr>
        <w:t>Each dataset contained 60 days of data for every stocks</w:t>
      </w:r>
    </w:p>
    <w:p w14:paraId="1EA444DA" w14:textId="5E70E360" w:rsidR="004278FA" w:rsidRPr="0084680B" w:rsidRDefault="004278FA" w:rsidP="0084680B">
      <w:pPr>
        <w:pStyle w:val="NormalWeb"/>
        <w:numPr>
          <w:ilvl w:val="0"/>
          <w:numId w:val="11"/>
        </w:numPr>
        <w:shd w:val="clear" w:color="auto" w:fill="FFFFFF"/>
        <w:spacing w:before="0" w:beforeAutospacing="0" w:after="0" w:afterAutospacing="0"/>
        <w:jc w:val="both"/>
        <w:textAlignment w:val="baseline"/>
        <w:rPr>
          <w:rStyle w:val="e24kjd"/>
          <w:color w:val="222222"/>
        </w:rPr>
      </w:pPr>
      <w:r w:rsidRPr="0084680B">
        <w:rPr>
          <w:rStyle w:val="e24kjd"/>
          <w:color w:val="222222"/>
        </w:rPr>
        <w:t xml:space="preserve">The excel file contained columns such as </w:t>
      </w:r>
    </w:p>
    <w:p w14:paraId="2BCFD13D" w14:textId="6453DD2D" w:rsidR="004278FA" w:rsidRPr="0084680B" w:rsidRDefault="004278FA" w:rsidP="0084680B">
      <w:pPr>
        <w:pStyle w:val="NormalWeb"/>
        <w:shd w:val="clear" w:color="auto" w:fill="FFFFFF"/>
        <w:spacing w:before="0" w:beforeAutospacing="0" w:after="0" w:afterAutospacing="0"/>
        <w:ind w:left="720"/>
        <w:jc w:val="both"/>
        <w:textAlignment w:val="baseline"/>
        <w:rPr>
          <w:rStyle w:val="e24kjd"/>
          <w:color w:val="222222"/>
        </w:rPr>
      </w:pPr>
      <w:r w:rsidRPr="0084680B">
        <w:rPr>
          <w:rStyle w:val="e24kjd"/>
          <w:color w:val="222222"/>
        </w:rPr>
        <w:t xml:space="preserve">Dates, High, Low, Close &amp; Volume </w:t>
      </w:r>
    </w:p>
    <w:p w14:paraId="0058F8F1" w14:textId="73E9939C" w:rsidR="004278FA" w:rsidRPr="0084680B" w:rsidRDefault="004278FA" w:rsidP="0084680B">
      <w:pPr>
        <w:pStyle w:val="NormalWeb"/>
        <w:numPr>
          <w:ilvl w:val="0"/>
          <w:numId w:val="11"/>
        </w:numPr>
        <w:shd w:val="clear" w:color="auto" w:fill="FFFFFF"/>
        <w:spacing w:before="0" w:beforeAutospacing="0" w:after="0" w:afterAutospacing="0"/>
        <w:jc w:val="both"/>
        <w:textAlignment w:val="baseline"/>
        <w:rPr>
          <w:rStyle w:val="e24kjd"/>
          <w:color w:val="222222"/>
        </w:rPr>
      </w:pPr>
      <w:r w:rsidRPr="0084680B">
        <w:rPr>
          <w:rStyle w:val="e24kjd"/>
          <w:color w:val="222222"/>
        </w:rPr>
        <w:t>It was converted into the CSV file for performing the operations</w:t>
      </w:r>
      <w:r w:rsidR="0084680B">
        <w:rPr>
          <w:rStyle w:val="e24kjd"/>
          <w:color w:val="222222"/>
        </w:rPr>
        <w:t xml:space="preserve"> with Python</w:t>
      </w:r>
    </w:p>
    <w:p w14:paraId="7D04DC67" w14:textId="0E1DDC4A" w:rsidR="004278FA" w:rsidRPr="0084680B" w:rsidRDefault="004278FA" w:rsidP="0084680B">
      <w:pPr>
        <w:pStyle w:val="NormalWeb"/>
        <w:numPr>
          <w:ilvl w:val="0"/>
          <w:numId w:val="11"/>
        </w:numPr>
        <w:shd w:val="clear" w:color="auto" w:fill="FFFFFF"/>
        <w:spacing w:before="0" w:beforeAutospacing="0" w:after="0" w:afterAutospacing="0"/>
        <w:jc w:val="both"/>
        <w:textAlignment w:val="baseline"/>
        <w:rPr>
          <w:rStyle w:val="e24kjd"/>
          <w:color w:val="222222"/>
        </w:rPr>
      </w:pPr>
      <w:r w:rsidRPr="0084680B">
        <w:rPr>
          <w:rStyle w:val="e24kjd"/>
          <w:color w:val="222222"/>
        </w:rPr>
        <w:t xml:space="preserve">Different statistical tools were applied such as </w:t>
      </w:r>
    </w:p>
    <w:p w14:paraId="3CC04178" w14:textId="77777777" w:rsidR="004278FA" w:rsidRPr="0084680B" w:rsidRDefault="004278FA" w:rsidP="0084680B">
      <w:pPr>
        <w:pStyle w:val="NormalWeb"/>
        <w:shd w:val="clear" w:color="auto" w:fill="FFFFFF"/>
        <w:spacing w:before="0" w:beforeAutospacing="0" w:after="0" w:afterAutospacing="0"/>
        <w:ind w:left="720"/>
        <w:jc w:val="both"/>
        <w:textAlignment w:val="baseline"/>
        <w:rPr>
          <w:rStyle w:val="e24kjd"/>
          <w:color w:val="222222"/>
        </w:rPr>
      </w:pPr>
      <w:r w:rsidRPr="0084680B">
        <w:rPr>
          <w:rStyle w:val="e24kjd"/>
          <w:color w:val="222222"/>
        </w:rPr>
        <w:t>Central Tendency, Measure of Spread, Plotting &amp; Analysis</w:t>
      </w:r>
    </w:p>
    <w:p w14:paraId="7D227F1F" w14:textId="3E02C443" w:rsidR="004278FA" w:rsidRPr="0084680B" w:rsidRDefault="004278FA" w:rsidP="0084680B">
      <w:pPr>
        <w:pStyle w:val="NormalWeb"/>
        <w:numPr>
          <w:ilvl w:val="0"/>
          <w:numId w:val="11"/>
        </w:numPr>
        <w:shd w:val="clear" w:color="auto" w:fill="FFFFFF"/>
        <w:spacing w:before="0" w:beforeAutospacing="0" w:after="0" w:afterAutospacing="0"/>
        <w:jc w:val="both"/>
        <w:textAlignment w:val="baseline"/>
        <w:rPr>
          <w:rStyle w:val="e24kjd"/>
          <w:color w:val="222222"/>
        </w:rPr>
      </w:pPr>
      <w:r w:rsidRPr="0084680B">
        <w:rPr>
          <w:rStyle w:val="e24kjd"/>
          <w:color w:val="222222"/>
        </w:rPr>
        <w:t xml:space="preserve">The percentage </w:t>
      </w:r>
      <w:r w:rsidR="0084680B">
        <w:rPr>
          <w:rStyle w:val="e24kjd"/>
          <w:color w:val="222222"/>
        </w:rPr>
        <w:t>were</w:t>
      </w:r>
      <w:r w:rsidRPr="0084680B">
        <w:rPr>
          <w:rStyle w:val="e24kjd"/>
          <w:color w:val="222222"/>
        </w:rPr>
        <w:t xml:space="preserve"> calculated to understand the change of mean for Close </w:t>
      </w:r>
    </w:p>
    <w:p w14:paraId="2A98B6BC" w14:textId="37E80E46" w:rsidR="004278FA" w:rsidRPr="0084680B" w:rsidRDefault="004278FA" w:rsidP="0084680B">
      <w:pPr>
        <w:pStyle w:val="NormalWeb"/>
        <w:numPr>
          <w:ilvl w:val="0"/>
          <w:numId w:val="11"/>
        </w:numPr>
        <w:shd w:val="clear" w:color="auto" w:fill="FFFFFF"/>
        <w:spacing w:before="0" w:beforeAutospacing="0" w:after="0" w:afterAutospacing="0"/>
        <w:jc w:val="both"/>
        <w:textAlignment w:val="baseline"/>
        <w:rPr>
          <w:rStyle w:val="e24kjd"/>
          <w:color w:val="222222"/>
        </w:rPr>
      </w:pPr>
      <w:r w:rsidRPr="0084680B">
        <w:rPr>
          <w:rStyle w:val="e24kjd"/>
          <w:color w:val="222222"/>
        </w:rPr>
        <w:t xml:space="preserve">Comparative study was done on both the </w:t>
      </w:r>
      <w:r w:rsidR="0084680B" w:rsidRPr="0084680B">
        <w:rPr>
          <w:rStyle w:val="e24kjd"/>
          <w:color w:val="222222"/>
        </w:rPr>
        <w:t>obtained</w:t>
      </w:r>
      <w:r w:rsidRPr="0084680B">
        <w:rPr>
          <w:rStyle w:val="e24kjd"/>
          <w:color w:val="222222"/>
        </w:rPr>
        <w:t xml:space="preserve"> va</w:t>
      </w:r>
      <w:r w:rsidR="0084680B" w:rsidRPr="0084680B">
        <w:rPr>
          <w:rStyle w:val="e24kjd"/>
          <w:color w:val="222222"/>
        </w:rPr>
        <w:t xml:space="preserve">lues to understand the use case. </w:t>
      </w:r>
      <w:r w:rsidRPr="0084680B">
        <w:rPr>
          <w:rStyle w:val="e24kjd"/>
          <w:color w:val="222222"/>
        </w:rPr>
        <w:t xml:space="preserve">  </w:t>
      </w:r>
    </w:p>
    <w:p w14:paraId="0F858D9D" w14:textId="00389948" w:rsidR="002025B1" w:rsidRPr="0084680B" w:rsidRDefault="002025B1" w:rsidP="0084680B">
      <w:pPr>
        <w:pStyle w:val="NormalWeb"/>
        <w:shd w:val="clear" w:color="auto" w:fill="FFFFFF"/>
        <w:spacing w:before="0" w:beforeAutospacing="0" w:after="0" w:afterAutospacing="0"/>
        <w:ind w:left="360"/>
        <w:jc w:val="both"/>
        <w:textAlignment w:val="baseline"/>
        <w:rPr>
          <w:rStyle w:val="e24kjd"/>
          <w:color w:val="222222"/>
        </w:rPr>
      </w:pPr>
    </w:p>
    <w:p w14:paraId="165D05AC" w14:textId="7522E590" w:rsidR="00015426" w:rsidRDefault="00015426" w:rsidP="00015426">
      <w:pPr>
        <w:pStyle w:val="NormalWeb"/>
        <w:shd w:val="clear" w:color="auto" w:fill="FFFFFF"/>
        <w:spacing w:before="0" w:beforeAutospacing="0" w:after="0" w:afterAutospacing="0"/>
        <w:ind w:left="360"/>
        <w:jc w:val="center"/>
        <w:textAlignment w:val="baseline"/>
        <w:rPr>
          <w:rStyle w:val="e24kjd"/>
          <w:b/>
          <w:bCs/>
          <w:color w:val="222222"/>
          <w:sz w:val="28"/>
          <w:szCs w:val="28"/>
        </w:rPr>
      </w:pPr>
      <w:r w:rsidRPr="00015426">
        <w:rPr>
          <w:rStyle w:val="e24kjd"/>
          <w:b/>
          <w:bCs/>
          <w:color w:val="222222"/>
          <w:sz w:val="28"/>
          <w:szCs w:val="28"/>
        </w:rPr>
        <w:t>Results</w:t>
      </w:r>
    </w:p>
    <w:p w14:paraId="56CDC5E3" w14:textId="77777777" w:rsidR="00015426" w:rsidRDefault="00015426" w:rsidP="00015426">
      <w:pPr>
        <w:pStyle w:val="NormalWeb"/>
        <w:shd w:val="clear" w:color="auto" w:fill="FFFFFF"/>
        <w:spacing w:before="0" w:beforeAutospacing="0" w:after="0" w:afterAutospacing="0"/>
        <w:ind w:left="360"/>
        <w:jc w:val="center"/>
        <w:textAlignment w:val="baseline"/>
        <w:rPr>
          <w:rStyle w:val="e24kjd"/>
          <w:b/>
          <w:bCs/>
          <w:color w:val="222222"/>
          <w:sz w:val="28"/>
          <w:szCs w:val="28"/>
        </w:rPr>
      </w:pPr>
    </w:p>
    <w:p w14:paraId="1E1BB30B" w14:textId="29741ABC" w:rsidR="00015426" w:rsidRDefault="00015426" w:rsidP="00C27D1A">
      <w:pPr>
        <w:pStyle w:val="NormalWeb"/>
        <w:numPr>
          <w:ilvl w:val="0"/>
          <w:numId w:val="6"/>
        </w:numPr>
        <w:shd w:val="clear" w:color="auto" w:fill="FFFFFF"/>
        <w:spacing w:before="0" w:beforeAutospacing="0" w:after="0" w:afterAutospacing="0"/>
        <w:textAlignment w:val="baseline"/>
        <w:rPr>
          <w:rStyle w:val="e24kjd"/>
          <w:b/>
          <w:bCs/>
          <w:color w:val="222222"/>
          <w:sz w:val="28"/>
          <w:szCs w:val="28"/>
        </w:rPr>
      </w:pPr>
      <w:r>
        <w:rPr>
          <w:rStyle w:val="e24kjd"/>
          <w:b/>
          <w:bCs/>
          <w:color w:val="222222"/>
          <w:sz w:val="28"/>
          <w:szCs w:val="28"/>
        </w:rPr>
        <w:t>Stock Closing Price Analysis in Percentage for Various Sectors</w:t>
      </w:r>
    </w:p>
    <w:p w14:paraId="66325CA3" w14:textId="3CB10474" w:rsidR="00DB398A" w:rsidRPr="00DB398A" w:rsidRDefault="00DB398A" w:rsidP="00DB398A">
      <w:pPr>
        <w:pStyle w:val="NormalWeb"/>
        <w:numPr>
          <w:ilvl w:val="0"/>
          <w:numId w:val="7"/>
        </w:numPr>
        <w:shd w:val="clear" w:color="auto" w:fill="FFFFFF"/>
        <w:spacing w:before="0" w:beforeAutospacing="0" w:after="0" w:afterAutospacing="0"/>
        <w:textAlignment w:val="baseline"/>
        <w:rPr>
          <w:rStyle w:val="e24kjd"/>
          <w:b/>
          <w:bCs/>
          <w:color w:val="222222"/>
          <w:sz w:val="28"/>
          <w:szCs w:val="28"/>
        </w:rPr>
      </w:pPr>
      <w:r>
        <w:rPr>
          <w:rStyle w:val="e24kjd"/>
          <w:color w:val="222222"/>
        </w:rPr>
        <w:t xml:space="preserve">The + sign indicates the Increase </w:t>
      </w:r>
    </w:p>
    <w:p w14:paraId="549BD71F" w14:textId="456DCB1D" w:rsidR="00015426" w:rsidRDefault="00DB398A" w:rsidP="00015426">
      <w:pPr>
        <w:pStyle w:val="NormalWeb"/>
        <w:numPr>
          <w:ilvl w:val="0"/>
          <w:numId w:val="7"/>
        </w:numPr>
        <w:shd w:val="clear" w:color="auto" w:fill="FFFFFF"/>
        <w:spacing w:before="0" w:beforeAutospacing="0" w:after="0" w:afterAutospacing="0"/>
        <w:textAlignment w:val="baseline"/>
        <w:rPr>
          <w:rStyle w:val="e24kjd"/>
          <w:b/>
          <w:bCs/>
          <w:color w:val="222222"/>
          <w:sz w:val="28"/>
          <w:szCs w:val="28"/>
        </w:rPr>
      </w:pPr>
      <w:r>
        <w:rPr>
          <w:rStyle w:val="e24kjd"/>
          <w:color w:val="222222"/>
        </w:rPr>
        <w:t>The – sign indicates the Decrease</w:t>
      </w:r>
    </w:p>
    <w:p w14:paraId="2015E34A" w14:textId="77777777" w:rsidR="00DB398A" w:rsidRPr="00DB398A" w:rsidRDefault="00DB398A" w:rsidP="00DB398A">
      <w:pPr>
        <w:pStyle w:val="NormalWeb"/>
        <w:shd w:val="clear" w:color="auto" w:fill="FFFFFF"/>
        <w:spacing w:before="0" w:beforeAutospacing="0" w:after="0" w:afterAutospacing="0"/>
        <w:ind w:left="720"/>
        <w:textAlignment w:val="baseline"/>
        <w:rPr>
          <w:rStyle w:val="e24kjd"/>
          <w:b/>
          <w:bCs/>
          <w:color w:val="222222"/>
          <w:sz w:val="28"/>
          <w:szCs w:val="28"/>
        </w:rPr>
      </w:pPr>
    </w:p>
    <w:p w14:paraId="6D263715" w14:textId="7D14D36E" w:rsidR="00015426" w:rsidRDefault="00015426" w:rsidP="00015426">
      <w:pPr>
        <w:pStyle w:val="NormalWeb"/>
        <w:numPr>
          <w:ilvl w:val="0"/>
          <w:numId w:val="5"/>
        </w:numPr>
        <w:shd w:val="clear" w:color="auto" w:fill="FFFFFF"/>
        <w:spacing w:before="0" w:beforeAutospacing="0" w:after="0" w:afterAutospacing="0"/>
        <w:textAlignment w:val="baseline"/>
        <w:rPr>
          <w:rStyle w:val="e24kjd"/>
          <w:b/>
          <w:bCs/>
          <w:color w:val="222222"/>
          <w:sz w:val="28"/>
          <w:szCs w:val="28"/>
        </w:rPr>
      </w:pPr>
      <w:r>
        <w:rPr>
          <w:rStyle w:val="e24kjd"/>
          <w:b/>
          <w:bCs/>
          <w:color w:val="222222"/>
          <w:sz w:val="28"/>
          <w:szCs w:val="28"/>
        </w:rPr>
        <w:t xml:space="preserve">Agriculture </w:t>
      </w:r>
    </w:p>
    <w:p w14:paraId="2300130E" w14:textId="77777777" w:rsidR="00015426" w:rsidRDefault="00015426" w:rsidP="00015426">
      <w:pPr>
        <w:pStyle w:val="NormalWeb"/>
        <w:shd w:val="clear" w:color="auto" w:fill="FFFFFF"/>
        <w:spacing w:before="0" w:beforeAutospacing="0" w:after="0" w:afterAutospacing="0"/>
        <w:ind w:left="360"/>
        <w:textAlignment w:val="baseline"/>
        <w:rPr>
          <w:rStyle w:val="e24kjd"/>
          <w:b/>
          <w:bCs/>
          <w:color w:val="222222"/>
          <w:sz w:val="28"/>
          <w:szCs w:val="28"/>
        </w:rPr>
      </w:pPr>
    </w:p>
    <w:tbl>
      <w:tblPr>
        <w:tblStyle w:val="TableGridLight"/>
        <w:tblW w:w="9266" w:type="dxa"/>
        <w:tblLook w:val="04A0" w:firstRow="1" w:lastRow="0" w:firstColumn="1" w:lastColumn="0" w:noHBand="0" w:noVBand="1"/>
      </w:tblPr>
      <w:tblGrid>
        <w:gridCol w:w="1853"/>
        <w:gridCol w:w="1853"/>
        <w:gridCol w:w="1853"/>
        <w:gridCol w:w="1853"/>
        <w:gridCol w:w="1854"/>
      </w:tblGrid>
      <w:tr w:rsidR="00015426" w14:paraId="1DE61743" w14:textId="77777777" w:rsidTr="00120B32">
        <w:trPr>
          <w:trHeight w:val="633"/>
        </w:trPr>
        <w:tc>
          <w:tcPr>
            <w:tcW w:w="1853" w:type="dxa"/>
          </w:tcPr>
          <w:p w14:paraId="3E9D5015" w14:textId="77777777" w:rsidR="00015426" w:rsidRPr="00015426" w:rsidRDefault="00015426" w:rsidP="00015426">
            <w:pPr>
              <w:spacing w:before="100" w:beforeAutospacing="1" w:after="100" w:afterAutospacing="1"/>
              <w:jc w:val="center"/>
              <w:rPr>
                <w:rFonts w:eastAsia="Times New Roman"/>
                <w:b/>
                <w:bCs/>
                <w:sz w:val="24"/>
                <w:szCs w:val="24"/>
                <w:lang w:val="en-US" w:eastAsia="en-IN"/>
              </w:rPr>
            </w:pPr>
            <w:r w:rsidRPr="00015426">
              <w:rPr>
                <w:rFonts w:eastAsia="Times New Roman"/>
                <w:b/>
                <w:bCs/>
                <w:sz w:val="24"/>
                <w:szCs w:val="24"/>
                <w:lang w:val="en-US" w:eastAsia="en-IN"/>
              </w:rPr>
              <w:t>Stock Name</w:t>
            </w:r>
          </w:p>
        </w:tc>
        <w:tc>
          <w:tcPr>
            <w:tcW w:w="1853" w:type="dxa"/>
          </w:tcPr>
          <w:p w14:paraId="3416116B" w14:textId="77777777" w:rsidR="00015426" w:rsidRPr="00015426" w:rsidRDefault="00015426" w:rsidP="00925E6F">
            <w:pPr>
              <w:jc w:val="center"/>
              <w:rPr>
                <w:b/>
                <w:bCs/>
                <w:sz w:val="24"/>
                <w:szCs w:val="24"/>
                <w:lang w:val="en-US"/>
              </w:rPr>
            </w:pPr>
            <w:r w:rsidRPr="00015426">
              <w:rPr>
                <w:b/>
                <w:bCs/>
                <w:sz w:val="24"/>
                <w:szCs w:val="24"/>
                <w:lang w:val="en-US"/>
              </w:rPr>
              <w:t>Bombay Burmah</w:t>
            </w:r>
          </w:p>
        </w:tc>
        <w:tc>
          <w:tcPr>
            <w:tcW w:w="1853" w:type="dxa"/>
          </w:tcPr>
          <w:p w14:paraId="4DA6FCE7" w14:textId="77777777" w:rsidR="00015426" w:rsidRPr="00015426" w:rsidRDefault="00015426" w:rsidP="00925E6F">
            <w:pPr>
              <w:jc w:val="center"/>
              <w:rPr>
                <w:b/>
                <w:bCs/>
                <w:sz w:val="24"/>
                <w:szCs w:val="24"/>
                <w:lang w:val="en-US"/>
              </w:rPr>
            </w:pPr>
            <w:r w:rsidRPr="00015426">
              <w:rPr>
                <w:b/>
                <w:bCs/>
                <w:sz w:val="24"/>
                <w:szCs w:val="24"/>
                <w:lang w:val="en-US"/>
              </w:rPr>
              <w:t>JK Agri Genetic</w:t>
            </w:r>
          </w:p>
        </w:tc>
        <w:tc>
          <w:tcPr>
            <w:tcW w:w="1853" w:type="dxa"/>
          </w:tcPr>
          <w:p w14:paraId="1A410B41" w14:textId="77777777" w:rsidR="00015426" w:rsidRPr="00015426" w:rsidRDefault="00015426" w:rsidP="00925E6F">
            <w:pPr>
              <w:jc w:val="center"/>
              <w:rPr>
                <w:b/>
                <w:bCs/>
                <w:sz w:val="24"/>
                <w:szCs w:val="24"/>
                <w:lang w:val="en-US"/>
              </w:rPr>
            </w:pPr>
            <w:r w:rsidRPr="00015426">
              <w:rPr>
                <w:b/>
                <w:bCs/>
                <w:sz w:val="24"/>
                <w:szCs w:val="24"/>
                <w:lang w:val="en-US"/>
              </w:rPr>
              <w:t>Kaveri Seed</w:t>
            </w:r>
          </w:p>
        </w:tc>
        <w:tc>
          <w:tcPr>
            <w:tcW w:w="1854" w:type="dxa"/>
          </w:tcPr>
          <w:p w14:paraId="4C596E37" w14:textId="77777777" w:rsidR="00015426" w:rsidRPr="00015426" w:rsidRDefault="00015426" w:rsidP="00925E6F">
            <w:pPr>
              <w:jc w:val="center"/>
              <w:rPr>
                <w:b/>
                <w:bCs/>
                <w:sz w:val="24"/>
                <w:szCs w:val="24"/>
                <w:lang w:val="en-US"/>
              </w:rPr>
            </w:pPr>
            <w:r w:rsidRPr="00015426">
              <w:rPr>
                <w:b/>
                <w:bCs/>
                <w:sz w:val="24"/>
                <w:szCs w:val="24"/>
                <w:lang w:val="en-US"/>
              </w:rPr>
              <w:t>Nath Bio Genes</w:t>
            </w:r>
          </w:p>
        </w:tc>
      </w:tr>
      <w:tr w:rsidR="00015426" w14:paraId="1CD5AC38" w14:textId="77777777" w:rsidTr="00120B32">
        <w:trPr>
          <w:trHeight w:val="536"/>
        </w:trPr>
        <w:tc>
          <w:tcPr>
            <w:tcW w:w="1853" w:type="dxa"/>
          </w:tcPr>
          <w:p w14:paraId="1F1732AB" w14:textId="77777777" w:rsidR="00015426" w:rsidRPr="00015426" w:rsidRDefault="00015426" w:rsidP="00925E6F">
            <w:pPr>
              <w:jc w:val="center"/>
              <w:rPr>
                <w:b/>
                <w:bCs/>
                <w:sz w:val="24"/>
                <w:szCs w:val="24"/>
                <w:lang w:val="en-US"/>
              </w:rPr>
            </w:pPr>
            <w:r w:rsidRPr="00015426">
              <w:rPr>
                <w:b/>
                <w:bCs/>
                <w:sz w:val="24"/>
                <w:szCs w:val="24"/>
                <w:lang w:val="en-US"/>
              </w:rPr>
              <w:t>Pre-Lockdown</w:t>
            </w:r>
          </w:p>
        </w:tc>
        <w:tc>
          <w:tcPr>
            <w:tcW w:w="1853" w:type="dxa"/>
          </w:tcPr>
          <w:p w14:paraId="57FF8EFB" w14:textId="77777777" w:rsidR="00015426" w:rsidRDefault="00015426" w:rsidP="00925E6F">
            <w:pPr>
              <w:jc w:val="center"/>
              <w:rPr>
                <w:sz w:val="24"/>
                <w:szCs w:val="24"/>
                <w:lang w:val="en-US"/>
              </w:rPr>
            </w:pPr>
            <w:r>
              <w:rPr>
                <w:sz w:val="24"/>
                <w:szCs w:val="24"/>
                <w:lang w:val="en-US"/>
              </w:rPr>
              <w:t>1067.64</w:t>
            </w:r>
          </w:p>
        </w:tc>
        <w:tc>
          <w:tcPr>
            <w:tcW w:w="1853" w:type="dxa"/>
          </w:tcPr>
          <w:p w14:paraId="021D0A41" w14:textId="77777777" w:rsidR="00015426" w:rsidRDefault="00015426" w:rsidP="00925E6F">
            <w:pPr>
              <w:jc w:val="center"/>
              <w:rPr>
                <w:sz w:val="24"/>
                <w:szCs w:val="24"/>
                <w:lang w:val="en-US"/>
              </w:rPr>
            </w:pPr>
            <w:r>
              <w:rPr>
                <w:sz w:val="24"/>
                <w:szCs w:val="24"/>
                <w:lang w:val="en-US"/>
              </w:rPr>
              <w:t>381.05</w:t>
            </w:r>
          </w:p>
        </w:tc>
        <w:tc>
          <w:tcPr>
            <w:tcW w:w="1853" w:type="dxa"/>
          </w:tcPr>
          <w:p w14:paraId="2F1F15A3" w14:textId="77777777" w:rsidR="00015426" w:rsidRDefault="00015426" w:rsidP="00925E6F">
            <w:pPr>
              <w:jc w:val="center"/>
              <w:rPr>
                <w:sz w:val="24"/>
                <w:szCs w:val="24"/>
                <w:lang w:val="en-US"/>
              </w:rPr>
            </w:pPr>
            <w:r>
              <w:rPr>
                <w:sz w:val="24"/>
                <w:szCs w:val="24"/>
                <w:lang w:val="en-US"/>
              </w:rPr>
              <w:t>450.46</w:t>
            </w:r>
          </w:p>
        </w:tc>
        <w:tc>
          <w:tcPr>
            <w:tcW w:w="1854" w:type="dxa"/>
          </w:tcPr>
          <w:p w14:paraId="568DE6A2" w14:textId="77777777" w:rsidR="00015426" w:rsidRDefault="00015426" w:rsidP="00925E6F">
            <w:pPr>
              <w:jc w:val="center"/>
              <w:rPr>
                <w:sz w:val="24"/>
                <w:szCs w:val="24"/>
                <w:lang w:val="en-US"/>
              </w:rPr>
            </w:pPr>
            <w:r>
              <w:rPr>
                <w:sz w:val="24"/>
                <w:szCs w:val="24"/>
                <w:lang w:val="en-US"/>
              </w:rPr>
              <w:t>310.11</w:t>
            </w:r>
          </w:p>
        </w:tc>
      </w:tr>
      <w:tr w:rsidR="00015426" w14:paraId="0AE92270" w14:textId="77777777" w:rsidTr="00120B32">
        <w:trPr>
          <w:trHeight w:val="514"/>
        </w:trPr>
        <w:tc>
          <w:tcPr>
            <w:tcW w:w="1853" w:type="dxa"/>
          </w:tcPr>
          <w:p w14:paraId="4C3CB23D" w14:textId="77777777" w:rsidR="00015426" w:rsidRPr="00015426" w:rsidRDefault="00015426" w:rsidP="00925E6F">
            <w:pPr>
              <w:jc w:val="center"/>
              <w:rPr>
                <w:b/>
                <w:bCs/>
                <w:sz w:val="24"/>
                <w:szCs w:val="24"/>
                <w:lang w:val="en-US"/>
              </w:rPr>
            </w:pPr>
            <w:r w:rsidRPr="00015426">
              <w:rPr>
                <w:b/>
                <w:bCs/>
                <w:sz w:val="24"/>
                <w:szCs w:val="24"/>
                <w:lang w:val="en-US"/>
              </w:rPr>
              <w:t>Post-Lockdown</w:t>
            </w:r>
          </w:p>
        </w:tc>
        <w:tc>
          <w:tcPr>
            <w:tcW w:w="1853" w:type="dxa"/>
          </w:tcPr>
          <w:p w14:paraId="4F8EBC74" w14:textId="77777777" w:rsidR="00015426" w:rsidRDefault="00015426" w:rsidP="00925E6F">
            <w:pPr>
              <w:jc w:val="center"/>
              <w:rPr>
                <w:sz w:val="24"/>
                <w:szCs w:val="24"/>
                <w:lang w:val="en-US"/>
              </w:rPr>
            </w:pPr>
            <w:r>
              <w:rPr>
                <w:sz w:val="24"/>
                <w:szCs w:val="24"/>
                <w:lang w:val="en-US"/>
              </w:rPr>
              <w:t>893.08</w:t>
            </w:r>
          </w:p>
        </w:tc>
        <w:tc>
          <w:tcPr>
            <w:tcW w:w="1853" w:type="dxa"/>
          </w:tcPr>
          <w:p w14:paraId="31E0965E" w14:textId="77777777" w:rsidR="00015426" w:rsidRDefault="00015426" w:rsidP="00925E6F">
            <w:pPr>
              <w:jc w:val="center"/>
              <w:rPr>
                <w:sz w:val="24"/>
                <w:szCs w:val="24"/>
                <w:lang w:val="en-US"/>
              </w:rPr>
            </w:pPr>
            <w:r>
              <w:rPr>
                <w:sz w:val="24"/>
                <w:szCs w:val="24"/>
                <w:lang w:val="en-US"/>
              </w:rPr>
              <w:t>435.13</w:t>
            </w:r>
          </w:p>
        </w:tc>
        <w:tc>
          <w:tcPr>
            <w:tcW w:w="1853" w:type="dxa"/>
          </w:tcPr>
          <w:p w14:paraId="0FF56107" w14:textId="77777777" w:rsidR="00015426" w:rsidRDefault="00015426" w:rsidP="00925E6F">
            <w:pPr>
              <w:jc w:val="center"/>
              <w:rPr>
                <w:sz w:val="24"/>
                <w:szCs w:val="24"/>
                <w:lang w:val="en-US"/>
              </w:rPr>
            </w:pPr>
            <w:r>
              <w:rPr>
                <w:sz w:val="24"/>
                <w:szCs w:val="24"/>
                <w:lang w:val="en-US"/>
              </w:rPr>
              <w:t>420.67</w:t>
            </w:r>
          </w:p>
        </w:tc>
        <w:tc>
          <w:tcPr>
            <w:tcW w:w="1854" w:type="dxa"/>
          </w:tcPr>
          <w:p w14:paraId="53980AF4" w14:textId="77777777" w:rsidR="00015426" w:rsidRDefault="00015426" w:rsidP="00925E6F">
            <w:pPr>
              <w:jc w:val="center"/>
              <w:rPr>
                <w:sz w:val="24"/>
                <w:szCs w:val="24"/>
                <w:lang w:val="en-US"/>
              </w:rPr>
            </w:pPr>
            <w:r>
              <w:rPr>
                <w:sz w:val="24"/>
                <w:szCs w:val="24"/>
                <w:lang w:val="en-US"/>
              </w:rPr>
              <w:t>270.64</w:t>
            </w:r>
          </w:p>
        </w:tc>
      </w:tr>
      <w:tr w:rsidR="00015426" w14:paraId="75601D83" w14:textId="77777777" w:rsidTr="00120B32">
        <w:trPr>
          <w:trHeight w:val="606"/>
        </w:trPr>
        <w:tc>
          <w:tcPr>
            <w:tcW w:w="1853" w:type="dxa"/>
          </w:tcPr>
          <w:p w14:paraId="2CDAD677" w14:textId="77777777" w:rsidR="00015426" w:rsidRPr="00015426" w:rsidRDefault="00015426" w:rsidP="00925E6F">
            <w:pPr>
              <w:jc w:val="center"/>
              <w:rPr>
                <w:b/>
                <w:bCs/>
                <w:sz w:val="24"/>
                <w:szCs w:val="24"/>
                <w:lang w:val="en-US"/>
              </w:rPr>
            </w:pPr>
            <w:r w:rsidRPr="00015426">
              <w:rPr>
                <w:b/>
                <w:bCs/>
                <w:sz w:val="24"/>
                <w:szCs w:val="24"/>
                <w:lang w:val="en-US"/>
              </w:rPr>
              <w:t>Percentage change</w:t>
            </w:r>
          </w:p>
        </w:tc>
        <w:tc>
          <w:tcPr>
            <w:tcW w:w="1853" w:type="dxa"/>
          </w:tcPr>
          <w:p w14:paraId="62625A69" w14:textId="77777777" w:rsidR="00015426" w:rsidRDefault="00015426" w:rsidP="00925E6F">
            <w:pPr>
              <w:jc w:val="center"/>
              <w:rPr>
                <w:sz w:val="24"/>
                <w:szCs w:val="24"/>
                <w:lang w:val="en-US"/>
              </w:rPr>
            </w:pPr>
            <w:r>
              <w:rPr>
                <w:sz w:val="24"/>
                <w:szCs w:val="24"/>
                <w:lang w:val="en-US"/>
              </w:rPr>
              <w:t>-16.35 %</w:t>
            </w:r>
          </w:p>
        </w:tc>
        <w:tc>
          <w:tcPr>
            <w:tcW w:w="1853" w:type="dxa"/>
          </w:tcPr>
          <w:p w14:paraId="72335D69" w14:textId="77777777" w:rsidR="00015426" w:rsidRDefault="00015426" w:rsidP="00925E6F">
            <w:pPr>
              <w:jc w:val="center"/>
              <w:rPr>
                <w:sz w:val="24"/>
                <w:szCs w:val="24"/>
                <w:lang w:val="en-US"/>
              </w:rPr>
            </w:pPr>
            <w:r>
              <w:rPr>
                <w:sz w:val="24"/>
                <w:szCs w:val="24"/>
                <w:lang w:val="en-US"/>
              </w:rPr>
              <w:t>+ 14.19 %</w:t>
            </w:r>
          </w:p>
        </w:tc>
        <w:tc>
          <w:tcPr>
            <w:tcW w:w="1853" w:type="dxa"/>
          </w:tcPr>
          <w:p w14:paraId="37937B3B" w14:textId="77777777" w:rsidR="00015426" w:rsidRPr="007549EB" w:rsidRDefault="00015426" w:rsidP="00925E6F">
            <w:pPr>
              <w:jc w:val="center"/>
              <w:rPr>
                <w:sz w:val="24"/>
                <w:szCs w:val="24"/>
                <w:lang w:val="en-US"/>
              </w:rPr>
            </w:pPr>
            <w:r w:rsidRPr="007549EB">
              <w:rPr>
                <w:sz w:val="24"/>
                <w:szCs w:val="24"/>
                <w:lang w:val="en-US"/>
              </w:rPr>
              <w:t>-</w:t>
            </w:r>
            <w:r>
              <w:rPr>
                <w:sz w:val="24"/>
                <w:szCs w:val="24"/>
                <w:lang w:val="en-US"/>
              </w:rPr>
              <w:t xml:space="preserve"> </w:t>
            </w:r>
            <w:r w:rsidRPr="007549EB">
              <w:rPr>
                <w:sz w:val="24"/>
                <w:szCs w:val="24"/>
                <w:lang w:val="en-US"/>
              </w:rPr>
              <w:t>6.61 %</w:t>
            </w:r>
          </w:p>
        </w:tc>
        <w:tc>
          <w:tcPr>
            <w:tcW w:w="1854" w:type="dxa"/>
          </w:tcPr>
          <w:p w14:paraId="2FEB6A77" w14:textId="77777777" w:rsidR="00015426" w:rsidRDefault="00015426" w:rsidP="00925E6F">
            <w:pPr>
              <w:jc w:val="center"/>
              <w:rPr>
                <w:sz w:val="24"/>
                <w:szCs w:val="24"/>
                <w:lang w:val="en-US"/>
              </w:rPr>
            </w:pPr>
            <w:r>
              <w:rPr>
                <w:sz w:val="24"/>
                <w:szCs w:val="24"/>
                <w:lang w:val="en-US"/>
              </w:rPr>
              <w:t>- 12.72 %</w:t>
            </w:r>
          </w:p>
        </w:tc>
      </w:tr>
    </w:tbl>
    <w:p w14:paraId="39E63854" w14:textId="6D98852C" w:rsidR="0084680B" w:rsidRDefault="0084680B" w:rsidP="00015426">
      <w:pPr>
        <w:pStyle w:val="NormalWeb"/>
        <w:shd w:val="clear" w:color="auto" w:fill="FFFFFF"/>
        <w:spacing w:before="0" w:beforeAutospacing="0" w:after="0" w:afterAutospacing="0"/>
        <w:textAlignment w:val="baseline"/>
        <w:rPr>
          <w:rStyle w:val="e24kjd"/>
          <w:b/>
          <w:bCs/>
          <w:color w:val="222222"/>
          <w:sz w:val="28"/>
          <w:szCs w:val="28"/>
        </w:rPr>
      </w:pPr>
    </w:p>
    <w:p w14:paraId="543D6215" w14:textId="50D0E820" w:rsidR="00015426" w:rsidRDefault="00015426" w:rsidP="00015426">
      <w:pPr>
        <w:pStyle w:val="NormalWeb"/>
        <w:numPr>
          <w:ilvl w:val="0"/>
          <w:numId w:val="5"/>
        </w:numPr>
        <w:shd w:val="clear" w:color="auto" w:fill="FFFFFF"/>
        <w:spacing w:before="0" w:beforeAutospacing="0" w:after="0" w:afterAutospacing="0"/>
        <w:textAlignment w:val="baseline"/>
        <w:rPr>
          <w:rStyle w:val="e24kjd"/>
          <w:b/>
          <w:bCs/>
          <w:color w:val="222222"/>
          <w:sz w:val="28"/>
          <w:szCs w:val="28"/>
        </w:rPr>
      </w:pPr>
      <w:r>
        <w:rPr>
          <w:rStyle w:val="e24kjd"/>
          <w:b/>
          <w:bCs/>
          <w:color w:val="222222"/>
          <w:sz w:val="28"/>
          <w:szCs w:val="28"/>
        </w:rPr>
        <w:t>Aviation</w:t>
      </w:r>
    </w:p>
    <w:p w14:paraId="7965EE83" w14:textId="77777777" w:rsidR="00015426" w:rsidRDefault="00015426" w:rsidP="00015426">
      <w:pPr>
        <w:pStyle w:val="NormalWeb"/>
        <w:shd w:val="clear" w:color="auto" w:fill="FFFFFF"/>
        <w:spacing w:before="0" w:beforeAutospacing="0" w:after="0" w:afterAutospacing="0"/>
        <w:ind w:left="360"/>
        <w:textAlignment w:val="baseline"/>
        <w:rPr>
          <w:rStyle w:val="e24kjd"/>
          <w:b/>
          <w:bCs/>
          <w:color w:val="222222"/>
          <w:sz w:val="28"/>
          <w:szCs w:val="28"/>
        </w:rPr>
      </w:pPr>
    </w:p>
    <w:tbl>
      <w:tblPr>
        <w:tblStyle w:val="TableGridLight"/>
        <w:tblW w:w="9111" w:type="dxa"/>
        <w:tblLook w:val="04A0" w:firstRow="1" w:lastRow="0" w:firstColumn="1" w:lastColumn="0" w:noHBand="0" w:noVBand="1"/>
      </w:tblPr>
      <w:tblGrid>
        <w:gridCol w:w="1822"/>
        <w:gridCol w:w="1822"/>
        <w:gridCol w:w="1822"/>
        <w:gridCol w:w="1822"/>
        <w:gridCol w:w="1823"/>
      </w:tblGrid>
      <w:tr w:rsidR="00015426" w14:paraId="1033EF14" w14:textId="77777777" w:rsidTr="00DB398A">
        <w:trPr>
          <w:trHeight w:val="559"/>
        </w:trPr>
        <w:tc>
          <w:tcPr>
            <w:tcW w:w="1822" w:type="dxa"/>
          </w:tcPr>
          <w:p w14:paraId="50342684" w14:textId="77777777" w:rsidR="00015426" w:rsidRPr="00015426" w:rsidRDefault="00015426" w:rsidP="00925E6F">
            <w:pPr>
              <w:jc w:val="center"/>
              <w:rPr>
                <w:b/>
                <w:bCs/>
                <w:sz w:val="24"/>
                <w:szCs w:val="24"/>
                <w:lang w:val="en-US"/>
              </w:rPr>
            </w:pPr>
            <w:r w:rsidRPr="00015426">
              <w:rPr>
                <w:b/>
                <w:bCs/>
                <w:sz w:val="24"/>
                <w:szCs w:val="24"/>
                <w:lang w:val="en-US"/>
              </w:rPr>
              <w:t>Stock Name</w:t>
            </w:r>
          </w:p>
        </w:tc>
        <w:tc>
          <w:tcPr>
            <w:tcW w:w="1822" w:type="dxa"/>
          </w:tcPr>
          <w:p w14:paraId="7BB66500" w14:textId="77777777" w:rsidR="00015426" w:rsidRPr="00015426" w:rsidRDefault="00015426" w:rsidP="00925E6F">
            <w:pPr>
              <w:jc w:val="center"/>
              <w:rPr>
                <w:b/>
                <w:bCs/>
                <w:sz w:val="24"/>
                <w:szCs w:val="24"/>
                <w:lang w:val="en-US"/>
              </w:rPr>
            </w:pPr>
            <w:r w:rsidRPr="00015426">
              <w:rPr>
                <w:b/>
                <w:bCs/>
                <w:sz w:val="24"/>
                <w:szCs w:val="24"/>
                <w:lang w:val="en-US"/>
              </w:rPr>
              <w:t>Global Vectra</w:t>
            </w:r>
          </w:p>
        </w:tc>
        <w:tc>
          <w:tcPr>
            <w:tcW w:w="1822" w:type="dxa"/>
          </w:tcPr>
          <w:p w14:paraId="1F4DA30B" w14:textId="77777777" w:rsidR="00015426" w:rsidRPr="00015426" w:rsidRDefault="00015426" w:rsidP="00925E6F">
            <w:pPr>
              <w:jc w:val="center"/>
              <w:rPr>
                <w:b/>
                <w:bCs/>
                <w:sz w:val="24"/>
                <w:szCs w:val="24"/>
                <w:lang w:val="en-US"/>
              </w:rPr>
            </w:pPr>
            <w:r w:rsidRPr="00015426">
              <w:rPr>
                <w:b/>
                <w:bCs/>
                <w:sz w:val="24"/>
                <w:szCs w:val="24"/>
                <w:lang w:val="en-US"/>
              </w:rPr>
              <w:t>Interglobe Avi</w:t>
            </w:r>
          </w:p>
        </w:tc>
        <w:tc>
          <w:tcPr>
            <w:tcW w:w="1822" w:type="dxa"/>
          </w:tcPr>
          <w:p w14:paraId="0074A229" w14:textId="77777777" w:rsidR="00015426" w:rsidRPr="00015426" w:rsidRDefault="00015426" w:rsidP="00925E6F">
            <w:pPr>
              <w:jc w:val="center"/>
              <w:rPr>
                <w:b/>
                <w:bCs/>
                <w:sz w:val="24"/>
                <w:szCs w:val="24"/>
                <w:lang w:val="en-US"/>
              </w:rPr>
            </w:pPr>
            <w:r w:rsidRPr="00015426">
              <w:rPr>
                <w:b/>
                <w:bCs/>
                <w:sz w:val="24"/>
                <w:szCs w:val="24"/>
                <w:lang w:val="en-US"/>
              </w:rPr>
              <w:t>Jet Airways</w:t>
            </w:r>
          </w:p>
        </w:tc>
        <w:tc>
          <w:tcPr>
            <w:tcW w:w="1823" w:type="dxa"/>
          </w:tcPr>
          <w:p w14:paraId="157DA51C" w14:textId="77777777" w:rsidR="00015426" w:rsidRPr="00015426" w:rsidRDefault="00015426" w:rsidP="00925E6F">
            <w:pPr>
              <w:jc w:val="center"/>
              <w:rPr>
                <w:b/>
                <w:bCs/>
                <w:sz w:val="24"/>
                <w:szCs w:val="24"/>
                <w:lang w:val="en-US"/>
              </w:rPr>
            </w:pPr>
            <w:r w:rsidRPr="00015426">
              <w:rPr>
                <w:b/>
                <w:bCs/>
                <w:sz w:val="24"/>
                <w:szCs w:val="24"/>
                <w:lang w:val="en-US"/>
              </w:rPr>
              <w:t>Spice Jet</w:t>
            </w:r>
          </w:p>
        </w:tc>
      </w:tr>
      <w:tr w:rsidR="00015426" w14:paraId="5145AEF3" w14:textId="77777777" w:rsidTr="00DB398A">
        <w:trPr>
          <w:trHeight w:val="559"/>
        </w:trPr>
        <w:tc>
          <w:tcPr>
            <w:tcW w:w="1822" w:type="dxa"/>
          </w:tcPr>
          <w:p w14:paraId="33679152" w14:textId="77777777" w:rsidR="00015426" w:rsidRPr="00015426" w:rsidRDefault="00015426" w:rsidP="00925E6F">
            <w:pPr>
              <w:jc w:val="center"/>
              <w:rPr>
                <w:b/>
                <w:bCs/>
                <w:sz w:val="24"/>
                <w:szCs w:val="24"/>
                <w:lang w:val="en-US"/>
              </w:rPr>
            </w:pPr>
            <w:r w:rsidRPr="00015426">
              <w:rPr>
                <w:b/>
                <w:bCs/>
                <w:sz w:val="24"/>
                <w:szCs w:val="24"/>
                <w:lang w:val="en-US"/>
              </w:rPr>
              <w:t>Pre-Lockdown</w:t>
            </w:r>
          </w:p>
        </w:tc>
        <w:tc>
          <w:tcPr>
            <w:tcW w:w="1822" w:type="dxa"/>
          </w:tcPr>
          <w:p w14:paraId="273EB7B7" w14:textId="77777777" w:rsidR="00015426" w:rsidRDefault="00015426" w:rsidP="00925E6F">
            <w:pPr>
              <w:jc w:val="center"/>
              <w:rPr>
                <w:sz w:val="24"/>
                <w:szCs w:val="24"/>
                <w:lang w:val="en-US"/>
              </w:rPr>
            </w:pPr>
            <w:r>
              <w:rPr>
                <w:sz w:val="24"/>
                <w:szCs w:val="24"/>
                <w:lang w:val="en-US"/>
              </w:rPr>
              <w:t>52.54</w:t>
            </w:r>
          </w:p>
        </w:tc>
        <w:tc>
          <w:tcPr>
            <w:tcW w:w="1822" w:type="dxa"/>
          </w:tcPr>
          <w:p w14:paraId="2C1ABD2A" w14:textId="77777777" w:rsidR="00015426" w:rsidRDefault="00015426" w:rsidP="00925E6F">
            <w:pPr>
              <w:jc w:val="center"/>
              <w:rPr>
                <w:sz w:val="24"/>
                <w:szCs w:val="24"/>
                <w:lang w:val="en-US"/>
              </w:rPr>
            </w:pPr>
            <w:r>
              <w:rPr>
                <w:sz w:val="24"/>
                <w:szCs w:val="24"/>
                <w:lang w:val="en-US"/>
              </w:rPr>
              <w:t>1314.33</w:t>
            </w:r>
          </w:p>
        </w:tc>
        <w:tc>
          <w:tcPr>
            <w:tcW w:w="1822" w:type="dxa"/>
          </w:tcPr>
          <w:p w14:paraId="18D7AFA4" w14:textId="77777777" w:rsidR="00015426" w:rsidRDefault="00015426" w:rsidP="00925E6F">
            <w:pPr>
              <w:jc w:val="center"/>
              <w:rPr>
                <w:sz w:val="24"/>
                <w:szCs w:val="24"/>
                <w:lang w:val="en-US"/>
              </w:rPr>
            </w:pPr>
            <w:r>
              <w:rPr>
                <w:sz w:val="24"/>
                <w:szCs w:val="24"/>
                <w:lang w:val="en-US"/>
              </w:rPr>
              <w:t>29.14</w:t>
            </w:r>
          </w:p>
        </w:tc>
        <w:tc>
          <w:tcPr>
            <w:tcW w:w="1823" w:type="dxa"/>
          </w:tcPr>
          <w:p w14:paraId="2579EB54" w14:textId="77777777" w:rsidR="00015426" w:rsidRDefault="00015426" w:rsidP="00925E6F">
            <w:pPr>
              <w:jc w:val="center"/>
              <w:rPr>
                <w:sz w:val="24"/>
                <w:szCs w:val="24"/>
                <w:lang w:val="en-US"/>
              </w:rPr>
            </w:pPr>
            <w:r>
              <w:rPr>
                <w:sz w:val="24"/>
                <w:szCs w:val="24"/>
                <w:lang w:val="en-US"/>
              </w:rPr>
              <w:t>83.48</w:t>
            </w:r>
          </w:p>
        </w:tc>
      </w:tr>
      <w:tr w:rsidR="00015426" w14:paraId="1E8629A6" w14:textId="77777777" w:rsidTr="00DB398A">
        <w:trPr>
          <w:trHeight w:val="535"/>
        </w:trPr>
        <w:tc>
          <w:tcPr>
            <w:tcW w:w="1822" w:type="dxa"/>
          </w:tcPr>
          <w:p w14:paraId="79556FA9" w14:textId="77777777" w:rsidR="00015426" w:rsidRPr="00015426" w:rsidRDefault="00015426" w:rsidP="00925E6F">
            <w:pPr>
              <w:jc w:val="center"/>
              <w:rPr>
                <w:b/>
                <w:bCs/>
                <w:sz w:val="24"/>
                <w:szCs w:val="24"/>
                <w:lang w:val="en-US"/>
              </w:rPr>
            </w:pPr>
            <w:r w:rsidRPr="00015426">
              <w:rPr>
                <w:b/>
                <w:bCs/>
                <w:sz w:val="24"/>
                <w:szCs w:val="24"/>
                <w:lang w:val="en-US"/>
              </w:rPr>
              <w:t>Post-Lockdown</w:t>
            </w:r>
          </w:p>
        </w:tc>
        <w:tc>
          <w:tcPr>
            <w:tcW w:w="1822" w:type="dxa"/>
          </w:tcPr>
          <w:p w14:paraId="5DA9A493" w14:textId="77777777" w:rsidR="00015426" w:rsidRDefault="00015426" w:rsidP="00925E6F">
            <w:pPr>
              <w:jc w:val="center"/>
              <w:rPr>
                <w:sz w:val="24"/>
                <w:szCs w:val="24"/>
                <w:lang w:val="en-US"/>
              </w:rPr>
            </w:pPr>
            <w:r>
              <w:rPr>
                <w:sz w:val="24"/>
                <w:szCs w:val="24"/>
                <w:lang w:val="en-US"/>
              </w:rPr>
              <w:t>47.72</w:t>
            </w:r>
          </w:p>
        </w:tc>
        <w:tc>
          <w:tcPr>
            <w:tcW w:w="1822" w:type="dxa"/>
          </w:tcPr>
          <w:p w14:paraId="501B70BF" w14:textId="77777777" w:rsidR="00015426" w:rsidRDefault="00015426" w:rsidP="00925E6F">
            <w:pPr>
              <w:jc w:val="center"/>
              <w:rPr>
                <w:sz w:val="24"/>
                <w:szCs w:val="24"/>
                <w:lang w:val="en-US"/>
              </w:rPr>
            </w:pPr>
            <w:r>
              <w:rPr>
                <w:sz w:val="24"/>
                <w:szCs w:val="24"/>
                <w:lang w:val="en-US"/>
              </w:rPr>
              <w:t>993.62</w:t>
            </w:r>
          </w:p>
        </w:tc>
        <w:tc>
          <w:tcPr>
            <w:tcW w:w="1822" w:type="dxa"/>
          </w:tcPr>
          <w:p w14:paraId="47C124F4" w14:textId="77777777" w:rsidR="00015426" w:rsidRDefault="00015426" w:rsidP="00925E6F">
            <w:pPr>
              <w:jc w:val="center"/>
              <w:rPr>
                <w:sz w:val="24"/>
                <w:szCs w:val="24"/>
                <w:lang w:val="en-US"/>
              </w:rPr>
            </w:pPr>
            <w:r>
              <w:rPr>
                <w:sz w:val="24"/>
                <w:szCs w:val="24"/>
                <w:lang w:val="en-US"/>
              </w:rPr>
              <w:t>21.76</w:t>
            </w:r>
          </w:p>
        </w:tc>
        <w:tc>
          <w:tcPr>
            <w:tcW w:w="1823" w:type="dxa"/>
          </w:tcPr>
          <w:p w14:paraId="57B38F1D" w14:textId="77777777" w:rsidR="00015426" w:rsidRDefault="00015426" w:rsidP="00925E6F">
            <w:pPr>
              <w:jc w:val="center"/>
              <w:rPr>
                <w:sz w:val="24"/>
                <w:szCs w:val="24"/>
                <w:lang w:val="en-US"/>
              </w:rPr>
            </w:pPr>
            <w:r>
              <w:rPr>
                <w:sz w:val="24"/>
                <w:szCs w:val="24"/>
                <w:lang w:val="en-US"/>
              </w:rPr>
              <w:t>45.25</w:t>
            </w:r>
          </w:p>
        </w:tc>
      </w:tr>
      <w:tr w:rsidR="00015426" w14:paraId="77C9776C" w14:textId="77777777" w:rsidTr="00DB398A">
        <w:trPr>
          <w:trHeight w:val="535"/>
        </w:trPr>
        <w:tc>
          <w:tcPr>
            <w:tcW w:w="1822" w:type="dxa"/>
          </w:tcPr>
          <w:p w14:paraId="1BF87E2E" w14:textId="77777777" w:rsidR="00015426" w:rsidRPr="00015426" w:rsidRDefault="00015426" w:rsidP="00925E6F">
            <w:pPr>
              <w:jc w:val="center"/>
              <w:rPr>
                <w:b/>
                <w:bCs/>
                <w:sz w:val="24"/>
                <w:szCs w:val="24"/>
                <w:lang w:val="en-US"/>
              </w:rPr>
            </w:pPr>
            <w:r w:rsidRPr="00015426">
              <w:rPr>
                <w:b/>
                <w:bCs/>
                <w:sz w:val="24"/>
                <w:szCs w:val="24"/>
                <w:lang w:val="en-US"/>
              </w:rPr>
              <w:t>Percentage change</w:t>
            </w:r>
          </w:p>
        </w:tc>
        <w:tc>
          <w:tcPr>
            <w:tcW w:w="1822" w:type="dxa"/>
          </w:tcPr>
          <w:p w14:paraId="270D5905" w14:textId="77777777" w:rsidR="00015426" w:rsidRDefault="00015426" w:rsidP="00925E6F">
            <w:pPr>
              <w:jc w:val="center"/>
              <w:rPr>
                <w:sz w:val="24"/>
                <w:szCs w:val="24"/>
                <w:lang w:val="en-US"/>
              </w:rPr>
            </w:pPr>
            <w:r>
              <w:rPr>
                <w:sz w:val="24"/>
                <w:szCs w:val="24"/>
                <w:lang w:val="en-US"/>
              </w:rPr>
              <w:t>- 9.17 %</w:t>
            </w:r>
          </w:p>
        </w:tc>
        <w:tc>
          <w:tcPr>
            <w:tcW w:w="1822" w:type="dxa"/>
          </w:tcPr>
          <w:p w14:paraId="461CD208" w14:textId="77777777" w:rsidR="00015426" w:rsidRDefault="00015426" w:rsidP="00925E6F">
            <w:pPr>
              <w:jc w:val="center"/>
              <w:rPr>
                <w:sz w:val="24"/>
                <w:szCs w:val="24"/>
                <w:lang w:val="en-US"/>
              </w:rPr>
            </w:pPr>
            <w:r>
              <w:rPr>
                <w:sz w:val="24"/>
                <w:szCs w:val="24"/>
                <w:lang w:val="en-US"/>
              </w:rPr>
              <w:t>- 24.40 %</w:t>
            </w:r>
          </w:p>
        </w:tc>
        <w:tc>
          <w:tcPr>
            <w:tcW w:w="1822" w:type="dxa"/>
          </w:tcPr>
          <w:p w14:paraId="5AB2661B" w14:textId="77777777" w:rsidR="00015426" w:rsidRPr="007549EB" w:rsidRDefault="00015426" w:rsidP="00925E6F">
            <w:pPr>
              <w:jc w:val="center"/>
              <w:rPr>
                <w:sz w:val="24"/>
                <w:szCs w:val="24"/>
                <w:lang w:val="en-US"/>
              </w:rPr>
            </w:pPr>
            <w:r w:rsidRPr="007549EB">
              <w:rPr>
                <w:sz w:val="24"/>
                <w:szCs w:val="24"/>
                <w:lang w:val="en-US"/>
              </w:rPr>
              <w:t>-</w:t>
            </w:r>
            <w:r>
              <w:rPr>
                <w:sz w:val="24"/>
                <w:szCs w:val="24"/>
                <w:lang w:val="en-US"/>
              </w:rPr>
              <w:t xml:space="preserve"> 25.32</w:t>
            </w:r>
            <w:r w:rsidRPr="007549EB">
              <w:rPr>
                <w:sz w:val="24"/>
                <w:szCs w:val="24"/>
                <w:lang w:val="en-US"/>
              </w:rPr>
              <w:t xml:space="preserve"> %</w:t>
            </w:r>
          </w:p>
        </w:tc>
        <w:tc>
          <w:tcPr>
            <w:tcW w:w="1823" w:type="dxa"/>
          </w:tcPr>
          <w:p w14:paraId="0903F48D" w14:textId="77777777" w:rsidR="00015426" w:rsidRDefault="00015426" w:rsidP="00925E6F">
            <w:pPr>
              <w:jc w:val="center"/>
              <w:rPr>
                <w:sz w:val="24"/>
                <w:szCs w:val="24"/>
                <w:lang w:val="en-US"/>
              </w:rPr>
            </w:pPr>
            <w:r>
              <w:rPr>
                <w:sz w:val="24"/>
                <w:szCs w:val="24"/>
                <w:lang w:val="en-US"/>
              </w:rPr>
              <w:t>- 45.79 %</w:t>
            </w:r>
          </w:p>
        </w:tc>
      </w:tr>
    </w:tbl>
    <w:p w14:paraId="37C28AB8" w14:textId="567BFE17" w:rsidR="00015426" w:rsidRDefault="00015426" w:rsidP="00015426">
      <w:pPr>
        <w:pStyle w:val="NormalWeb"/>
        <w:shd w:val="clear" w:color="auto" w:fill="FFFFFF"/>
        <w:spacing w:before="0" w:beforeAutospacing="0" w:after="0" w:afterAutospacing="0"/>
        <w:textAlignment w:val="baseline"/>
        <w:rPr>
          <w:rStyle w:val="e24kjd"/>
          <w:b/>
          <w:bCs/>
          <w:color w:val="222222"/>
          <w:sz w:val="28"/>
          <w:szCs w:val="28"/>
        </w:rPr>
      </w:pPr>
    </w:p>
    <w:p w14:paraId="6DCFA4C6" w14:textId="6125F948" w:rsidR="00015426" w:rsidRDefault="00015426" w:rsidP="00015426">
      <w:pPr>
        <w:pStyle w:val="NormalWeb"/>
        <w:numPr>
          <w:ilvl w:val="0"/>
          <w:numId w:val="5"/>
        </w:numPr>
        <w:shd w:val="clear" w:color="auto" w:fill="FFFFFF"/>
        <w:spacing w:before="0" w:beforeAutospacing="0" w:after="0" w:afterAutospacing="0"/>
        <w:textAlignment w:val="baseline"/>
        <w:rPr>
          <w:rStyle w:val="e24kjd"/>
          <w:b/>
          <w:bCs/>
          <w:color w:val="222222"/>
          <w:sz w:val="28"/>
          <w:szCs w:val="28"/>
        </w:rPr>
      </w:pPr>
      <w:r>
        <w:rPr>
          <w:rStyle w:val="e24kjd"/>
          <w:b/>
          <w:bCs/>
          <w:color w:val="222222"/>
          <w:sz w:val="28"/>
          <w:szCs w:val="28"/>
        </w:rPr>
        <w:t xml:space="preserve">Infrastructure </w:t>
      </w:r>
    </w:p>
    <w:p w14:paraId="08D9316D" w14:textId="77777777" w:rsidR="00015426" w:rsidRDefault="00015426" w:rsidP="00015426">
      <w:pPr>
        <w:pStyle w:val="NormalWeb"/>
        <w:shd w:val="clear" w:color="auto" w:fill="FFFFFF"/>
        <w:spacing w:before="0" w:beforeAutospacing="0" w:after="0" w:afterAutospacing="0"/>
        <w:ind w:left="360"/>
        <w:textAlignment w:val="baseline"/>
        <w:rPr>
          <w:rStyle w:val="e24kjd"/>
          <w:b/>
          <w:bCs/>
          <w:color w:val="222222"/>
          <w:sz w:val="28"/>
          <w:szCs w:val="28"/>
        </w:rPr>
      </w:pPr>
    </w:p>
    <w:tbl>
      <w:tblPr>
        <w:tblStyle w:val="TableGridLight"/>
        <w:tblW w:w="9111" w:type="dxa"/>
        <w:tblLook w:val="04A0" w:firstRow="1" w:lastRow="0" w:firstColumn="1" w:lastColumn="0" w:noHBand="0" w:noVBand="1"/>
      </w:tblPr>
      <w:tblGrid>
        <w:gridCol w:w="1822"/>
        <w:gridCol w:w="1822"/>
        <w:gridCol w:w="1822"/>
        <w:gridCol w:w="1822"/>
        <w:gridCol w:w="1823"/>
      </w:tblGrid>
      <w:tr w:rsidR="00015426" w14:paraId="463B0CE0" w14:textId="77777777" w:rsidTr="00DB398A">
        <w:trPr>
          <w:trHeight w:val="559"/>
        </w:trPr>
        <w:tc>
          <w:tcPr>
            <w:tcW w:w="1822" w:type="dxa"/>
          </w:tcPr>
          <w:p w14:paraId="3F9DAC90" w14:textId="77777777" w:rsidR="00015426" w:rsidRPr="00015426" w:rsidRDefault="00015426" w:rsidP="00925E6F">
            <w:pPr>
              <w:jc w:val="center"/>
              <w:rPr>
                <w:b/>
                <w:bCs/>
                <w:sz w:val="24"/>
                <w:szCs w:val="24"/>
                <w:lang w:val="en-US"/>
              </w:rPr>
            </w:pPr>
            <w:r w:rsidRPr="00015426">
              <w:rPr>
                <w:b/>
                <w:bCs/>
                <w:sz w:val="24"/>
                <w:szCs w:val="24"/>
                <w:lang w:val="en-US"/>
              </w:rPr>
              <w:t>Stock Name</w:t>
            </w:r>
          </w:p>
        </w:tc>
        <w:tc>
          <w:tcPr>
            <w:tcW w:w="1822" w:type="dxa"/>
          </w:tcPr>
          <w:p w14:paraId="1EF1E5F5" w14:textId="77777777" w:rsidR="00015426" w:rsidRPr="00015426" w:rsidRDefault="00015426" w:rsidP="00925E6F">
            <w:pPr>
              <w:jc w:val="center"/>
              <w:rPr>
                <w:b/>
                <w:bCs/>
                <w:sz w:val="24"/>
                <w:szCs w:val="24"/>
                <w:lang w:val="en-US"/>
              </w:rPr>
            </w:pPr>
            <w:r w:rsidRPr="00015426">
              <w:rPr>
                <w:b/>
                <w:bCs/>
                <w:sz w:val="24"/>
                <w:szCs w:val="24"/>
                <w:lang w:val="en-US"/>
              </w:rPr>
              <w:t>ABB India</w:t>
            </w:r>
          </w:p>
        </w:tc>
        <w:tc>
          <w:tcPr>
            <w:tcW w:w="1822" w:type="dxa"/>
          </w:tcPr>
          <w:p w14:paraId="410FB315" w14:textId="77777777" w:rsidR="00015426" w:rsidRPr="00015426" w:rsidRDefault="00015426" w:rsidP="00925E6F">
            <w:pPr>
              <w:jc w:val="center"/>
              <w:rPr>
                <w:b/>
                <w:bCs/>
                <w:sz w:val="24"/>
                <w:szCs w:val="24"/>
                <w:lang w:val="en-US"/>
              </w:rPr>
            </w:pPr>
            <w:r w:rsidRPr="00015426">
              <w:rPr>
                <w:b/>
                <w:bCs/>
                <w:sz w:val="24"/>
                <w:szCs w:val="24"/>
                <w:lang w:val="en-US"/>
              </w:rPr>
              <w:t>Adaniports</w:t>
            </w:r>
          </w:p>
        </w:tc>
        <w:tc>
          <w:tcPr>
            <w:tcW w:w="1822" w:type="dxa"/>
          </w:tcPr>
          <w:p w14:paraId="1256069F" w14:textId="77777777" w:rsidR="00015426" w:rsidRPr="00015426" w:rsidRDefault="00015426" w:rsidP="00925E6F">
            <w:pPr>
              <w:jc w:val="center"/>
              <w:rPr>
                <w:b/>
                <w:bCs/>
                <w:sz w:val="24"/>
                <w:szCs w:val="24"/>
                <w:lang w:val="en-US"/>
              </w:rPr>
            </w:pPr>
            <w:r w:rsidRPr="00015426">
              <w:rPr>
                <w:b/>
                <w:bCs/>
                <w:sz w:val="24"/>
                <w:szCs w:val="24"/>
                <w:lang w:val="en-US"/>
              </w:rPr>
              <w:t>Hindustan Urba</w:t>
            </w:r>
          </w:p>
        </w:tc>
        <w:tc>
          <w:tcPr>
            <w:tcW w:w="1823" w:type="dxa"/>
          </w:tcPr>
          <w:p w14:paraId="0948BB03" w14:textId="77777777" w:rsidR="00015426" w:rsidRPr="00015426" w:rsidRDefault="00015426" w:rsidP="00925E6F">
            <w:pPr>
              <w:jc w:val="center"/>
              <w:rPr>
                <w:b/>
                <w:bCs/>
                <w:sz w:val="24"/>
                <w:szCs w:val="24"/>
                <w:lang w:val="en-US"/>
              </w:rPr>
            </w:pPr>
            <w:r w:rsidRPr="00015426">
              <w:rPr>
                <w:b/>
                <w:bCs/>
                <w:sz w:val="24"/>
                <w:szCs w:val="24"/>
                <w:lang w:val="en-US"/>
              </w:rPr>
              <w:t>Larsen</w:t>
            </w:r>
          </w:p>
        </w:tc>
      </w:tr>
      <w:tr w:rsidR="00015426" w14:paraId="040EC15D" w14:textId="77777777" w:rsidTr="00DB398A">
        <w:trPr>
          <w:trHeight w:val="559"/>
        </w:trPr>
        <w:tc>
          <w:tcPr>
            <w:tcW w:w="1822" w:type="dxa"/>
          </w:tcPr>
          <w:p w14:paraId="6269BC59" w14:textId="77777777" w:rsidR="00015426" w:rsidRPr="00015426" w:rsidRDefault="00015426" w:rsidP="00925E6F">
            <w:pPr>
              <w:jc w:val="center"/>
              <w:rPr>
                <w:b/>
                <w:bCs/>
                <w:sz w:val="24"/>
                <w:szCs w:val="24"/>
                <w:lang w:val="en-US"/>
              </w:rPr>
            </w:pPr>
            <w:r w:rsidRPr="00015426">
              <w:rPr>
                <w:b/>
                <w:bCs/>
                <w:sz w:val="24"/>
                <w:szCs w:val="24"/>
                <w:lang w:val="en-US"/>
              </w:rPr>
              <w:t>Pre-Lockdown</w:t>
            </w:r>
          </w:p>
        </w:tc>
        <w:tc>
          <w:tcPr>
            <w:tcW w:w="1822" w:type="dxa"/>
          </w:tcPr>
          <w:p w14:paraId="0D6B8D68" w14:textId="77777777" w:rsidR="00015426" w:rsidRDefault="00015426" w:rsidP="00925E6F">
            <w:pPr>
              <w:jc w:val="center"/>
              <w:rPr>
                <w:sz w:val="24"/>
                <w:szCs w:val="24"/>
                <w:lang w:val="en-US"/>
              </w:rPr>
            </w:pPr>
            <w:r>
              <w:rPr>
                <w:sz w:val="24"/>
                <w:szCs w:val="24"/>
                <w:lang w:val="en-US"/>
              </w:rPr>
              <w:t>1215.91</w:t>
            </w:r>
          </w:p>
        </w:tc>
        <w:tc>
          <w:tcPr>
            <w:tcW w:w="1822" w:type="dxa"/>
          </w:tcPr>
          <w:p w14:paraId="721C97E9" w14:textId="77777777" w:rsidR="00015426" w:rsidRDefault="00015426" w:rsidP="00925E6F">
            <w:pPr>
              <w:jc w:val="center"/>
              <w:rPr>
                <w:sz w:val="24"/>
                <w:szCs w:val="24"/>
                <w:lang w:val="en-US"/>
              </w:rPr>
            </w:pPr>
            <w:r>
              <w:rPr>
                <w:sz w:val="24"/>
                <w:szCs w:val="24"/>
                <w:lang w:val="en-US"/>
              </w:rPr>
              <w:t>351.34</w:t>
            </w:r>
          </w:p>
        </w:tc>
        <w:tc>
          <w:tcPr>
            <w:tcW w:w="1822" w:type="dxa"/>
          </w:tcPr>
          <w:p w14:paraId="4DFCAA46" w14:textId="77777777" w:rsidR="00015426" w:rsidRDefault="00015426" w:rsidP="00925E6F">
            <w:pPr>
              <w:jc w:val="center"/>
              <w:rPr>
                <w:sz w:val="24"/>
                <w:szCs w:val="24"/>
                <w:lang w:val="en-US"/>
              </w:rPr>
            </w:pPr>
            <w:r>
              <w:rPr>
                <w:sz w:val="24"/>
                <w:szCs w:val="24"/>
                <w:lang w:val="en-US"/>
              </w:rPr>
              <w:t>683.02</w:t>
            </w:r>
          </w:p>
        </w:tc>
        <w:tc>
          <w:tcPr>
            <w:tcW w:w="1823" w:type="dxa"/>
          </w:tcPr>
          <w:p w14:paraId="711D172B" w14:textId="77777777" w:rsidR="00015426" w:rsidRDefault="00015426" w:rsidP="00925E6F">
            <w:pPr>
              <w:jc w:val="center"/>
              <w:rPr>
                <w:sz w:val="24"/>
                <w:szCs w:val="24"/>
                <w:lang w:val="en-US"/>
              </w:rPr>
            </w:pPr>
            <w:r>
              <w:rPr>
                <w:sz w:val="24"/>
                <w:szCs w:val="24"/>
                <w:lang w:val="en-US"/>
              </w:rPr>
              <w:t>1215.64</w:t>
            </w:r>
          </w:p>
        </w:tc>
      </w:tr>
      <w:tr w:rsidR="00015426" w14:paraId="14FB90ED" w14:textId="77777777" w:rsidTr="00DB398A">
        <w:trPr>
          <w:trHeight w:val="535"/>
        </w:trPr>
        <w:tc>
          <w:tcPr>
            <w:tcW w:w="1822" w:type="dxa"/>
          </w:tcPr>
          <w:p w14:paraId="451CC043" w14:textId="77777777" w:rsidR="00015426" w:rsidRPr="00015426" w:rsidRDefault="00015426" w:rsidP="00925E6F">
            <w:pPr>
              <w:jc w:val="center"/>
              <w:rPr>
                <w:b/>
                <w:bCs/>
                <w:sz w:val="24"/>
                <w:szCs w:val="24"/>
                <w:lang w:val="en-US"/>
              </w:rPr>
            </w:pPr>
            <w:r w:rsidRPr="00015426">
              <w:rPr>
                <w:b/>
                <w:bCs/>
                <w:sz w:val="24"/>
                <w:szCs w:val="24"/>
                <w:lang w:val="en-US"/>
              </w:rPr>
              <w:t>Post-Lockdown</w:t>
            </w:r>
          </w:p>
        </w:tc>
        <w:tc>
          <w:tcPr>
            <w:tcW w:w="1822" w:type="dxa"/>
          </w:tcPr>
          <w:p w14:paraId="7B089C02" w14:textId="77777777" w:rsidR="00015426" w:rsidRDefault="00015426" w:rsidP="00925E6F">
            <w:pPr>
              <w:jc w:val="center"/>
              <w:rPr>
                <w:sz w:val="24"/>
                <w:szCs w:val="24"/>
                <w:lang w:val="en-US"/>
              </w:rPr>
            </w:pPr>
            <w:r>
              <w:rPr>
                <w:sz w:val="24"/>
                <w:szCs w:val="24"/>
                <w:lang w:val="en-US"/>
              </w:rPr>
              <w:t>850.41</w:t>
            </w:r>
          </w:p>
        </w:tc>
        <w:tc>
          <w:tcPr>
            <w:tcW w:w="1822" w:type="dxa"/>
          </w:tcPr>
          <w:p w14:paraId="1455F87B" w14:textId="77777777" w:rsidR="00015426" w:rsidRDefault="00015426" w:rsidP="00925E6F">
            <w:pPr>
              <w:jc w:val="center"/>
              <w:rPr>
                <w:sz w:val="24"/>
                <w:szCs w:val="24"/>
                <w:lang w:val="en-US"/>
              </w:rPr>
            </w:pPr>
            <w:r>
              <w:rPr>
                <w:sz w:val="24"/>
                <w:szCs w:val="24"/>
                <w:lang w:val="en-US"/>
              </w:rPr>
              <w:t>300.89</w:t>
            </w:r>
          </w:p>
        </w:tc>
        <w:tc>
          <w:tcPr>
            <w:tcW w:w="1822" w:type="dxa"/>
          </w:tcPr>
          <w:p w14:paraId="412A54FC" w14:textId="77777777" w:rsidR="00015426" w:rsidRDefault="00015426" w:rsidP="00925E6F">
            <w:pPr>
              <w:jc w:val="center"/>
              <w:rPr>
                <w:sz w:val="24"/>
                <w:szCs w:val="24"/>
                <w:lang w:val="en-US"/>
              </w:rPr>
            </w:pPr>
            <w:r>
              <w:rPr>
                <w:sz w:val="24"/>
                <w:szCs w:val="24"/>
                <w:lang w:val="en-US"/>
              </w:rPr>
              <w:t>491.62</w:t>
            </w:r>
          </w:p>
        </w:tc>
        <w:tc>
          <w:tcPr>
            <w:tcW w:w="1823" w:type="dxa"/>
          </w:tcPr>
          <w:p w14:paraId="100B1A45" w14:textId="77777777" w:rsidR="00015426" w:rsidRDefault="00015426" w:rsidP="00925E6F">
            <w:pPr>
              <w:jc w:val="center"/>
              <w:rPr>
                <w:sz w:val="24"/>
                <w:szCs w:val="24"/>
                <w:lang w:val="en-US"/>
              </w:rPr>
            </w:pPr>
            <w:r>
              <w:rPr>
                <w:sz w:val="24"/>
                <w:szCs w:val="24"/>
                <w:lang w:val="en-US"/>
              </w:rPr>
              <w:t>872.24</w:t>
            </w:r>
          </w:p>
        </w:tc>
      </w:tr>
      <w:tr w:rsidR="00015426" w14:paraId="4BD64BD5" w14:textId="77777777" w:rsidTr="00DB398A">
        <w:trPr>
          <w:trHeight w:val="535"/>
        </w:trPr>
        <w:tc>
          <w:tcPr>
            <w:tcW w:w="1822" w:type="dxa"/>
          </w:tcPr>
          <w:p w14:paraId="11F38EFF" w14:textId="77777777" w:rsidR="00015426" w:rsidRPr="00015426" w:rsidRDefault="00015426" w:rsidP="00925E6F">
            <w:pPr>
              <w:jc w:val="center"/>
              <w:rPr>
                <w:b/>
                <w:bCs/>
                <w:sz w:val="24"/>
                <w:szCs w:val="24"/>
                <w:lang w:val="en-US"/>
              </w:rPr>
            </w:pPr>
            <w:r w:rsidRPr="00015426">
              <w:rPr>
                <w:b/>
                <w:bCs/>
                <w:sz w:val="24"/>
                <w:szCs w:val="24"/>
                <w:lang w:val="en-US"/>
              </w:rPr>
              <w:t>Percentage change</w:t>
            </w:r>
          </w:p>
        </w:tc>
        <w:tc>
          <w:tcPr>
            <w:tcW w:w="1822" w:type="dxa"/>
          </w:tcPr>
          <w:p w14:paraId="47C17745" w14:textId="3DAEDADA" w:rsidR="00015426" w:rsidRDefault="00810B83" w:rsidP="00925E6F">
            <w:pPr>
              <w:jc w:val="center"/>
              <w:rPr>
                <w:sz w:val="24"/>
                <w:szCs w:val="24"/>
                <w:lang w:val="en-US"/>
              </w:rPr>
            </w:pPr>
            <w:r>
              <w:rPr>
                <w:sz w:val="24"/>
                <w:szCs w:val="24"/>
                <w:lang w:val="en-US"/>
              </w:rPr>
              <w:t xml:space="preserve">- </w:t>
            </w:r>
            <w:r w:rsidR="00015426">
              <w:rPr>
                <w:sz w:val="24"/>
                <w:szCs w:val="24"/>
                <w:lang w:val="en-US"/>
              </w:rPr>
              <w:t>30.05 %</w:t>
            </w:r>
          </w:p>
        </w:tc>
        <w:tc>
          <w:tcPr>
            <w:tcW w:w="1822" w:type="dxa"/>
          </w:tcPr>
          <w:p w14:paraId="64097977" w14:textId="662C35FA" w:rsidR="00015426" w:rsidRDefault="00810B83" w:rsidP="00925E6F">
            <w:pPr>
              <w:jc w:val="center"/>
              <w:rPr>
                <w:sz w:val="24"/>
                <w:szCs w:val="24"/>
                <w:lang w:val="en-US"/>
              </w:rPr>
            </w:pPr>
            <w:r>
              <w:rPr>
                <w:sz w:val="24"/>
                <w:szCs w:val="24"/>
                <w:lang w:val="en-US"/>
              </w:rPr>
              <w:t xml:space="preserve">- </w:t>
            </w:r>
            <w:r w:rsidR="00015426">
              <w:rPr>
                <w:sz w:val="24"/>
                <w:szCs w:val="24"/>
                <w:lang w:val="en-US"/>
              </w:rPr>
              <w:t>14.35 %</w:t>
            </w:r>
          </w:p>
        </w:tc>
        <w:tc>
          <w:tcPr>
            <w:tcW w:w="1822" w:type="dxa"/>
          </w:tcPr>
          <w:p w14:paraId="5A85BD8B" w14:textId="5CEFBD5F" w:rsidR="00015426" w:rsidRPr="007549EB" w:rsidRDefault="00810B83" w:rsidP="00925E6F">
            <w:pPr>
              <w:jc w:val="center"/>
              <w:rPr>
                <w:sz w:val="24"/>
                <w:szCs w:val="24"/>
                <w:lang w:val="en-US"/>
              </w:rPr>
            </w:pPr>
            <w:r>
              <w:rPr>
                <w:sz w:val="24"/>
                <w:szCs w:val="24"/>
                <w:lang w:val="en-US"/>
              </w:rPr>
              <w:t xml:space="preserve">- </w:t>
            </w:r>
            <w:r w:rsidR="00015426">
              <w:rPr>
                <w:sz w:val="24"/>
                <w:szCs w:val="24"/>
                <w:lang w:val="en-US"/>
              </w:rPr>
              <w:t>28.02 %</w:t>
            </w:r>
          </w:p>
        </w:tc>
        <w:tc>
          <w:tcPr>
            <w:tcW w:w="1823" w:type="dxa"/>
          </w:tcPr>
          <w:p w14:paraId="57C56C3D" w14:textId="77943C57" w:rsidR="00015426" w:rsidRDefault="00810B83" w:rsidP="00925E6F">
            <w:pPr>
              <w:jc w:val="center"/>
              <w:rPr>
                <w:sz w:val="24"/>
                <w:szCs w:val="24"/>
                <w:lang w:val="en-US"/>
              </w:rPr>
            </w:pPr>
            <w:r>
              <w:rPr>
                <w:sz w:val="24"/>
                <w:szCs w:val="24"/>
                <w:lang w:val="en-US"/>
              </w:rPr>
              <w:t xml:space="preserve">- </w:t>
            </w:r>
            <w:r w:rsidR="00015426">
              <w:rPr>
                <w:sz w:val="24"/>
                <w:szCs w:val="24"/>
                <w:lang w:val="en-US"/>
              </w:rPr>
              <w:t>28.24 %</w:t>
            </w:r>
          </w:p>
        </w:tc>
      </w:tr>
    </w:tbl>
    <w:p w14:paraId="57EF4AC2" w14:textId="77777777" w:rsidR="00015426" w:rsidRDefault="00015426" w:rsidP="00015426">
      <w:pPr>
        <w:pStyle w:val="NormalWeb"/>
        <w:shd w:val="clear" w:color="auto" w:fill="FFFFFF"/>
        <w:spacing w:before="0" w:beforeAutospacing="0" w:after="0" w:afterAutospacing="0"/>
        <w:textAlignment w:val="baseline"/>
        <w:rPr>
          <w:rStyle w:val="e24kjd"/>
          <w:b/>
          <w:bCs/>
          <w:color w:val="222222"/>
          <w:sz w:val="28"/>
          <w:szCs w:val="28"/>
        </w:rPr>
      </w:pPr>
    </w:p>
    <w:p w14:paraId="1AE5E534" w14:textId="72AECF6D" w:rsidR="00015426" w:rsidRDefault="00015426" w:rsidP="00015426">
      <w:pPr>
        <w:pStyle w:val="NormalWeb"/>
        <w:numPr>
          <w:ilvl w:val="0"/>
          <w:numId w:val="5"/>
        </w:numPr>
        <w:shd w:val="clear" w:color="auto" w:fill="FFFFFF"/>
        <w:spacing w:before="0" w:beforeAutospacing="0" w:after="0" w:afterAutospacing="0"/>
        <w:textAlignment w:val="baseline"/>
        <w:rPr>
          <w:rStyle w:val="e24kjd"/>
          <w:b/>
          <w:bCs/>
          <w:color w:val="222222"/>
          <w:sz w:val="28"/>
          <w:szCs w:val="28"/>
        </w:rPr>
      </w:pPr>
      <w:r>
        <w:rPr>
          <w:rStyle w:val="e24kjd"/>
          <w:b/>
          <w:bCs/>
          <w:color w:val="222222"/>
          <w:sz w:val="28"/>
          <w:szCs w:val="28"/>
        </w:rPr>
        <w:t xml:space="preserve">Manufacturing </w:t>
      </w:r>
    </w:p>
    <w:p w14:paraId="3B1215CA" w14:textId="77777777" w:rsidR="00015426" w:rsidRPr="00015426" w:rsidRDefault="00015426" w:rsidP="00015426">
      <w:pPr>
        <w:pStyle w:val="NormalWeb"/>
        <w:shd w:val="clear" w:color="auto" w:fill="FFFFFF"/>
        <w:spacing w:before="0" w:beforeAutospacing="0" w:after="0" w:afterAutospacing="0"/>
        <w:ind w:left="360"/>
        <w:textAlignment w:val="baseline"/>
        <w:rPr>
          <w:rStyle w:val="e24kjd"/>
          <w:b/>
          <w:bCs/>
          <w:color w:val="222222"/>
          <w:sz w:val="28"/>
          <w:szCs w:val="28"/>
        </w:rPr>
      </w:pPr>
    </w:p>
    <w:tbl>
      <w:tblPr>
        <w:tblStyle w:val="TableGridLight"/>
        <w:tblW w:w="9111" w:type="dxa"/>
        <w:tblLook w:val="04A0" w:firstRow="1" w:lastRow="0" w:firstColumn="1" w:lastColumn="0" w:noHBand="0" w:noVBand="1"/>
      </w:tblPr>
      <w:tblGrid>
        <w:gridCol w:w="1822"/>
        <w:gridCol w:w="1822"/>
        <w:gridCol w:w="1822"/>
        <w:gridCol w:w="1822"/>
        <w:gridCol w:w="1823"/>
      </w:tblGrid>
      <w:tr w:rsidR="00015426" w14:paraId="4EA50B24" w14:textId="77777777" w:rsidTr="00DB398A">
        <w:trPr>
          <w:trHeight w:val="559"/>
        </w:trPr>
        <w:tc>
          <w:tcPr>
            <w:tcW w:w="1822" w:type="dxa"/>
          </w:tcPr>
          <w:p w14:paraId="789F68D6" w14:textId="77777777" w:rsidR="00015426" w:rsidRPr="00015426" w:rsidRDefault="00015426" w:rsidP="00925E6F">
            <w:pPr>
              <w:jc w:val="center"/>
              <w:rPr>
                <w:b/>
                <w:bCs/>
                <w:sz w:val="24"/>
                <w:szCs w:val="24"/>
                <w:lang w:val="en-US"/>
              </w:rPr>
            </w:pPr>
            <w:r w:rsidRPr="00015426">
              <w:rPr>
                <w:b/>
                <w:bCs/>
                <w:sz w:val="24"/>
                <w:szCs w:val="24"/>
                <w:lang w:val="en-US"/>
              </w:rPr>
              <w:t>Stock Name</w:t>
            </w:r>
          </w:p>
        </w:tc>
        <w:tc>
          <w:tcPr>
            <w:tcW w:w="1822" w:type="dxa"/>
          </w:tcPr>
          <w:p w14:paraId="1685DCDF" w14:textId="77777777" w:rsidR="00015426" w:rsidRPr="00015426" w:rsidRDefault="00015426" w:rsidP="00925E6F">
            <w:pPr>
              <w:jc w:val="center"/>
              <w:rPr>
                <w:b/>
                <w:bCs/>
                <w:sz w:val="24"/>
                <w:szCs w:val="24"/>
                <w:lang w:val="en-US"/>
              </w:rPr>
            </w:pPr>
            <w:r w:rsidRPr="00015426">
              <w:rPr>
                <w:b/>
                <w:bCs/>
                <w:sz w:val="24"/>
                <w:szCs w:val="24"/>
                <w:lang w:val="en-US"/>
              </w:rPr>
              <w:t>Asian Paints</w:t>
            </w:r>
          </w:p>
        </w:tc>
        <w:tc>
          <w:tcPr>
            <w:tcW w:w="1822" w:type="dxa"/>
          </w:tcPr>
          <w:p w14:paraId="287705B2" w14:textId="77777777" w:rsidR="00015426" w:rsidRPr="00015426" w:rsidRDefault="00015426" w:rsidP="00925E6F">
            <w:pPr>
              <w:jc w:val="center"/>
              <w:rPr>
                <w:b/>
                <w:bCs/>
                <w:sz w:val="24"/>
                <w:szCs w:val="24"/>
                <w:lang w:val="en-US"/>
              </w:rPr>
            </w:pPr>
            <w:r w:rsidRPr="00015426">
              <w:rPr>
                <w:b/>
                <w:bCs/>
                <w:sz w:val="24"/>
                <w:szCs w:val="24"/>
                <w:lang w:val="en-US"/>
              </w:rPr>
              <w:t>Graphite India</w:t>
            </w:r>
          </w:p>
        </w:tc>
        <w:tc>
          <w:tcPr>
            <w:tcW w:w="1822" w:type="dxa"/>
          </w:tcPr>
          <w:p w14:paraId="7922375B" w14:textId="77777777" w:rsidR="00015426" w:rsidRPr="00015426" w:rsidRDefault="00015426" w:rsidP="00925E6F">
            <w:pPr>
              <w:jc w:val="center"/>
              <w:rPr>
                <w:b/>
                <w:bCs/>
                <w:sz w:val="24"/>
                <w:szCs w:val="24"/>
                <w:lang w:val="en-US"/>
              </w:rPr>
            </w:pPr>
            <w:r w:rsidRPr="00015426">
              <w:rPr>
                <w:b/>
                <w:bCs/>
                <w:sz w:val="24"/>
                <w:szCs w:val="24"/>
                <w:lang w:val="en-US"/>
              </w:rPr>
              <w:t>M</w:t>
            </w:r>
          </w:p>
        </w:tc>
        <w:tc>
          <w:tcPr>
            <w:tcW w:w="1823" w:type="dxa"/>
          </w:tcPr>
          <w:p w14:paraId="30B29904" w14:textId="77777777" w:rsidR="00015426" w:rsidRPr="00015426" w:rsidRDefault="00015426" w:rsidP="00925E6F">
            <w:pPr>
              <w:jc w:val="center"/>
              <w:rPr>
                <w:b/>
                <w:bCs/>
                <w:sz w:val="24"/>
                <w:szCs w:val="24"/>
                <w:lang w:val="en-US"/>
              </w:rPr>
            </w:pPr>
            <w:r w:rsidRPr="00015426">
              <w:rPr>
                <w:b/>
                <w:bCs/>
                <w:sz w:val="24"/>
                <w:szCs w:val="24"/>
                <w:lang w:val="en-US"/>
              </w:rPr>
              <w:t>Marico</w:t>
            </w:r>
          </w:p>
        </w:tc>
      </w:tr>
      <w:tr w:rsidR="00015426" w14:paraId="2546215F" w14:textId="77777777" w:rsidTr="00DB398A">
        <w:trPr>
          <w:trHeight w:val="559"/>
        </w:trPr>
        <w:tc>
          <w:tcPr>
            <w:tcW w:w="1822" w:type="dxa"/>
          </w:tcPr>
          <w:p w14:paraId="2CA93201" w14:textId="77777777" w:rsidR="00015426" w:rsidRPr="00015426" w:rsidRDefault="00015426" w:rsidP="00925E6F">
            <w:pPr>
              <w:jc w:val="center"/>
              <w:rPr>
                <w:b/>
                <w:bCs/>
                <w:sz w:val="24"/>
                <w:szCs w:val="24"/>
                <w:lang w:val="en-US"/>
              </w:rPr>
            </w:pPr>
            <w:r w:rsidRPr="00015426">
              <w:rPr>
                <w:b/>
                <w:bCs/>
                <w:sz w:val="24"/>
                <w:szCs w:val="24"/>
                <w:lang w:val="en-US"/>
              </w:rPr>
              <w:t>Pre-Lockdown</w:t>
            </w:r>
          </w:p>
        </w:tc>
        <w:tc>
          <w:tcPr>
            <w:tcW w:w="1822" w:type="dxa"/>
          </w:tcPr>
          <w:p w14:paraId="71F0269A" w14:textId="77777777" w:rsidR="00015426" w:rsidRDefault="00015426" w:rsidP="00925E6F">
            <w:pPr>
              <w:jc w:val="center"/>
              <w:rPr>
                <w:sz w:val="24"/>
                <w:szCs w:val="24"/>
                <w:lang w:val="en-US"/>
              </w:rPr>
            </w:pPr>
            <w:r>
              <w:rPr>
                <w:sz w:val="24"/>
                <w:szCs w:val="24"/>
                <w:lang w:val="en-US"/>
              </w:rPr>
              <w:t>1797.09</w:t>
            </w:r>
          </w:p>
        </w:tc>
        <w:tc>
          <w:tcPr>
            <w:tcW w:w="1822" w:type="dxa"/>
          </w:tcPr>
          <w:p w14:paraId="2505E4C6" w14:textId="77777777" w:rsidR="00015426" w:rsidRDefault="00015426" w:rsidP="00925E6F">
            <w:pPr>
              <w:jc w:val="center"/>
              <w:rPr>
                <w:sz w:val="24"/>
                <w:szCs w:val="24"/>
                <w:lang w:val="en-US"/>
              </w:rPr>
            </w:pPr>
            <w:r>
              <w:rPr>
                <w:sz w:val="24"/>
                <w:szCs w:val="24"/>
                <w:lang w:val="en-US"/>
              </w:rPr>
              <w:t>258.30</w:t>
            </w:r>
          </w:p>
        </w:tc>
        <w:tc>
          <w:tcPr>
            <w:tcW w:w="1822" w:type="dxa"/>
          </w:tcPr>
          <w:p w14:paraId="6E263919" w14:textId="77777777" w:rsidR="00015426" w:rsidRDefault="00015426" w:rsidP="00925E6F">
            <w:pPr>
              <w:jc w:val="center"/>
              <w:rPr>
                <w:sz w:val="24"/>
                <w:szCs w:val="24"/>
                <w:lang w:val="en-US"/>
              </w:rPr>
            </w:pPr>
            <w:r>
              <w:rPr>
                <w:sz w:val="24"/>
                <w:szCs w:val="24"/>
                <w:lang w:val="en-US"/>
              </w:rPr>
              <w:t>501.72</w:t>
            </w:r>
          </w:p>
        </w:tc>
        <w:tc>
          <w:tcPr>
            <w:tcW w:w="1823" w:type="dxa"/>
          </w:tcPr>
          <w:p w14:paraId="4B6964A0" w14:textId="77777777" w:rsidR="00015426" w:rsidRDefault="00015426" w:rsidP="00925E6F">
            <w:pPr>
              <w:jc w:val="center"/>
              <w:rPr>
                <w:sz w:val="24"/>
                <w:szCs w:val="24"/>
                <w:lang w:val="en-US"/>
              </w:rPr>
            </w:pPr>
            <w:r>
              <w:rPr>
                <w:sz w:val="24"/>
                <w:szCs w:val="24"/>
                <w:lang w:val="en-US"/>
              </w:rPr>
              <w:t>306.37</w:t>
            </w:r>
          </w:p>
        </w:tc>
      </w:tr>
      <w:tr w:rsidR="00015426" w14:paraId="185691C7" w14:textId="77777777" w:rsidTr="00DB398A">
        <w:trPr>
          <w:trHeight w:val="535"/>
        </w:trPr>
        <w:tc>
          <w:tcPr>
            <w:tcW w:w="1822" w:type="dxa"/>
          </w:tcPr>
          <w:p w14:paraId="0E7B0BC9" w14:textId="77777777" w:rsidR="00015426" w:rsidRPr="00015426" w:rsidRDefault="00015426" w:rsidP="00925E6F">
            <w:pPr>
              <w:jc w:val="center"/>
              <w:rPr>
                <w:b/>
                <w:bCs/>
                <w:sz w:val="24"/>
                <w:szCs w:val="24"/>
                <w:lang w:val="en-US"/>
              </w:rPr>
            </w:pPr>
            <w:r w:rsidRPr="00015426">
              <w:rPr>
                <w:b/>
                <w:bCs/>
                <w:sz w:val="24"/>
                <w:szCs w:val="24"/>
                <w:lang w:val="en-US"/>
              </w:rPr>
              <w:t>Post-Lockdown</w:t>
            </w:r>
          </w:p>
        </w:tc>
        <w:tc>
          <w:tcPr>
            <w:tcW w:w="1822" w:type="dxa"/>
          </w:tcPr>
          <w:p w14:paraId="217FE26E" w14:textId="77777777" w:rsidR="00015426" w:rsidRDefault="00015426" w:rsidP="00925E6F">
            <w:pPr>
              <w:jc w:val="center"/>
              <w:rPr>
                <w:sz w:val="24"/>
                <w:szCs w:val="24"/>
                <w:lang w:val="en-US"/>
              </w:rPr>
            </w:pPr>
            <w:r>
              <w:rPr>
                <w:sz w:val="24"/>
                <w:szCs w:val="24"/>
                <w:lang w:val="en-US"/>
              </w:rPr>
              <w:t>1646.82</w:t>
            </w:r>
          </w:p>
        </w:tc>
        <w:tc>
          <w:tcPr>
            <w:tcW w:w="1822" w:type="dxa"/>
          </w:tcPr>
          <w:p w14:paraId="421E6995" w14:textId="77777777" w:rsidR="00015426" w:rsidRDefault="00015426" w:rsidP="00925E6F">
            <w:pPr>
              <w:jc w:val="center"/>
              <w:rPr>
                <w:sz w:val="24"/>
                <w:szCs w:val="24"/>
                <w:lang w:val="en-US"/>
              </w:rPr>
            </w:pPr>
            <w:r>
              <w:rPr>
                <w:sz w:val="24"/>
                <w:szCs w:val="24"/>
                <w:lang w:val="en-US"/>
              </w:rPr>
              <w:t>185.45</w:t>
            </w:r>
          </w:p>
        </w:tc>
        <w:tc>
          <w:tcPr>
            <w:tcW w:w="1822" w:type="dxa"/>
          </w:tcPr>
          <w:p w14:paraId="23C547E1" w14:textId="77777777" w:rsidR="00015426" w:rsidRDefault="00015426" w:rsidP="00925E6F">
            <w:pPr>
              <w:jc w:val="center"/>
              <w:rPr>
                <w:sz w:val="24"/>
                <w:szCs w:val="24"/>
                <w:lang w:val="en-US"/>
              </w:rPr>
            </w:pPr>
            <w:r>
              <w:rPr>
                <w:sz w:val="24"/>
                <w:szCs w:val="24"/>
                <w:lang w:val="en-US"/>
              </w:rPr>
              <w:t>395.82</w:t>
            </w:r>
          </w:p>
        </w:tc>
        <w:tc>
          <w:tcPr>
            <w:tcW w:w="1823" w:type="dxa"/>
          </w:tcPr>
          <w:p w14:paraId="626358E7" w14:textId="77777777" w:rsidR="00015426" w:rsidRDefault="00015426" w:rsidP="00925E6F">
            <w:pPr>
              <w:jc w:val="center"/>
              <w:rPr>
                <w:sz w:val="24"/>
                <w:szCs w:val="24"/>
                <w:lang w:val="en-US"/>
              </w:rPr>
            </w:pPr>
            <w:r>
              <w:rPr>
                <w:sz w:val="24"/>
                <w:szCs w:val="24"/>
                <w:lang w:val="en-US"/>
              </w:rPr>
              <w:t>307.66</w:t>
            </w:r>
          </w:p>
        </w:tc>
      </w:tr>
      <w:tr w:rsidR="00015426" w14:paraId="12352C19" w14:textId="77777777" w:rsidTr="00DB398A">
        <w:trPr>
          <w:trHeight w:val="535"/>
        </w:trPr>
        <w:tc>
          <w:tcPr>
            <w:tcW w:w="1822" w:type="dxa"/>
          </w:tcPr>
          <w:p w14:paraId="4C233C6F" w14:textId="77777777" w:rsidR="00015426" w:rsidRPr="00015426" w:rsidRDefault="00015426" w:rsidP="00925E6F">
            <w:pPr>
              <w:jc w:val="center"/>
              <w:rPr>
                <w:b/>
                <w:bCs/>
                <w:sz w:val="24"/>
                <w:szCs w:val="24"/>
                <w:lang w:val="en-US"/>
              </w:rPr>
            </w:pPr>
            <w:r w:rsidRPr="00015426">
              <w:rPr>
                <w:b/>
                <w:bCs/>
                <w:sz w:val="24"/>
                <w:szCs w:val="24"/>
                <w:lang w:val="en-US"/>
              </w:rPr>
              <w:t>Percentage change</w:t>
            </w:r>
          </w:p>
        </w:tc>
        <w:tc>
          <w:tcPr>
            <w:tcW w:w="1822" w:type="dxa"/>
          </w:tcPr>
          <w:p w14:paraId="7ED2508D" w14:textId="77777777" w:rsidR="00015426" w:rsidRDefault="00015426" w:rsidP="00925E6F">
            <w:pPr>
              <w:jc w:val="center"/>
              <w:rPr>
                <w:sz w:val="24"/>
                <w:szCs w:val="24"/>
                <w:lang w:val="en-US"/>
              </w:rPr>
            </w:pPr>
            <w:r>
              <w:rPr>
                <w:sz w:val="24"/>
                <w:szCs w:val="24"/>
                <w:lang w:val="en-US"/>
              </w:rPr>
              <w:t>- 8.36 %</w:t>
            </w:r>
          </w:p>
        </w:tc>
        <w:tc>
          <w:tcPr>
            <w:tcW w:w="1822" w:type="dxa"/>
          </w:tcPr>
          <w:p w14:paraId="65693671" w14:textId="77777777" w:rsidR="00015426" w:rsidRDefault="00015426" w:rsidP="00925E6F">
            <w:pPr>
              <w:jc w:val="center"/>
              <w:rPr>
                <w:sz w:val="24"/>
                <w:szCs w:val="24"/>
                <w:lang w:val="en-US"/>
              </w:rPr>
            </w:pPr>
            <w:r>
              <w:rPr>
                <w:sz w:val="24"/>
                <w:szCs w:val="24"/>
                <w:lang w:val="en-US"/>
              </w:rPr>
              <w:t>- 28.20 %</w:t>
            </w:r>
          </w:p>
        </w:tc>
        <w:tc>
          <w:tcPr>
            <w:tcW w:w="1822" w:type="dxa"/>
          </w:tcPr>
          <w:p w14:paraId="105A8BC2" w14:textId="77777777" w:rsidR="00015426" w:rsidRPr="007549EB" w:rsidRDefault="00015426" w:rsidP="00925E6F">
            <w:pPr>
              <w:jc w:val="center"/>
              <w:rPr>
                <w:sz w:val="24"/>
                <w:szCs w:val="24"/>
                <w:lang w:val="en-US"/>
              </w:rPr>
            </w:pPr>
            <w:r>
              <w:rPr>
                <w:sz w:val="24"/>
                <w:szCs w:val="24"/>
                <w:lang w:val="en-US"/>
              </w:rPr>
              <w:t>- 21.10 %</w:t>
            </w:r>
          </w:p>
        </w:tc>
        <w:tc>
          <w:tcPr>
            <w:tcW w:w="1823" w:type="dxa"/>
          </w:tcPr>
          <w:p w14:paraId="7CB04ADE" w14:textId="77777777" w:rsidR="00015426" w:rsidRDefault="00015426" w:rsidP="00925E6F">
            <w:pPr>
              <w:jc w:val="center"/>
              <w:rPr>
                <w:sz w:val="24"/>
                <w:szCs w:val="24"/>
                <w:lang w:val="en-US"/>
              </w:rPr>
            </w:pPr>
            <w:r>
              <w:rPr>
                <w:sz w:val="24"/>
                <w:szCs w:val="24"/>
                <w:lang w:val="en-US"/>
              </w:rPr>
              <w:t>+ 0.42 %</w:t>
            </w:r>
          </w:p>
        </w:tc>
      </w:tr>
    </w:tbl>
    <w:p w14:paraId="3F26460D" w14:textId="1213DD87" w:rsidR="00015426" w:rsidRDefault="00015426" w:rsidP="00015426">
      <w:pPr>
        <w:pStyle w:val="NormalWeb"/>
        <w:shd w:val="clear" w:color="auto" w:fill="FFFFFF"/>
        <w:spacing w:before="0" w:beforeAutospacing="0" w:after="0" w:afterAutospacing="0"/>
        <w:textAlignment w:val="baseline"/>
        <w:rPr>
          <w:rStyle w:val="e24kjd"/>
          <w:b/>
          <w:bCs/>
          <w:color w:val="222222"/>
          <w:sz w:val="28"/>
          <w:szCs w:val="28"/>
        </w:rPr>
      </w:pPr>
    </w:p>
    <w:p w14:paraId="1F2650D9" w14:textId="6C321A01" w:rsidR="00015426" w:rsidRDefault="00015426" w:rsidP="00015426">
      <w:pPr>
        <w:pStyle w:val="NormalWeb"/>
        <w:numPr>
          <w:ilvl w:val="0"/>
          <w:numId w:val="5"/>
        </w:numPr>
        <w:shd w:val="clear" w:color="auto" w:fill="FFFFFF"/>
        <w:spacing w:before="0" w:beforeAutospacing="0" w:after="0" w:afterAutospacing="0"/>
        <w:textAlignment w:val="baseline"/>
        <w:rPr>
          <w:rStyle w:val="e24kjd"/>
          <w:b/>
          <w:bCs/>
          <w:color w:val="222222"/>
          <w:sz w:val="28"/>
          <w:szCs w:val="28"/>
        </w:rPr>
      </w:pPr>
      <w:r>
        <w:rPr>
          <w:rStyle w:val="e24kjd"/>
          <w:b/>
          <w:bCs/>
          <w:color w:val="222222"/>
          <w:sz w:val="28"/>
          <w:szCs w:val="28"/>
        </w:rPr>
        <w:t xml:space="preserve">Real Estate </w:t>
      </w:r>
    </w:p>
    <w:p w14:paraId="591C7EF0" w14:textId="77777777" w:rsidR="00015426" w:rsidRDefault="00015426" w:rsidP="00015426">
      <w:pPr>
        <w:pStyle w:val="NormalWeb"/>
        <w:shd w:val="clear" w:color="auto" w:fill="FFFFFF"/>
        <w:spacing w:before="0" w:beforeAutospacing="0" w:after="0" w:afterAutospacing="0"/>
        <w:ind w:left="360"/>
        <w:textAlignment w:val="baseline"/>
        <w:rPr>
          <w:rStyle w:val="e24kjd"/>
          <w:b/>
          <w:bCs/>
          <w:color w:val="222222"/>
          <w:sz w:val="28"/>
          <w:szCs w:val="28"/>
        </w:rPr>
      </w:pPr>
    </w:p>
    <w:tbl>
      <w:tblPr>
        <w:tblStyle w:val="TableGridLight"/>
        <w:tblW w:w="9111" w:type="dxa"/>
        <w:tblLook w:val="04A0" w:firstRow="1" w:lastRow="0" w:firstColumn="1" w:lastColumn="0" w:noHBand="0" w:noVBand="1"/>
      </w:tblPr>
      <w:tblGrid>
        <w:gridCol w:w="1822"/>
        <w:gridCol w:w="1822"/>
        <w:gridCol w:w="1822"/>
        <w:gridCol w:w="1822"/>
        <w:gridCol w:w="1823"/>
      </w:tblGrid>
      <w:tr w:rsidR="00015426" w14:paraId="6972293D" w14:textId="77777777" w:rsidTr="00DB398A">
        <w:trPr>
          <w:trHeight w:val="559"/>
        </w:trPr>
        <w:tc>
          <w:tcPr>
            <w:tcW w:w="1822" w:type="dxa"/>
          </w:tcPr>
          <w:p w14:paraId="54036699" w14:textId="77777777" w:rsidR="00015426" w:rsidRPr="00015426" w:rsidRDefault="00015426" w:rsidP="00925E6F">
            <w:pPr>
              <w:jc w:val="center"/>
              <w:rPr>
                <w:b/>
                <w:bCs/>
                <w:sz w:val="24"/>
                <w:szCs w:val="24"/>
                <w:lang w:val="en-US"/>
              </w:rPr>
            </w:pPr>
            <w:r w:rsidRPr="00015426">
              <w:rPr>
                <w:b/>
                <w:bCs/>
                <w:sz w:val="24"/>
                <w:szCs w:val="24"/>
                <w:lang w:val="en-US"/>
              </w:rPr>
              <w:t>Stock Name</w:t>
            </w:r>
          </w:p>
        </w:tc>
        <w:tc>
          <w:tcPr>
            <w:tcW w:w="1822" w:type="dxa"/>
          </w:tcPr>
          <w:p w14:paraId="2183E382" w14:textId="77777777" w:rsidR="00015426" w:rsidRPr="00015426" w:rsidRDefault="00015426" w:rsidP="00925E6F">
            <w:pPr>
              <w:jc w:val="center"/>
              <w:rPr>
                <w:b/>
                <w:bCs/>
                <w:sz w:val="24"/>
                <w:szCs w:val="24"/>
                <w:lang w:val="en-US"/>
              </w:rPr>
            </w:pPr>
            <w:r w:rsidRPr="00015426">
              <w:rPr>
                <w:b/>
                <w:bCs/>
                <w:sz w:val="24"/>
                <w:szCs w:val="24"/>
                <w:lang w:val="en-US"/>
              </w:rPr>
              <w:t>DLF</w:t>
            </w:r>
          </w:p>
        </w:tc>
        <w:tc>
          <w:tcPr>
            <w:tcW w:w="1822" w:type="dxa"/>
          </w:tcPr>
          <w:p w14:paraId="5BBBC997" w14:textId="77777777" w:rsidR="00015426" w:rsidRPr="00015426" w:rsidRDefault="00015426" w:rsidP="00925E6F">
            <w:pPr>
              <w:jc w:val="center"/>
              <w:rPr>
                <w:b/>
                <w:bCs/>
                <w:sz w:val="24"/>
                <w:szCs w:val="24"/>
                <w:lang w:val="en-US"/>
              </w:rPr>
            </w:pPr>
            <w:r w:rsidRPr="00015426">
              <w:rPr>
                <w:b/>
                <w:bCs/>
                <w:sz w:val="24"/>
                <w:szCs w:val="24"/>
                <w:lang w:val="en-US"/>
              </w:rPr>
              <w:t>Marathon Realty</w:t>
            </w:r>
          </w:p>
        </w:tc>
        <w:tc>
          <w:tcPr>
            <w:tcW w:w="1822" w:type="dxa"/>
          </w:tcPr>
          <w:p w14:paraId="4E319E1D" w14:textId="77777777" w:rsidR="00015426" w:rsidRPr="00015426" w:rsidRDefault="00015426" w:rsidP="00925E6F">
            <w:pPr>
              <w:jc w:val="center"/>
              <w:rPr>
                <w:b/>
                <w:bCs/>
                <w:sz w:val="24"/>
                <w:szCs w:val="24"/>
                <w:lang w:val="en-US"/>
              </w:rPr>
            </w:pPr>
            <w:r w:rsidRPr="00015426">
              <w:rPr>
                <w:b/>
                <w:bCs/>
                <w:sz w:val="24"/>
                <w:szCs w:val="24"/>
                <w:lang w:val="en-US"/>
              </w:rPr>
              <w:t>Oberoi Realty</w:t>
            </w:r>
          </w:p>
        </w:tc>
        <w:tc>
          <w:tcPr>
            <w:tcW w:w="1823" w:type="dxa"/>
          </w:tcPr>
          <w:p w14:paraId="608BACD4" w14:textId="77777777" w:rsidR="00015426" w:rsidRPr="00015426" w:rsidRDefault="00015426" w:rsidP="00925E6F">
            <w:pPr>
              <w:jc w:val="center"/>
              <w:rPr>
                <w:b/>
                <w:bCs/>
                <w:sz w:val="24"/>
                <w:szCs w:val="24"/>
                <w:lang w:val="en-US"/>
              </w:rPr>
            </w:pPr>
            <w:r w:rsidRPr="00015426">
              <w:rPr>
                <w:b/>
                <w:bCs/>
                <w:sz w:val="24"/>
                <w:szCs w:val="24"/>
                <w:lang w:val="en-US"/>
              </w:rPr>
              <w:t>Rodium Realty</w:t>
            </w:r>
          </w:p>
        </w:tc>
      </w:tr>
      <w:tr w:rsidR="00015426" w14:paraId="7520B549" w14:textId="77777777" w:rsidTr="00DB398A">
        <w:trPr>
          <w:trHeight w:val="559"/>
        </w:trPr>
        <w:tc>
          <w:tcPr>
            <w:tcW w:w="1822" w:type="dxa"/>
          </w:tcPr>
          <w:p w14:paraId="5BA4FC66" w14:textId="77777777" w:rsidR="00015426" w:rsidRPr="00015426" w:rsidRDefault="00015426" w:rsidP="00925E6F">
            <w:pPr>
              <w:jc w:val="center"/>
              <w:rPr>
                <w:b/>
                <w:bCs/>
                <w:sz w:val="24"/>
                <w:szCs w:val="24"/>
                <w:lang w:val="en-US"/>
              </w:rPr>
            </w:pPr>
            <w:r w:rsidRPr="00015426">
              <w:rPr>
                <w:b/>
                <w:bCs/>
                <w:sz w:val="24"/>
                <w:szCs w:val="24"/>
                <w:lang w:val="en-US"/>
              </w:rPr>
              <w:t>Pre-Lockdown</w:t>
            </w:r>
          </w:p>
        </w:tc>
        <w:tc>
          <w:tcPr>
            <w:tcW w:w="1822" w:type="dxa"/>
          </w:tcPr>
          <w:p w14:paraId="6373BCD4" w14:textId="77777777" w:rsidR="00015426" w:rsidRDefault="00015426" w:rsidP="00925E6F">
            <w:pPr>
              <w:jc w:val="center"/>
              <w:rPr>
                <w:sz w:val="24"/>
                <w:szCs w:val="24"/>
                <w:lang w:val="en-US"/>
              </w:rPr>
            </w:pPr>
            <w:r>
              <w:rPr>
                <w:sz w:val="24"/>
                <w:szCs w:val="24"/>
                <w:lang w:val="en-US"/>
              </w:rPr>
              <w:t>216.94</w:t>
            </w:r>
          </w:p>
        </w:tc>
        <w:tc>
          <w:tcPr>
            <w:tcW w:w="1822" w:type="dxa"/>
          </w:tcPr>
          <w:p w14:paraId="6A2000CE" w14:textId="77777777" w:rsidR="00015426" w:rsidRDefault="00015426" w:rsidP="00925E6F">
            <w:pPr>
              <w:jc w:val="center"/>
              <w:rPr>
                <w:sz w:val="24"/>
                <w:szCs w:val="24"/>
                <w:lang w:val="en-US"/>
              </w:rPr>
            </w:pPr>
            <w:r>
              <w:rPr>
                <w:sz w:val="24"/>
                <w:szCs w:val="24"/>
                <w:lang w:val="en-US"/>
              </w:rPr>
              <w:t>79.33</w:t>
            </w:r>
          </w:p>
        </w:tc>
        <w:tc>
          <w:tcPr>
            <w:tcW w:w="1822" w:type="dxa"/>
          </w:tcPr>
          <w:p w14:paraId="68CBDF56" w14:textId="77777777" w:rsidR="00015426" w:rsidRDefault="00015426" w:rsidP="00925E6F">
            <w:pPr>
              <w:jc w:val="center"/>
              <w:rPr>
                <w:sz w:val="24"/>
                <w:szCs w:val="24"/>
                <w:lang w:val="en-US"/>
              </w:rPr>
            </w:pPr>
            <w:r>
              <w:rPr>
                <w:sz w:val="24"/>
                <w:szCs w:val="24"/>
                <w:lang w:val="en-US"/>
              </w:rPr>
              <w:t>511.18</w:t>
            </w:r>
          </w:p>
        </w:tc>
        <w:tc>
          <w:tcPr>
            <w:tcW w:w="1823" w:type="dxa"/>
          </w:tcPr>
          <w:p w14:paraId="7043D3C9" w14:textId="77777777" w:rsidR="00015426" w:rsidRDefault="00015426" w:rsidP="00925E6F">
            <w:pPr>
              <w:jc w:val="center"/>
              <w:rPr>
                <w:sz w:val="24"/>
                <w:szCs w:val="24"/>
                <w:lang w:val="en-US"/>
              </w:rPr>
            </w:pPr>
            <w:r>
              <w:rPr>
                <w:sz w:val="24"/>
                <w:szCs w:val="24"/>
                <w:lang w:val="en-US"/>
              </w:rPr>
              <w:t>103.83</w:t>
            </w:r>
          </w:p>
        </w:tc>
      </w:tr>
      <w:tr w:rsidR="00015426" w14:paraId="09D8279E" w14:textId="77777777" w:rsidTr="00DB398A">
        <w:trPr>
          <w:trHeight w:val="535"/>
        </w:trPr>
        <w:tc>
          <w:tcPr>
            <w:tcW w:w="1822" w:type="dxa"/>
          </w:tcPr>
          <w:p w14:paraId="02D7A7AF" w14:textId="77777777" w:rsidR="00015426" w:rsidRPr="00015426" w:rsidRDefault="00015426" w:rsidP="00925E6F">
            <w:pPr>
              <w:jc w:val="center"/>
              <w:rPr>
                <w:b/>
                <w:bCs/>
                <w:sz w:val="24"/>
                <w:szCs w:val="24"/>
                <w:lang w:val="en-US"/>
              </w:rPr>
            </w:pPr>
            <w:r w:rsidRPr="00015426">
              <w:rPr>
                <w:b/>
                <w:bCs/>
                <w:sz w:val="24"/>
                <w:szCs w:val="24"/>
                <w:lang w:val="en-US"/>
              </w:rPr>
              <w:t>Post-Lockdown</w:t>
            </w:r>
          </w:p>
        </w:tc>
        <w:tc>
          <w:tcPr>
            <w:tcW w:w="1822" w:type="dxa"/>
          </w:tcPr>
          <w:p w14:paraId="2648A949" w14:textId="77777777" w:rsidR="00015426" w:rsidRDefault="00015426" w:rsidP="00925E6F">
            <w:pPr>
              <w:jc w:val="center"/>
              <w:rPr>
                <w:sz w:val="24"/>
                <w:szCs w:val="24"/>
                <w:lang w:val="en-US"/>
              </w:rPr>
            </w:pPr>
            <w:r>
              <w:rPr>
                <w:sz w:val="24"/>
                <w:szCs w:val="24"/>
                <w:lang w:val="en-US"/>
              </w:rPr>
              <w:t>142.39</w:t>
            </w:r>
          </w:p>
        </w:tc>
        <w:tc>
          <w:tcPr>
            <w:tcW w:w="1822" w:type="dxa"/>
          </w:tcPr>
          <w:p w14:paraId="4C931EA7" w14:textId="77777777" w:rsidR="00015426" w:rsidRDefault="00015426" w:rsidP="00925E6F">
            <w:pPr>
              <w:jc w:val="center"/>
              <w:rPr>
                <w:sz w:val="24"/>
                <w:szCs w:val="24"/>
                <w:lang w:val="en-US"/>
              </w:rPr>
            </w:pPr>
            <w:r>
              <w:rPr>
                <w:sz w:val="24"/>
                <w:szCs w:val="24"/>
                <w:lang w:val="en-US"/>
              </w:rPr>
              <w:t>48.85</w:t>
            </w:r>
          </w:p>
        </w:tc>
        <w:tc>
          <w:tcPr>
            <w:tcW w:w="1822" w:type="dxa"/>
          </w:tcPr>
          <w:p w14:paraId="430BC1F0" w14:textId="77777777" w:rsidR="00015426" w:rsidRDefault="00015426" w:rsidP="00925E6F">
            <w:pPr>
              <w:jc w:val="center"/>
              <w:rPr>
                <w:sz w:val="24"/>
                <w:szCs w:val="24"/>
                <w:lang w:val="en-US"/>
              </w:rPr>
            </w:pPr>
            <w:r>
              <w:rPr>
                <w:sz w:val="24"/>
                <w:szCs w:val="24"/>
                <w:lang w:val="en-US"/>
              </w:rPr>
              <w:t>342.01</w:t>
            </w:r>
          </w:p>
        </w:tc>
        <w:tc>
          <w:tcPr>
            <w:tcW w:w="1823" w:type="dxa"/>
          </w:tcPr>
          <w:p w14:paraId="351BE2CA" w14:textId="77777777" w:rsidR="00015426" w:rsidRDefault="00015426" w:rsidP="00925E6F">
            <w:pPr>
              <w:jc w:val="center"/>
              <w:rPr>
                <w:sz w:val="24"/>
                <w:szCs w:val="24"/>
                <w:lang w:val="en-US"/>
              </w:rPr>
            </w:pPr>
            <w:r>
              <w:rPr>
                <w:sz w:val="24"/>
                <w:szCs w:val="24"/>
                <w:lang w:val="en-US"/>
              </w:rPr>
              <w:t>91.01</w:t>
            </w:r>
          </w:p>
        </w:tc>
      </w:tr>
      <w:tr w:rsidR="00015426" w14:paraId="7AFF8A83" w14:textId="77777777" w:rsidTr="00DB398A">
        <w:trPr>
          <w:trHeight w:val="535"/>
        </w:trPr>
        <w:tc>
          <w:tcPr>
            <w:tcW w:w="1822" w:type="dxa"/>
          </w:tcPr>
          <w:p w14:paraId="44748FC5" w14:textId="77777777" w:rsidR="00015426" w:rsidRPr="00015426" w:rsidRDefault="00015426" w:rsidP="00925E6F">
            <w:pPr>
              <w:jc w:val="center"/>
              <w:rPr>
                <w:b/>
                <w:bCs/>
                <w:sz w:val="24"/>
                <w:szCs w:val="24"/>
                <w:lang w:val="en-US"/>
              </w:rPr>
            </w:pPr>
            <w:r w:rsidRPr="00015426">
              <w:rPr>
                <w:b/>
                <w:bCs/>
                <w:sz w:val="24"/>
                <w:szCs w:val="24"/>
                <w:lang w:val="en-US"/>
              </w:rPr>
              <w:t>Percentage change</w:t>
            </w:r>
          </w:p>
        </w:tc>
        <w:tc>
          <w:tcPr>
            <w:tcW w:w="1822" w:type="dxa"/>
          </w:tcPr>
          <w:p w14:paraId="46BC5B52" w14:textId="77777777" w:rsidR="00015426" w:rsidRDefault="00015426" w:rsidP="00925E6F">
            <w:pPr>
              <w:jc w:val="center"/>
              <w:rPr>
                <w:sz w:val="24"/>
                <w:szCs w:val="24"/>
                <w:lang w:val="en-US"/>
              </w:rPr>
            </w:pPr>
            <w:r>
              <w:rPr>
                <w:sz w:val="24"/>
                <w:szCs w:val="24"/>
                <w:lang w:val="en-US"/>
              </w:rPr>
              <w:t>- 34.36 %</w:t>
            </w:r>
          </w:p>
        </w:tc>
        <w:tc>
          <w:tcPr>
            <w:tcW w:w="1822" w:type="dxa"/>
          </w:tcPr>
          <w:p w14:paraId="43084210" w14:textId="77777777" w:rsidR="00015426" w:rsidRDefault="00015426" w:rsidP="00925E6F">
            <w:pPr>
              <w:jc w:val="center"/>
              <w:rPr>
                <w:sz w:val="24"/>
                <w:szCs w:val="24"/>
                <w:lang w:val="en-US"/>
              </w:rPr>
            </w:pPr>
            <w:r>
              <w:rPr>
                <w:sz w:val="24"/>
                <w:szCs w:val="24"/>
                <w:lang w:val="en-US"/>
              </w:rPr>
              <w:t>- 38.42 %</w:t>
            </w:r>
          </w:p>
        </w:tc>
        <w:tc>
          <w:tcPr>
            <w:tcW w:w="1822" w:type="dxa"/>
          </w:tcPr>
          <w:p w14:paraId="2EDB4185" w14:textId="77777777" w:rsidR="00015426" w:rsidRPr="007549EB" w:rsidRDefault="00015426" w:rsidP="00925E6F">
            <w:pPr>
              <w:jc w:val="center"/>
              <w:rPr>
                <w:sz w:val="24"/>
                <w:szCs w:val="24"/>
                <w:lang w:val="en-US"/>
              </w:rPr>
            </w:pPr>
            <w:r>
              <w:rPr>
                <w:sz w:val="24"/>
                <w:szCs w:val="24"/>
                <w:lang w:val="en-US"/>
              </w:rPr>
              <w:t>- 33.09 %</w:t>
            </w:r>
          </w:p>
        </w:tc>
        <w:tc>
          <w:tcPr>
            <w:tcW w:w="1823" w:type="dxa"/>
          </w:tcPr>
          <w:p w14:paraId="2C6D5FC3" w14:textId="77777777" w:rsidR="00015426" w:rsidRDefault="00015426" w:rsidP="00925E6F">
            <w:pPr>
              <w:jc w:val="center"/>
              <w:rPr>
                <w:sz w:val="24"/>
                <w:szCs w:val="24"/>
                <w:lang w:val="en-US"/>
              </w:rPr>
            </w:pPr>
            <w:r>
              <w:rPr>
                <w:sz w:val="24"/>
                <w:szCs w:val="24"/>
                <w:lang w:val="en-US"/>
              </w:rPr>
              <w:t>- 12.34 %</w:t>
            </w:r>
          </w:p>
        </w:tc>
      </w:tr>
    </w:tbl>
    <w:p w14:paraId="7D4ED30C" w14:textId="500BC9DA" w:rsidR="00015426" w:rsidRDefault="00015426" w:rsidP="00015426">
      <w:pPr>
        <w:pStyle w:val="NormalWeb"/>
        <w:shd w:val="clear" w:color="auto" w:fill="FFFFFF"/>
        <w:spacing w:before="0" w:beforeAutospacing="0" w:after="0" w:afterAutospacing="0"/>
        <w:textAlignment w:val="baseline"/>
        <w:rPr>
          <w:rStyle w:val="e24kjd"/>
          <w:b/>
          <w:bCs/>
          <w:color w:val="222222"/>
          <w:sz w:val="28"/>
          <w:szCs w:val="28"/>
        </w:rPr>
      </w:pPr>
    </w:p>
    <w:p w14:paraId="6F4B9A24" w14:textId="7B18BAB8" w:rsidR="0084680B" w:rsidRDefault="0084680B" w:rsidP="00015426">
      <w:pPr>
        <w:pStyle w:val="NormalWeb"/>
        <w:shd w:val="clear" w:color="auto" w:fill="FFFFFF"/>
        <w:spacing w:before="0" w:beforeAutospacing="0" w:after="0" w:afterAutospacing="0"/>
        <w:textAlignment w:val="baseline"/>
        <w:rPr>
          <w:rStyle w:val="e24kjd"/>
          <w:b/>
          <w:bCs/>
          <w:color w:val="222222"/>
          <w:sz w:val="28"/>
          <w:szCs w:val="28"/>
        </w:rPr>
      </w:pPr>
    </w:p>
    <w:p w14:paraId="33FF197C" w14:textId="77777777" w:rsidR="0084680B" w:rsidRDefault="0084680B" w:rsidP="00015426">
      <w:pPr>
        <w:pStyle w:val="NormalWeb"/>
        <w:shd w:val="clear" w:color="auto" w:fill="FFFFFF"/>
        <w:spacing w:before="0" w:beforeAutospacing="0" w:after="0" w:afterAutospacing="0"/>
        <w:textAlignment w:val="baseline"/>
        <w:rPr>
          <w:rStyle w:val="e24kjd"/>
          <w:b/>
          <w:bCs/>
          <w:color w:val="222222"/>
          <w:sz w:val="28"/>
          <w:szCs w:val="28"/>
        </w:rPr>
      </w:pPr>
    </w:p>
    <w:p w14:paraId="459C0C4E" w14:textId="17FAB004" w:rsidR="00C27D1A" w:rsidRDefault="00C27D1A" w:rsidP="00C27D1A">
      <w:pPr>
        <w:pStyle w:val="NormalWeb"/>
        <w:numPr>
          <w:ilvl w:val="0"/>
          <w:numId w:val="5"/>
        </w:numPr>
        <w:shd w:val="clear" w:color="auto" w:fill="FFFFFF"/>
        <w:spacing w:before="0" w:beforeAutospacing="0" w:after="0" w:afterAutospacing="0"/>
        <w:textAlignment w:val="baseline"/>
        <w:rPr>
          <w:rStyle w:val="e24kjd"/>
          <w:b/>
          <w:bCs/>
          <w:color w:val="222222"/>
          <w:sz w:val="28"/>
          <w:szCs w:val="28"/>
        </w:rPr>
      </w:pPr>
      <w:r>
        <w:rPr>
          <w:rStyle w:val="e24kjd"/>
          <w:b/>
          <w:bCs/>
          <w:color w:val="222222"/>
          <w:sz w:val="28"/>
          <w:szCs w:val="28"/>
        </w:rPr>
        <w:lastRenderedPageBreak/>
        <w:t xml:space="preserve">Restaurants </w:t>
      </w:r>
    </w:p>
    <w:p w14:paraId="073F4EEA" w14:textId="77777777" w:rsidR="00C27D1A" w:rsidRPr="00015426" w:rsidRDefault="00C27D1A" w:rsidP="00C27D1A">
      <w:pPr>
        <w:pStyle w:val="NormalWeb"/>
        <w:shd w:val="clear" w:color="auto" w:fill="FFFFFF"/>
        <w:spacing w:before="0" w:beforeAutospacing="0" w:after="0" w:afterAutospacing="0"/>
        <w:ind w:left="360"/>
        <w:textAlignment w:val="baseline"/>
        <w:rPr>
          <w:rStyle w:val="e24kjd"/>
          <w:b/>
          <w:bCs/>
          <w:color w:val="222222"/>
          <w:sz w:val="28"/>
          <w:szCs w:val="28"/>
        </w:rPr>
      </w:pPr>
    </w:p>
    <w:tbl>
      <w:tblPr>
        <w:tblStyle w:val="TableGridLight"/>
        <w:tblW w:w="9181" w:type="dxa"/>
        <w:tblLook w:val="04A0" w:firstRow="1" w:lastRow="0" w:firstColumn="1" w:lastColumn="0" w:noHBand="0" w:noVBand="1"/>
      </w:tblPr>
      <w:tblGrid>
        <w:gridCol w:w="1836"/>
        <w:gridCol w:w="1836"/>
        <w:gridCol w:w="1836"/>
        <w:gridCol w:w="1836"/>
        <w:gridCol w:w="1837"/>
      </w:tblGrid>
      <w:tr w:rsidR="00C27D1A" w14:paraId="6AE6EE4F" w14:textId="77777777" w:rsidTr="0084680B">
        <w:trPr>
          <w:trHeight w:val="457"/>
        </w:trPr>
        <w:tc>
          <w:tcPr>
            <w:tcW w:w="1836" w:type="dxa"/>
          </w:tcPr>
          <w:p w14:paraId="66927E45" w14:textId="77777777" w:rsidR="00C27D1A" w:rsidRPr="00C27D1A" w:rsidRDefault="00C27D1A" w:rsidP="00925E6F">
            <w:pPr>
              <w:jc w:val="center"/>
              <w:rPr>
                <w:b/>
                <w:bCs/>
                <w:sz w:val="24"/>
                <w:szCs w:val="24"/>
                <w:lang w:val="en-US"/>
              </w:rPr>
            </w:pPr>
            <w:r w:rsidRPr="00C27D1A">
              <w:rPr>
                <w:b/>
                <w:bCs/>
                <w:sz w:val="24"/>
                <w:szCs w:val="24"/>
                <w:lang w:val="en-US"/>
              </w:rPr>
              <w:t>Stock Name</w:t>
            </w:r>
          </w:p>
        </w:tc>
        <w:tc>
          <w:tcPr>
            <w:tcW w:w="1836" w:type="dxa"/>
          </w:tcPr>
          <w:p w14:paraId="1D0311F5" w14:textId="77777777" w:rsidR="00C27D1A" w:rsidRPr="00C27D1A" w:rsidRDefault="00C27D1A" w:rsidP="00925E6F">
            <w:pPr>
              <w:jc w:val="center"/>
              <w:rPr>
                <w:b/>
                <w:bCs/>
                <w:sz w:val="24"/>
                <w:szCs w:val="24"/>
                <w:lang w:val="en-US"/>
              </w:rPr>
            </w:pPr>
            <w:r w:rsidRPr="00C27D1A">
              <w:rPr>
                <w:b/>
                <w:bCs/>
                <w:sz w:val="24"/>
                <w:szCs w:val="24"/>
                <w:lang w:val="en-US"/>
              </w:rPr>
              <w:t xml:space="preserve">Advani Hotels </w:t>
            </w:r>
          </w:p>
        </w:tc>
        <w:tc>
          <w:tcPr>
            <w:tcW w:w="1836" w:type="dxa"/>
          </w:tcPr>
          <w:p w14:paraId="19D4A545" w14:textId="77777777" w:rsidR="00C27D1A" w:rsidRPr="00C27D1A" w:rsidRDefault="00C27D1A" w:rsidP="00925E6F">
            <w:pPr>
              <w:jc w:val="center"/>
              <w:rPr>
                <w:b/>
                <w:bCs/>
                <w:sz w:val="24"/>
                <w:szCs w:val="24"/>
                <w:lang w:val="en-US"/>
              </w:rPr>
            </w:pPr>
            <w:r w:rsidRPr="00C27D1A">
              <w:rPr>
                <w:b/>
                <w:bCs/>
                <w:sz w:val="24"/>
                <w:szCs w:val="24"/>
                <w:lang w:val="en-US"/>
              </w:rPr>
              <w:t>Chalet Hotels</w:t>
            </w:r>
          </w:p>
        </w:tc>
        <w:tc>
          <w:tcPr>
            <w:tcW w:w="1836" w:type="dxa"/>
          </w:tcPr>
          <w:p w14:paraId="0DD50390" w14:textId="77777777" w:rsidR="00C27D1A" w:rsidRPr="00C27D1A" w:rsidRDefault="00C27D1A" w:rsidP="00925E6F">
            <w:pPr>
              <w:jc w:val="center"/>
              <w:rPr>
                <w:b/>
                <w:bCs/>
                <w:sz w:val="24"/>
                <w:szCs w:val="24"/>
                <w:lang w:val="en-US"/>
              </w:rPr>
            </w:pPr>
            <w:r w:rsidRPr="00C27D1A">
              <w:rPr>
                <w:b/>
                <w:bCs/>
                <w:sz w:val="24"/>
                <w:szCs w:val="24"/>
                <w:lang w:val="en-US"/>
              </w:rPr>
              <w:t>Indian Hotels</w:t>
            </w:r>
          </w:p>
        </w:tc>
        <w:tc>
          <w:tcPr>
            <w:tcW w:w="1837" w:type="dxa"/>
          </w:tcPr>
          <w:p w14:paraId="3FF66755" w14:textId="77777777" w:rsidR="00C27D1A" w:rsidRPr="00C27D1A" w:rsidRDefault="00C27D1A" w:rsidP="00925E6F">
            <w:pPr>
              <w:jc w:val="center"/>
              <w:rPr>
                <w:b/>
                <w:bCs/>
                <w:sz w:val="24"/>
                <w:szCs w:val="24"/>
                <w:lang w:val="en-US"/>
              </w:rPr>
            </w:pPr>
            <w:r w:rsidRPr="00C27D1A">
              <w:rPr>
                <w:b/>
                <w:bCs/>
                <w:sz w:val="24"/>
                <w:szCs w:val="24"/>
                <w:lang w:val="en-US"/>
              </w:rPr>
              <w:t>Mahindra Holida</w:t>
            </w:r>
          </w:p>
        </w:tc>
      </w:tr>
      <w:tr w:rsidR="00C27D1A" w14:paraId="53022294" w14:textId="77777777" w:rsidTr="0084680B">
        <w:trPr>
          <w:trHeight w:val="457"/>
        </w:trPr>
        <w:tc>
          <w:tcPr>
            <w:tcW w:w="1836" w:type="dxa"/>
          </w:tcPr>
          <w:p w14:paraId="38514303" w14:textId="77777777" w:rsidR="00C27D1A" w:rsidRPr="00C27D1A" w:rsidRDefault="00C27D1A" w:rsidP="00925E6F">
            <w:pPr>
              <w:jc w:val="center"/>
              <w:rPr>
                <w:b/>
                <w:bCs/>
                <w:sz w:val="24"/>
                <w:szCs w:val="24"/>
                <w:lang w:val="en-US"/>
              </w:rPr>
            </w:pPr>
            <w:r w:rsidRPr="00C27D1A">
              <w:rPr>
                <w:b/>
                <w:bCs/>
                <w:sz w:val="24"/>
                <w:szCs w:val="24"/>
                <w:lang w:val="en-US"/>
              </w:rPr>
              <w:t>Pre-Lockdown</w:t>
            </w:r>
          </w:p>
        </w:tc>
        <w:tc>
          <w:tcPr>
            <w:tcW w:w="1836" w:type="dxa"/>
          </w:tcPr>
          <w:p w14:paraId="20849CBD" w14:textId="77777777" w:rsidR="00C27D1A" w:rsidRDefault="00C27D1A" w:rsidP="00925E6F">
            <w:pPr>
              <w:jc w:val="center"/>
              <w:rPr>
                <w:sz w:val="24"/>
                <w:szCs w:val="24"/>
                <w:lang w:val="en-US"/>
              </w:rPr>
            </w:pPr>
            <w:r>
              <w:rPr>
                <w:sz w:val="24"/>
                <w:szCs w:val="24"/>
                <w:lang w:val="en-US"/>
              </w:rPr>
              <w:t>50.70</w:t>
            </w:r>
          </w:p>
        </w:tc>
        <w:tc>
          <w:tcPr>
            <w:tcW w:w="1836" w:type="dxa"/>
          </w:tcPr>
          <w:p w14:paraId="1A7DBF8D" w14:textId="77777777" w:rsidR="00C27D1A" w:rsidRDefault="00C27D1A" w:rsidP="00925E6F">
            <w:pPr>
              <w:jc w:val="center"/>
              <w:rPr>
                <w:sz w:val="24"/>
                <w:szCs w:val="24"/>
                <w:lang w:val="en-US"/>
              </w:rPr>
            </w:pPr>
            <w:r>
              <w:rPr>
                <w:sz w:val="24"/>
                <w:szCs w:val="24"/>
                <w:lang w:val="en-US"/>
              </w:rPr>
              <w:t>314.06</w:t>
            </w:r>
          </w:p>
        </w:tc>
        <w:tc>
          <w:tcPr>
            <w:tcW w:w="1836" w:type="dxa"/>
          </w:tcPr>
          <w:p w14:paraId="652A433C" w14:textId="77777777" w:rsidR="00C27D1A" w:rsidRDefault="00C27D1A" w:rsidP="00925E6F">
            <w:pPr>
              <w:jc w:val="center"/>
              <w:rPr>
                <w:sz w:val="24"/>
                <w:szCs w:val="24"/>
                <w:lang w:val="en-US"/>
              </w:rPr>
            </w:pPr>
            <w:r>
              <w:rPr>
                <w:sz w:val="24"/>
                <w:szCs w:val="24"/>
                <w:lang w:val="en-US"/>
              </w:rPr>
              <w:t>130.10</w:t>
            </w:r>
          </w:p>
        </w:tc>
        <w:tc>
          <w:tcPr>
            <w:tcW w:w="1837" w:type="dxa"/>
          </w:tcPr>
          <w:p w14:paraId="21624BC9" w14:textId="77777777" w:rsidR="00C27D1A" w:rsidRDefault="00C27D1A" w:rsidP="00925E6F">
            <w:pPr>
              <w:jc w:val="center"/>
              <w:rPr>
                <w:sz w:val="24"/>
                <w:szCs w:val="24"/>
                <w:lang w:val="en-US"/>
              </w:rPr>
            </w:pPr>
            <w:r>
              <w:rPr>
                <w:sz w:val="24"/>
                <w:szCs w:val="24"/>
                <w:lang w:val="en-US"/>
              </w:rPr>
              <w:t>214.77</w:t>
            </w:r>
          </w:p>
        </w:tc>
      </w:tr>
      <w:tr w:rsidR="00C27D1A" w14:paraId="5EB41103" w14:textId="77777777" w:rsidTr="0084680B">
        <w:trPr>
          <w:trHeight w:val="437"/>
        </w:trPr>
        <w:tc>
          <w:tcPr>
            <w:tcW w:w="1836" w:type="dxa"/>
          </w:tcPr>
          <w:p w14:paraId="13F56953" w14:textId="77777777" w:rsidR="00C27D1A" w:rsidRPr="00C27D1A" w:rsidRDefault="00C27D1A" w:rsidP="00925E6F">
            <w:pPr>
              <w:jc w:val="center"/>
              <w:rPr>
                <w:b/>
                <w:bCs/>
                <w:sz w:val="24"/>
                <w:szCs w:val="24"/>
                <w:lang w:val="en-US"/>
              </w:rPr>
            </w:pPr>
            <w:r w:rsidRPr="00C27D1A">
              <w:rPr>
                <w:b/>
                <w:bCs/>
                <w:sz w:val="24"/>
                <w:szCs w:val="24"/>
                <w:lang w:val="en-US"/>
              </w:rPr>
              <w:t>Post-Lockdown</w:t>
            </w:r>
          </w:p>
        </w:tc>
        <w:tc>
          <w:tcPr>
            <w:tcW w:w="1836" w:type="dxa"/>
          </w:tcPr>
          <w:p w14:paraId="48D65BA9" w14:textId="77777777" w:rsidR="00C27D1A" w:rsidRDefault="00C27D1A" w:rsidP="00925E6F">
            <w:pPr>
              <w:jc w:val="center"/>
              <w:rPr>
                <w:sz w:val="24"/>
                <w:szCs w:val="24"/>
                <w:lang w:val="en-US"/>
              </w:rPr>
            </w:pPr>
            <w:r>
              <w:rPr>
                <w:sz w:val="24"/>
                <w:szCs w:val="24"/>
                <w:lang w:val="en-US"/>
              </w:rPr>
              <w:t>39.96</w:t>
            </w:r>
          </w:p>
        </w:tc>
        <w:tc>
          <w:tcPr>
            <w:tcW w:w="1836" w:type="dxa"/>
          </w:tcPr>
          <w:p w14:paraId="6287394F" w14:textId="77777777" w:rsidR="00C27D1A" w:rsidRDefault="00C27D1A" w:rsidP="00925E6F">
            <w:pPr>
              <w:jc w:val="center"/>
              <w:rPr>
                <w:sz w:val="24"/>
                <w:szCs w:val="24"/>
                <w:lang w:val="en-US"/>
              </w:rPr>
            </w:pPr>
            <w:r>
              <w:rPr>
                <w:sz w:val="24"/>
                <w:szCs w:val="24"/>
                <w:lang w:val="en-US"/>
              </w:rPr>
              <w:t>148.54</w:t>
            </w:r>
          </w:p>
        </w:tc>
        <w:tc>
          <w:tcPr>
            <w:tcW w:w="1836" w:type="dxa"/>
          </w:tcPr>
          <w:p w14:paraId="78AE8082" w14:textId="77777777" w:rsidR="00C27D1A" w:rsidRDefault="00C27D1A" w:rsidP="00925E6F">
            <w:pPr>
              <w:jc w:val="center"/>
              <w:rPr>
                <w:sz w:val="24"/>
                <w:szCs w:val="24"/>
                <w:lang w:val="en-US"/>
              </w:rPr>
            </w:pPr>
            <w:r>
              <w:rPr>
                <w:sz w:val="24"/>
                <w:szCs w:val="24"/>
                <w:lang w:val="en-US"/>
              </w:rPr>
              <w:t>76.85</w:t>
            </w:r>
          </w:p>
        </w:tc>
        <w:tc>
          <w:tcPr>
            <w:tcW w:w="1837" w:type="dxa"/>
          </w:tcPr>
          <w:p w14:paraId="5985023F" w14:textId="77777777" w:rsidR="00C27D1A" w:rsidRDefault="00C27D1A" w:rsidP="00925E6F">
            <w:pPr>
              <w:jc w:val="center"/>
              <w:rPr>
                <w:sz w:val="24"/>
                <w:szCs w:val="24"/>
                <w:lang w:val="en-US"/>
              </w:rPr>
            </w:pPr>
            <w:r>
              <w:rPr>
                <w:sz w:val="24"/>
                <w:szCs w:val="24"/>
                <w:lang w:val="en-US"/>
              </w:rPr>
              <w:t>150.78</w:t>
            </w:r>
          </w:p>
        </w:tc>
      </w:tr>
      <w:tr w:rsidR="00C27D1A" w14:paraId="352BB7BE" w14:textId="77777777" w:rsidTr="0084680B">
        <w:trPr>
          <w:trHeight w:val="437"/>
        </w:trPr>
        <w:tc>
          <w:tcPr>
            <w:tcW w:w="1836" w:type="dxa"/>
          </w:tcPr>
          <w:p w14:paraId="3CFD9009" w14:textId="77777777" w:rsidR="00C27D1A" w:rsidRPr="00C27D1A" w:rsidRDefault="00C27D1A" w:rsidP="00925E6F">
            <w:pPr>
              <w:jc w:val="center"/>
              <w:rPr>
                <w:b/>
                <w:bCs/>
                <w:sz w:val="24"/>
                <w:szCs w:val="24"/>
                <w:lang w:val="en-US"/>
              </w:rPr>
            </w:pPr>
            <w:r w:rsidRPr="00C27D1A">
              <w:rPr>
                <w:b/>
                <w:bCs/>
                <w:sz w:val="24"/>
                <w:szCs w:val="24"/>
                <w:lang w:val="en-US"/>
              </w:rPr>
              <w:t>Percentage change</w:t>
            </w:r>
          </w:p>
        </w:tc>
        <w:tc>
          <w:tcPr>
            <w:tcW w:w="1836" w:type="dxa"/>
          </w:tcPr>
          <w:p w14:paraId="668B6AFB" w14:textId="77777777" w:rsidR="00C27D1A" w:rsidRDefault="00C27D1A" w:rsidP="00925E6F">
            <w:pPr>
              <w:jc w:val="center"/>
              <w:rPr>
                <w:sz w:val="24"/>
                <w:szCs w:val="24"/>
                <w:lang w:val="en-US"/>
              </w:rPr>
            </w:pPr>
            <w:r>
              <w:rPr>
                <w:sz w:val="24"/>
                <w:szCs w:val="24"/>
                <w:lang w:val="en-US"/>
              </w:rPr>
              <w:t>- 21.18 %</w:t>
            </w:r>
          </w:p>
        </w:tc>
        <w:tc>
          <w:tcPr>
            <w:tcW w:w="1836" w:type="dxa"/>
          </w:tcPr>
          <w:p w14:paraId="0D94047D" w14:textId="77777777" w:rsidR="00C27D1A" w:rsidRDefault="00C27D1A" w:rsidP="00925E6F">
            <w:pPr>
              <w:jc w:val="center"/>
              <w:rPr>
                <w:sz w:val="24"/>
                <w:szCs w:val="24"/>
                <w:lang w:val="en-US"/>
              </w:rPr>
            </w:pPr>
            <w:r>
              <w:rPr>
                <w:sz w:val="24"/>
                <w:szCs w:val="24"/>
                <w:lang w:val="en-US"/>
              </w:rPr>
              <w:t>- 50.70 %</w:t>
            </w:r>
          </w:p>
        </w:tc>
        <w:tc>
          <w:tcPr>
            <w:tcW w:w="1836" w:type="dxa"/>
          </w:tcPr>
          <w:p w14:paraId="027CF912" w14:textId="77777777" w:rsidR="00C27D1A" w:rsidRPr="007549EB" w:rsidRDefault="00C27D1A" w:rsidP="00925E6F">
            <w:pPr>
              <w:jc w:val="center"/>
              <w:rPr>
                <w:sz w:val="24"/>
                <w:szCs w:val="24"/>
                <w:lang w:val="en-US"/>
              </w:rPr>
            </w:pPr>
            <w:r>
              <w:rPr>
                <w:sz w:val="24"/>
                <w:szCs w:val="24"/>
                <w:lang w:val="en-US"/>
              </w:rPr>
              <w:t>- 40.90 %</w:t>
            </w:r>
          </w:p>
        </w:tc>
        <w:tc>
          <w:tcPr>
            <w:tcW w:w="1837" w:type="dxa"/>
          </w:tcPr>
          <w:p w14:paraId="0F6BC9DC" w14:textId="77777777" w:rsidR="00C27D1A" w:rsidRDefault="00C27D1A" w:rsidP="00925E6F">
            <w:pPr>
              <w:jc w:val="center"/>
              <w:rPr>
                <w:sz w:val="24"/>
                <w:szCs w:val="24"/>
                <w:lang w:val="en-US"/>
              </w:rPr>
            </w:pPr>
            <w:r>
              <w:rPr>
                <w:sz w:val="24"/>
                <w:szCs w:val="24"/>
                <w:lang w:val="en-US"/>
              </w:rPr>
              <w:t>- 29.79 %</w:t>
            </w:r>
          </w:p>
        </w:tc>
      </w:tr>
    </w:tbl>
    <w:p w14:paraId="52ED9B25" w14:textId="22C32919" w:rsidR="003530B6" w:rsidRDefault="003530B6" w:rsidP="003530B6">
      <w:pPr>
        <w:pStyle w:val="NormalWeb"/>
        <w:shd w:val="clear" w:color="auto" w:fill="FFFFFF"/>
        <w:spacing w:before="0" w:beforeAutospacing="0" w:after="0" w:afterAutospacing="0"/>
        <w:jc w:val="both"/>
        <w:textAlignment w:val="baseline"/>
        <w:rPr>
          <w:rStyle w:val="e24kjd"/>
          <w:color w:val="222222"/>
        </w:rPr>
      </w:pPr>
    </w:p>
    <w:p w14:paraId="340C5F80" w14:textId="58AA6502" w:rsidR="00C27D1A" w:rsidRDefault="00C27D1A" w:rsidP="00C27D1A">
      <w:pPr>
        <w:pStyle w:val="NormalWeb"/>
        <w:numPr>
          <w:ilvl w:val="0"/>
          <w:numId w:val="5"/>
        </w:numPr>
        <w:shd w:val="clear" w:color="auto" w:fill="FFFFFF"/>
        <w:spacing w:before="0" w:beforeAutospacing="0" w:after="0" w:afterAutospacing="0"/>
        <w:jc w:val="both"/>
        <w:textAlignment w:val="baseline"/>
        <w:rPr>
          <w:rStyle w:val="e24kjd"/>
          <w:b/>
          <w:bCs/>
          <w:color w:val="222222"/>
          <w:sz w:val="28"/>
          <w:szCs w:val="28"/>
        </w:rPr>
      </w:pPr>
      <w:r w:rsidRPr="00C27D1A">
        <w:rPr>
          <w:rStyle w:val="e24kjd"/>
          <w:b/>
          <w:bCs/>
          <w:color w:val="222222"/>
          <w:sz w:val="28"/>
          <w:szCs w:val="28"/>
        </w:rPr>
        <w:t xml:space="preserve">Tourism </w:t>
      </w:r>
    </w:p>
    <w:p w14:paraId="1BF1EE0C" w14:textId="77777777" w:rsidR="00C27D1A" w:rsidRPr="00C27D1A" w:rsidRDefault="00C27D1A" w:rsidP="00C27D1A">
      <w:pPr>
        <w:pStyle w:val="NormalWeb"/>
        <w:shd w:val="clear" w:color="auto" w:fill="FFFFFF"/>
        <w:spacing w:before="0" w:beforeAutospacing="0" w:after="0" w:afterAutospacing="0"/>
        <w:ind w:left="360"/>
        <w:jc w:val="both"/>
        <w:textAlignment w:val="baseline"/>
        <w:rPr>
          <w:rStyle w:val="e24kjd"/>
          <w:b/>
          <w:bCs/>
          <w:color w:val="222222"/>
          <w:sz w:val="28"/>
          <w:szCs w:val="28"/>
        </w:rPr>
      </w:pPr>
    </w:p>
    <w:tbl>
      <w:tblPr>
        <w:tblStyle w:val="TableGridLight"/>
        <w:tblW w:w="9156" w:type="dxa"/>
        <w:tblLook w:val="04A0" w:firstRow="1" w:lastRow="0" w:firstColumn="1" w:lastColumn="0" w:noHBand="0" w:noVBand="1"/>
      </w:tblPr>
      <w:tblGrid>
        <w:gridCol w:w="1831"/>
        <w:gridCol w:w="1831"/>
        <w:gridCol w:w="1831"/>
        <w:gridCol w:w="1831"/>
        <w:gridCol w:w="1832"/>
      </w:tblGrid>
      <w:tr w:rsidR="00C27D1A" w14:paraId="10FB1D86" w14:textId="77777777" w:rsidTr="0084680B">
        <w:trPr>
          <w:trHeight w:val="484"/>
        </w:trPr>
        <w:tc>
          <w:tcPr>
            <w:tcW w:w="1831" w:type="dxa"/>
          </w:tcPr>
          <w:p w14:paraId="05CE0AAC" w14:textId="77777777" w:rsidR="00C27D1A" w:rsidRPr="00C27D1A" w:rsidRDefault="00C27D1A" w:rsidP="00925E6F">
            <w:pPr>
              <w:jc w:val="center"/>
              <w:rPr>
                <w:b/>
                <w:bCs/>
                <w:sz w:val="24"/>
                <w:szCs w:val="24"/>
                <w:lang w:val="en-US"/>
              </w:rPr>
            </w:pPr>
            <w:r w:rsidRPr="00C27D1A">
              <w:rPr>
                <w:b/>
                <w:bCs/>
                <w:sz w:val="24"/>
                <w:szCs w:val="24"/>
                <w:lang w:val="en-US"/>
              </w:rPr>
              <w:t>Stock Name</w:t>
            </w:r>
          </w:p>
        </w:tc>
        <w:tc>
          <w:tcPr>
            <w:tcW w:w="1831" w:type="dxa"/>
          </w:tcPr>
          <w:p w14:paraId="4C7C2ED7" w14:textId="77777777" w:rsidR="00C27D1A" w:rsidRPr="00C27D1A" w:rsidRDefault="00C27D1A" w:rsidP="00925E6F">
            <w:pPr>
              <w:jc w:val="center"/>
              <w:rPr>
                <w:b/>
                <w:bCs/>
                <w:sz w:val="24"/>
                <w:szCs w:val="24"/>
                <w:lang w:val="en-US"/>
              </w:rPr>
            </w:pPr>
            <w:r w:rsidRPr="00C27D1A">
              <w:rPr>
                <w:b/>
                <w:bCs/>
                <w:sz w:val="24"/>
                <w:szCs w:val="24"/>
                <w:lang w:val="en-US"/>
              </w:rPr>
              <w:t>Cox &amp; King</w:t>
            </w:r>
          </w:p>
        </w:tc>
        <w:tc>
          <w:tcPr>
            <w:tcW w:w="1831" w:type="dxa"/>
          </w:tcPr>
          <w:p w14:paraId="531DDD73" w14:textId="77777777" w:rsidR="00C27D1A" w:rsidRPr="00C27D1A" w:rsidRDefault="00C27D1A" w:rsidP="00925E6F">
            <w:pPr>
              <w:jc w:val="center"/>
              <w:rPr>
                <w:b/>
                <w:bCs/>
                <w:sz w:val="24"/>
                <w:szCs w:val="24"/>
                <w:lang w:val="en-US"/>
              </w:rPr>
            </w:pPr>
            <w:r w:rsidRPr="00C27D1A">
              <w:rPr>
                <w:b/>
                <w:bCs/>
                <w:sz w:val="24"/>
                <w:szCs w:val="24"/>
                <w:lang w:val="en-US"/>
              </w:rPr>
              <w:t>Thomas Cook</w:t>
            </w:r>
          </w:p>
        </w:tc>
        <w:tc>
          <w:tcPr>
            <w:tcW w:w="1831" w:type="dxa"/>
          </w:tcPr>
          <w:p w14:paraId="3BC55B78" w14:textId="77777777" w:rsidR="00C27D1A" w:rsidRPr="00C27D1A" w:rsidRDefault="00C27D1A" w:rsidP="00925E6F">
            <w:pPr>
              <w:jc w:val="center"/>
              <w:rPr>
                <w:b/>
                <w:bCs/>
                <w:sz w:val="24"/>
                <w:szCs w:val="24"/>
                <w:lang w:val="en-US"/>
              </w:rPr>
            </w:pPr>
            <w:r w:rsidRPr="00C27D1A">
              <w:rPr>
                <w:b/>
                <w:bCs/>
                <w:sz w:val="24"/>
                <w:szCs w:val="24"/>
                <w:lang w:val="en-US"/>
              </w:rPr>
              <w:t>Crown Tours</w:t>
            </w:r>
          </w:p>
        </w:tc>
        <w:tc>
          <w:tcPr>
            <w:tcW w:w="1832" w:type="dxa"/>
          </w:tcPr>
          <w:p w14:paraId="1D52EA81" w14:textId="77777777" w:rsidR="00C27D1A" w:rsidRPr="00C27D1A" w:rsidRDefault="00C27D1A" w:rsidP="00925E6F">
            <w:pPr>
              <w:jc w:val="center"/>
              <w:rPr>
                <w:b/>
                <w:bCs/>
                <w:sz w:val="24"/>
                <w:szCs w:val="24"/>
                <w:lang w:val="en-US"/>
              </w:rPr>
            </w:pPr>
            <w:r w:rsidRPr="00C27D1A">
              <w:rPr>
                <w:b/>
                <w:bCs/>
                <w:sz w:val="24"/>
                <w:szCs w:val="24"/>
                <w:lang w:val="en-US"/>
              </w:rPr>
              <w:t>Transcorp Intl</w:t>
            </w:r>
          </w:p>
        </w:tc>
      </w:tr>
      <w:tr w:rsidR="00C27D1A" w14:paraId="14B0E249" w14:textId="77777777" w:rsidTr="0084680B">
        <w:trPr>
          <w:trHeight w:val="484"/>
        </w:trPr>
        <w:tc>
          <w:tcPr>
            <w:tcW w:w="1831" w:type="dxa"/>
          </w:tcPr>
          <w:p w14:paraId="0CA85C2C" w14:textId="77777777" w:rsidR="00C27D1A" w:rsidRPr="00C27D1A" w:rsidRDefault="00C27D1A" w:rsidP="00925E6F">
            <w:pPr>
              <w:jc w:val="center"/>
              <w:rPr>
                <w:b/>
                <w:bCs/>
                <w:sz w:val="24"/>
                <w:szCs w:val="24"/>
                <w:lang w:val="en-US"/>
              </w:rPr>
            </w:pPr>
            <w:r w:rsidRPr="00C27D1A">
              <w:rPr>
                <w:b/>
                <w:bCs/>
                <w:sz w:val="24"/>
                <w:szCs w:val="24"/>
                <w:lang w:val="en-US"/>
              </w:rPr>
              <w:t>Pre-Lockdown</w:t>
            </w:r>
          </w:p>
        </w:tc>
        <w:tc>
          <w:tcPr>
            <w:tcW w:w="1831" w:type="dxa"/>
          </w:tcPr>
          <w:p w14:paraId="31E4CA32" w14:textId="77777777" w:rsidR="00C27D1A" w:rsidRDefault="00C27D1A" w:rsidP="00925E6F">
            <w:pPr>
              <w:jc w:val="center"/>
              <w:rPr>
                <w:sz w:val="24"/>
                <w:szCs w:val="24"/>
                <w:lang w:val="en-US"/>
              </w:rPr>
            </w:pPr>
            <w:r>
              <w:rPr>
                <w:sz w:val="24"/>
                <w:szCs w:val="24"/>
                <w:lang w:val="en-US"/>
              </w:rPr>
              <w:t>0.96</w:t>
            </w:r>
          </w:p>
        </w:tc>
        <w:tc>
          <w:tcPr>
            <w:tcW w:w="1831" w:type="dxa"/>
          </w:tcPr>
          <w:p w14:paraId="312D9B35" w14:textId="77777777" w:rsidR="00C27D1A" w:rsidRDefault="00C27D1A" w:rsidP="00925E6F">
            <w:pPr>
              <w:jc w:val="center"/>
              <w:rPr>
                <w:sz w:val="24"/>
                <w:szCs w:val="24"/>
                <w:lang w:val="en-US"/>
              </w:rPr>
            </w:pPr>
            <w:r>
              <w:rPr>
                <w:sz w:val="24"/>
                <w:szCs w:val="24"/>
                <w:lang w:val="en-US"/>
              </w:rPr>
              <w:t>49.67</w:t>
            </w:r>
          </w:p>
        </w:tc>
        <w:tc>
          <w:tcPr>
            <w:tcW w:w="1831" w:type="dxa"/>
          </w:tcPr>
          <w:p w14:paraId="3DA81F30" w14:textId="77777777" w:rsidR="00C27D1A" w:rsidRDefault="00C27D1A" w:rsidP="00925E6F">
            <w:pPr>
              <w:jc w:val="center"/>
              <w:rPr>
                <w:sz w:val="24"/>
                <w:szCs w:val="24"/>
                <w:lang w:val="en-US"/>
              </w:rPr>
            </w:pPr>
            <w:r>
              <w:rPr>
                <w:sz w:val="24"/>
                <w:szCs w:val="24"/>
                <w:lang w:val="en-US"/>
              </w:rPr>
              <w:t>17.88</w:t>
            </w:r>
          </w:p>
        </w:tc>
        <w:tc>
          <w:tcPr>
            <w:tcW w:w="1832" w:type="dxa"/>
          </w:tcPr>
          <w:p w14:paraId="75C15398" w14:textId="77777777" w:rsidR="00C27D1A" w:rsidRDefault="00C27D1A" w:rsidP="00925E6F">
            <w:pPr>
              <w:jc w:val="center"/>
              <w:rPr>
                <w:sz w:val="24"/>
                <w:szCs w:val="24"/>
                <w:lang w:val="en-US"/>
              </w:rPr>
            </w:pPr>
            <w:r>
              <w:rPr>
                <w:sz w:val="24"/>
                <w:szCs w:val="24"/>
                <w:lang w:val="en-US"/>
              </w:rPr>
              <w:t>11.73</w:t>
            </w:r>
          </w:p>
        </w:tc>
      </w:tr>
      <w:tr w:rsidR="00C27D1A" w14:paraId="34792492" w14:textId="77777777" w:rsidTr="0084680B">
        <w:trPr>
          <w:trHeight w:val="463"/>
        </w:trPr>
        <w:tc>
          <w:tcPr>
            <w:tcW w:w="1831" w:type="dxa"/>
          </w:tcPr>
          <w:p w14:paraId="60E5CBEE" w14:textId="77777777" w:rsidR="00C27D1A" w:rsidRPr="00C27D1A" w:rsidRDefault="00C27D1A" w:rsidP="00925E6F">
            <w:pPr>
              <w:jc w:val="center"/>
              <w:rPr>
                <w:b/>
                <w:bCs/>
                <w:sz w:val="24"/>
                <w:szCs w:val="24"/>
                <w:lang w:val="en-US"/>
              </w:rPr>
            </w:pPr>
            <w:r w:rsidRPr="00C27D1A">
              <w:rPr>
                <w:b/>
                <w:bCs/>
                <w:sz w:val="24"/>
                <w:szCs w:val="24"/>
                <w:lang w:val="en-US"/>
              </w:rPr>
              <w:t>Post-Lockdown</w:t>
            </w:r>
          </w:p>
        </w:tc>
        <w:tc>
          <w:tcPr>
            <w:tcW w:w="1831" w:type="dxa"/>
          </w:tcPr>
          <w:p w14:paraId="6ACD5940" w14:textId="77777777" w:rsidR="00C27D1A" w:rsidRDefault="00C27D1A" w:rsidP="00925E6F">
            <w:pPr>
              <w:jc w:val="center"/>
              <w:rPr>
                <w:sz w:val="24"/>
                <w:szCs w:val="24"/>
                <w:lang w:val="en-US"/>
              </w:rPr>
            </w:pPr>
            <w:r>
              <w:rPr>
                <w:sz w:val="24"/>
                <w:szCs w:val="24"/>
                <w:lang w:val="en-US"/>
              </w:rPr>
              <w:t>0.99</w:t>
            </w:r>
          </w:p>
        </w:tc>
        <w:tc>
          <w:tcPr>
            <w:tcW w:w="1831" w:type="dxa"/>
          </w:tcPr>
          <w:p w14:paraId="62E5ECC0" w14:textId="77777777" w:rsidR="00C27D1A" w:rsidRDefault="00C27D1A" w:rsidP="00925E6F">
            <w:pPr>
              <w:jc w:val="center"/>
              <w:rPr>
                <w:sz w:val="24"/>
                <w:szCs w:val="24"/>
                <w:lang w:val="en-US"/>
              </w:rPr>
            </w:pPr>
            <w:r>
              <w:rPr>
                <w:sz w:val="24"/>
                <w:szCs w:val="24"/>
                <w:lang w:val="en-US"/>
              </w:rPr>
              <w:t>27.59</w:t>
            </w:r>
          </w:p>
        </w:tc>
        <w:tc>
          <w:tcPr>
            <w:tcW w:w="1831" w:type="dxa"/>
          </w:tcPr>
          <w:p w14:paraId="29B86F5F" w14:textId="77777777" w:rsidR="00C27D1A" w:rsidRDefault="00C27D1A" w:rsidP="00925E6F">
            <w:pPr>
              <w:jc w:val="center"/>
              <w:rPr>
                <w:sz w:val="24"/>
                <w:szCs w:val="24"/>
                <w:lang w:val="en-US"/>
              </w:rPr>
            </w:pPr>
            <w:r>
              <w:rPr>
                <w:sz w:val="24"/>
                <w:szCs w:val="24"/>
                <w:lang w:val="en-US"/>
              </w:rPr>
              <w:t>17.41</w:t>
            </w:r>
          </w:p>
        </w:tc>
        <w:tc>
          <w:tcPr>
            <w:tcW w:w="1832" w:type="dxa"/>
          </w:tcPr>
          <w:p w14:paraId="23955F63" w14:textId="77777777" w:rsidR="00C27D1A" w:rsidRDefault="00C27D1A" w:rsidP="00925E6F">
            <w:pPr>
              <w:jc w:val="center"/>
              <w:rPr>
                <w:sz w:val="24"/>
                <w:szCs w:val="24"/>
                <w:lang w:val="en-US"/>
              </w:rPr>
            </w:pPr>
            <w:r>
              <w:rPr>
                <w:sz w:val="24"/>
                <w:szCs w:val="24"/>
                <w:lang w:val="en-US"/>
              </w:rPr>
              <w:t>8.37</w:t>
            </w:r>
          </w:p>
        </w:tc>
      </w:tr>
      <w:tr w:rsidR="00C27D1A" w14:paraId="788FC103" w14:textId="77777777" w:rsidTr="0084680B">
        <w:trPr>
          <w:trHeight w:val="463"/>
        </w:trPr>
        <w:tc>
          <w:tcPr>
            <w:tcW w:w="1831" w:type="dxa"/>
          </w:tcPr>
          <w:p w14:paraId="267CB315" w14:textId="77777777" w:rsidR="00C27D1A" w:rsidRPr="00C27D1A" w:rsidRDefault="00C27D1A" w:rsidP="00925E6F">
            <w:pPr>
              <w:jc w:val="center"/>
              <w:rPr>
                <w:b/>
                <w:bCs/>
                <w:sz w:val="24"/>
                <w:szCs w:val="24"/>
                <w:lang w:val="en-US"/>
              </w:rPr>
            </w:pPr>
            <w:r w:rsidRPr="00C27D1A">
              <w:rPr>
                <w:b/>
                <w:bCs/>
                <w:sz w:val="24"/>
                <w:szCs w:val="24"/>
                <w:lang w:val="en-US"/>
              </w:rPr>
              <w:t>Percentage change</w:t>
            </w:r>
          </w:p>
        </w:tc>
        <w:tc>
          <w:tcPr>
            <w:tcW w:w="1831" w:type="dxa"/>
          </w:tcPr>
          <w:p w14:paraId="18EEEF65" w14:textId="77777777" w:rsidR="00C27D1A" w:rsidRDefault="00C27D1A" w:rsidP="00925E6F">
            <w:pPr>
              <w:jc w:val="center"/>
              <w:rPr>
                <w:sz w:val="24"/>
                <w:szCs w:val="24"/>
                <w:lang w:val="en-US"/>
              </w:rPr>
            </w:pPr>
            <w:r>
              <w:rPr>
                <w:sz w:val="24"/>
                <w:szCs w:val="24"/>
                <w:lang w:val="en-US"/>
              </w:rPr>
              <w:t>+ 3.12 %</w:t>
            </w:r>
          </w:p>
        </w:tc>
        <w:tc>
          <w:tcPr>
            <w:tcW w:w="1831" w:type="dxa"/>
          </w:tcPr>
          <w:p w14:paraId="2162A31A" w14:textId="77777777" w:rsidR="00C27D1A" w:rsidRPr="00EE07D2" w:rsidRDefault="00C27D1A" w:rsidP="00925E6F">
            <w:pPr>
              <w:jc w:val="center"/>
              <w:rPr>
                <w:sz w:val="24"/>
                <w:szCs w:val="24"/>
                <w:lang w:val="en-US"/>
              </w:rPr>
            </w:pPr>
            <w:r w:rsidRPr="00EE07D2">
              <w:rPr>
                <w:sz w:val="24"/>
                <w:szCs w:val="24"/>
                <w:lang w:val="en-US"/>
              </w:rPr>
              <w:t>-</w:t>
            </w:r>
            <w:r>
              <w:rPr>
                <w:sz w:val="24"/>
                <w:szCs w:val="24"/>
                <w:lang w:val="en-US"/>
              </w:rPr>
              <w:t xml:space="preserve"> 44.45 %</w:t>
            </w:r>
          </w:p>
        </w:tc>
        <w:tc>
          <w:tcPr>
            <w:tcW w:w="1831" w:type="dxa"/>
          </w:tcPr>
          <w:p w14:paraId="6017D2C4" w14:textId="77777777" w:rsidR="00C27D1A" w:rsidRPr="007549EB" w:rsidRDefault="00C27D1A" w:rsidP="00925E6F">
            <w:pPr>
              <w:jc w:val="center"/>
              <w:rPr>
                <w:sz w:val="24"/>
                <w:szCs w:val="24"/>
                <w:lang w:val="en-US"/>
              </w:rPr>
            </w:pPr>
            <w:r>
              <w:rPr>
                <w:sz w:val="24"/>
                <w:szCs w:val="24"/>
                <w:lang w:val="en-US"/>
              </w:rPr>
              <w:t>- 2.62 %</w:t>
            </w:r>
          </w:p>
        </w:tc>
        <w:tc>
          <w:tcPr>
            <w:tcW w:w="1832" w:type="dxa"/>
          </w:tcPr>
          <w:p w14:paraId="0CFD9D7F" w14:textId="77777777" w:rsidR="00C27D1A" w:rsidRDefault="00C27D1A" w:rsidP="00925E6F">
            <w:pPr>
              <w:jc w:val="center"/>
              <w:rPr>
                <w:sz w:val="24"/>
                <w:szCs w:val="24"/>
                <w:lang w:val="en-US"/>
              </w:rPr>
            </w:pPr>
            <w:r>
              <w:rPr>
                <w:sz w:val="24"/>
                <w:szCs w:val="24"/>
                <w:lang w:val="en-US"/>
              </w:rPr>
              <w:t>- 28.64 %</w:t>
            </w:r>
          </w:p>
        </w:tc>
      </w:tr>
    </w:tbl>
    <w:p w14:paraId="559D05C6" w14:textId="03F36A2E" w:rsidR="00C27D1A" w:rsidRDefault="00C27D1A" w:rsidP="0084680B">
      <w:pPr>
        <w:pStyle w:val="NormalWeb"/>
        <w:shd w:val="clear" w:color="auto" w:fill="FFFFFF"/>
        <w:spacing w:before="0" w:beforeAutospacing="0" w:after="0" w:afterAutospacing="0"/>
        <w:jc w:val="both"/>
        <w:textAlignment w:val="baseline"/>
        <w:rPr>
          <w:color w:val="4472C4" w:themeColor="accent1"/>
          <w:sz w:val="28"/>
          <w:szCs w:val="28"/>
        </w:rPr>
      </w:pPr>
    </w:p>
    <w:p w14:paraId="2C3D13BF" w14:textId="2C4F2DB2" w:rsidR="00C27D1A" w:rsidRDefault="00C27D1A" w:rsidP="00C27D1A">
      <w:pPr>
        <w:pStyle w:val="NormalWeb"/>
        <w:numPr>
          <w:ilvl w:val="0"/>
          <w:numId w:val="5"/>
        </w:numPr>
        <w:shd w:val="clear" w:color="auto" w:fill="FFFFFF"/>
        <w:spacing w:before="0" w:beforeAutospacing="0" w:after="0" w:afterAutospacing="0"/>
        <w:jc w:val="both"/>
        <w:textAlignment w:val="baseline"/>
        <w:rPr>
          <w:b/>
          <w:bCs/>
          <w:color w:val="000000" w:themeColor="text1"/>
          <w:sz w:val="28"/>
          <w:szCs w:val="28"/>
        </w:rPr>
      </w:pPr>
      <w:r w:rsidRPr="00C27D1A">
        <w:rPr>
          <w:b/>
          <w:bCs/>
          <w:color w:val="000000" w:themeColor="text1"/>
          <w:sz w:val="28"/>
          <w:szCs w:val="28"/>
        </w:rPr>
        <w:t xml:space="preserve">Trading </w:t>
      </w:r>
    </w:p>
    <w:p w14:paraId="7498C6C6" w14:textId="77777777" w:rsidR="00C27D1A" w:rsidRDefault="00C27D1A" w:rsidP="00C27D1A">
      <w:pPr>
        <w:pStyle w:val="NormalWeb"/>
        <w:shd w:val="clear" w:color="auto" w:fill="FFFFFF"/>
        <w:spacing w:before="0" w:beforeAutospacing="0" w:after="0" w:afterAutospacing="0"/>
        <w:ind w:left="360"/>
        <w:jc w:val="both"/>
        <w:textAlignment w:val="baseline"/>
        <w:rPr>
          <w:b/>
          <w:bCs/>
          <w:color w:val="000000" w:themeColor="text1"/>
          <w:sz w:val="28"/>
          <w:szCs w:val="28"/>
        </w:rPr>
      </w:pPr>
    </w:p>
    <w:tbl>
      <w:tblPr>
        <w:tblStyle w:val="TableGridLight"/>
        <w:tblW w:w="9111" w:type="dxa"/>
        <w:tblLook w:val="04A0" w:firstRow="1" w:lastRow="0" w:firstColumn="1" w:lastColumn="0" w:noHBand="0" w:noVBand="1"/>
      </w:tblPr>
      <w:tblGrid>
        <w:gridCol w:w="1822"/>
        <w:gridCol w:w="1822"/>
        <w:gridCol w:w="1822"/>
        <w:gridCol w:w="1822"/>
        <w:gridCol w:w="1823"/>
      </w:tblGrid>
      <w:tr w:rsidR="00C27D1A" w14:paraId="1C70BEE7" w14:textId="77777777" w:rsidTr="00DB398A">
        <w:trPr>
          <w:trHeight w:val="559"/>
        </w:trPr>
        <w:tc>
          <w:tcPr>
            <w:tcW w:w="1822" w:type="dxa"/>
          </w:tcPr>
          <w:p w14:paraId="69457EE6" w14:textId="77777777" w:rsidR="00C27D1A" w:rsidRPr="00C27D1A" w:rsidRDefault="00C27D1A" w:rsidP="00925E6F">
            <w:pPr>
              <w:jc w:val="center"/>
              <w:rPr>
                <w:b/>
                <w:bCs/>
                <w:sz w:val="24"/>
                <w:szCs w:val="24"/>
                <w:lang w:val="en-US"/>
              </w:rPr>
            </w:pPr>
            <w:r w:rsidRPr="00C27D1A">
              <w:rPr>
                <w:b/>
                <w:bCs/>
                <w:sz w:val="24"/>
                <w:szCs w:val="24"/>
                <w:lang w:val="en-US"/>
              </w:rPr>
              <w:t>Stock Name</w:t>
            </w:r>
          </w:p>
        </w:tc>
        <w:tc>
          <w:tcPr>
            <w:tcW w:w="1822" w:type="dxa"/>
          </w:tcPr>
          <w:p w14:paraId="2A222256" w14:textId="77777777" w:rsidR="00C27D1A" w:rsidRPr="00C27D1A" w:rsidRDefault="00C27D1A" w:rsidP="00925E6F">
            <w:pPr>
              <w:jc w:val="center"/>
              <w:rPr>
                <w:b/>
                <w:bCs/>
                <w:sz w:val="24"/>
                <w:szCs w:val="24"/>
                <w:lang w:val="en-US"/>
              </w:rPr>
            </w:pPr>
            <w:r w:rsidRPr="00C27D1A">
              <w:rPr>
                <w:b/>
                <w:bCs/>
                <w:sz w:val="24"/>
                <w:szCs w:val="24"/>
                <w:lang w:val="en-US"/>
              </w:rPr>
              <w:t>Adani Enterpris</w:t>
            </w:r>
          </w:p>
        </w:tc>
        <w:tc>
          <w:tcPr>
            <w:tcW w:w="1822" w:type="dxa"/>
          </w:tcPr>
          <w:p w14:paraId="7A8BFC7A" w14:textId="77777777" w:rsidR="00C27D1A" w:rsidRPr="00C27D1A" w:rsidRDefault="00C27D1A" w:rsidP="00925E6F">
            <w:pPr>
              <w:jc w:val="center"/>
              <w:rPr>
                <w:b/>
                <w:bCs/>
                <w:sz w:val="24"/>
                <w:szCs w:val="24"/>
                <w:lang w:val="en-US"/>
              </w:rPr>
            </w:pPr>
            <w:r w:rsidRPr="00C27D1A">
              <w:rPr>
                <w:b/>
                <w:bCs/>
                <w:sz w:val="24"/>
                <w:szCs w:val="24"/>
                <w:lang w:val="en-US"/>
              </w:rPr>
              <w:t>Hexa Tradex</w:t>
            </w:r>
          </w:p>
        </w:tc>
        <w:tc>
          <w:tcPr>
            <w:tcW w:w="1822" w:type="dxa"/>
          </w:tcPr>
          <w:p w14:paraId="6761E036" w14:textId="77777777" w:rsidR="00C27D1A" w:rsidRPr="00C27D1A" w:rsidRDefault="00C27D1A" w:rsidP="00925E6F">
            <w:pPr>
              <w:jc w:val="center"/>
              <w:rPr>
                <w:b/>
                <w:bCs/>
                <w:sz w:val="24"/>
                <w:szCs w:val="24"/>
                <w:lang w:val="en-US"/>
              </w:rPr>
            </w:pPr>
            <w:r w:rsidRPr="00C27D1A">
              <w:rPr>
                <w:b/>
                <w:bCs/>
                <w:sz w:val="24"/>
                <w:szCs w:val="24"/>
                <w:lang w:val="en-US"/>
              </w:rPr>
              <w:t>MMTC Ltd</w:t>
            </w:r>
          </w:p>
        </w:tc>
        <w:tc>
          <w:tcPr>
            <w:tcW w:w="1823" w:type="dxa"/>
          </w:tcPr>
          <w:p w14:paraId="30E35641" w14:textId="77777777" w:rsidR="00C27D1A" w:rsidRPr="00C27D1A" w:rsidRDefault="00C27D1A" w:rsidP="00925E6F">
            <w:pPr>
              <w:jc w:val="center"/>
              <w:rPr>
                <w:b/>
                <w:bCs/>
                <w:sz w:val="24"/>
                <w:szCs w:val="24"/>
                <w:lang w:val="en-US"/>
              </w:rPr>
            </w:pPr>
            <w:r w:rsidRPr="00C27D1A">
              <w:rPr>
                <w:b/>
                <w:bCs/>
                <w:sz w:val="24"/>
                <w:szCs w:val="24"/>
                <w:lang w:val="en-US"/>
              </w:rPr>
              <w:t>Sundram</w:t>
            </w:r>
          </w:p>
        </w:tc>
      </w:tr>
      <w:tr w:rsidR="00C27D1A" w14:paraId="3E243215" w14:textId="77777777" w:rsidTr="00DB398A">
        <w:trPr>
          <w:trHeight w:val="559"/>
        </w:trPr>
        <w:tc>
          <w:tcPr>
            <w:tcW w:w="1822" w:type="dxa"/>
          </w:tcPr>
          <w:p w14:paraId="2C585BBE" w14:textId="77777777" w:rsidR="00C27D1A" w:rsidRPr="00C27D1A" w:rsidRDefault="00C27D1A" w:rsidP="00925E6F">
            <w:pPr>
              <w:jc w:val="center"/>
              <w:rPr>
                <w:b/>
                <w:bCs/>
                <w:sz w:val="24"/>
                <w:szCs w:val="24"/>
                <w:lang w:val="en-US"/>
              </w:rPr>
            </w:pPr>
            <w:r w:rsidRPr="00C27D1A">
              <w:rPr>
                <w:b/>
                <w:bCs/>
                <w:sz w:val="24"/>
                <w:szCs w:val="24"/>
                <w:lang w:val="en-US"/>
              </w:rPr>
              <w:t>Pre-Lockdown</w:t>
            </w:r>
          </w:p>
        </w:tc>
        <w:tc>
          <w:tcPr>
            <w:tcW w:w="1822" w:type="dxa"/>
          </w:tcPr>
          <w:p w14:paraId="54C447DD" w14:textId="77777777" w:rsidR="00C27D1A" w:rsidRDefault="00C27D1A" w:rsidP="00925E6F">
            <w:pPr>
              <w:jc w:val="center"/>
              <w:rPr>
                <w:sz w:val="24"/>
                <w:szCs w:val="24"/>
                <w:lang w:val="en-US"/>
              </w:rPr>
            </w:pPr>
            <w:r>
              <w:rPr>
                <w:sz w:val="24"/>
                <w:szCs w:val="24"/>
                <w:lang w:val="en-US"/>
              </w:rPr>
              <w:t>211.94</w:t>
            </w:r>
          </w:p>
        </w:tc>
        <w:tc>
          <w:tcPr>
            <w:tcW w:w="1822" w:type="dxa"/>
          </w:tcPr>
          <w:p w14:paraId="0905B9D6" w14:textId="77777777" w:rsidR="00C27D1A" w:rsidRDefault="00C27D1A" w:rsidP="00925E6F">
            <w:pPr>
              <w:jc w:val="center"/>
              <w:rPr>
                <w:sz w:val="24"/>
                <w:szCs w:val="24"/>
                <w:lang w:val="en-US"/>
              </w:rPr>
            </w:pPr>
            <w:r>
              <w:rPr>
                <w:sz w:val="24"/>
                <w:szCs w:val="24"/>
                <w:lang w:val="en-US"/>
              </w:rPr>
              <w:t>11.07</w:t>
            </w:r>
          </w:p>
        </w:tc>
        <w:tc>
          <w:tcPr>
            <w:tcW w:w="1822" w:type="dxa"/>
          </w:tcPr>
          <w:p w14:paraId="3BB70455" w14:textId="77777777" w:rsidR="00C27D1A" w:rsidRDefault="00C27D1A" w:rsidP="00925E6F">
            <w:pPr>
              <w:jc w:val="center"/>
              <w:rPr>
                <w:sz w:val="24"/>
                <w:szCs w:val="24"/>
                <w:lang w:val="en-US"/>
              </w:rPr>
            </w:pPr>
            <w:r>
              <w:rPr>
                <w:sz w:val="24"/>
                <w:szCs w:val="24"/>
                <w:lang w:val="en-US"/>
              </w:rPr>
              <w:t>18.36</w:t>
            </w:r>
          </w:p>
        </w:tc>
        <w:tc>
          <w:tcPr>
            <w:tcW w:w="1823" w:type="dxa"/>
          </w:tcPr>
          <w:p w14:paraId="772E168E" w14:textId="77777777" w:rsidR="00C27D1A" w:rsidRDefault="00C27D1A" w:rsidP="00925E6F">
            <w:pPr>
              <w:jc w:val="center"/>
              <w:rPr>
                <w:sz w:val="24"/>
                <w:szCs w:val="24"/>
                <w:lang w:val="en-US"/>
              </w:rPr>
            </w:pPr>
            <w:r>
              <w:rPr>
                <w:sz w:val="24"/>
                <w:szCs w:val="24"/>
                <w:lang w:val="en-US"/>
              </w:rPr>
              <w:t>443.82</w:t>
            </w:r>
          </w:p>
        </w:tc>
      </w:tr>
      <w:tr w:rsidR="00C27D1A" w14:paraId="7DB29059" w14:textId="77777777" w:rsidTr="00DB398A">
        <w:trPr>
          <w:trHeight w:val="535"/>
        </w:trPr>
        <w:tc>
          <w:tcPr>
            <w:tcW w:w="1822" w:type="dxa"/>
          </w:tcPr>
          <w:p w14:paraId="0DA22A12" w14:textId="77777777" w:rsidR="00C27D1A" w:rsidRPr="00C27D1A" w:rsidRDefault="00C27D1A" w:rsidP="00925E6F">
            <w:pPr>
              <w:jc w:val="center"/>
              <w:rPr>
                <w:b/>
                <w:bCs/>
                <w:sz w:val="24"/>
                <w:szCs w:val="24"/>
                <w:lang w:val="en-US"/>
              </w:rPr>
            </w:pPr>
            <w:r w:rsidRPr="00C27D1A">
              <w:rPr>
                <w:b/>
                <w:bCs/>
                <w:sz w:val="24"/>
                <w:szCs w:val="24"/>
                <w:lang w:val="en-US"/>
              </w:rPr>
              <w:t>Post-Lockdown</w:t>
            </w:r>
          </w:p>
        </w:tc>
        <w:tc>
          <w:tcPr>
            <w:tcW w:w="1822" w:type="dxa"/>
          </w:tcPr>
          <w:p w14:paraId="2134B13C" w14:textId="77777777" w:rsidR="00C27D1A" w:rsidRDefault="00C27D1A" w:rsidP="00925E6F">
            <w:pPr>
              <w:jc w:val="center"/>
              <w:rPr>
                <w:sz w:val="24"/>
                <w:szCs w:val="24"/>
                <w:lang w:val="en-US"/>
              </w:rPr>
            </w:pPr>
            <w:r>
              <w:rPr>
                <w:sz w:val="24"/>
                <w:szCs w:val="24"/>
                <w:lang w:val="en-US"/>
              </w:rPr>
              <w:t>142.77</w:t>
            </w:r>
          </w:p>
        </w:tc>
        <w:tc>
          <w:tcPr>
            <w:tcW w:w="1822" w:type="dxa"/>
          </w:tcPr>
          <w:p w14:paraId="7D800337" w14:textId="77777777" w:rsidR="00C27D1A" w:rsidRDefault="00C27D1A" w:rsidP="00925E6F">
            <w:pPr>
              <w:jc w:val="center"/>
              <w:rPr>
                <w:sz w:val="24"/>
                <w:szCs w:val="24"/>
                <w:lang w:val="en-US"/>
              </w:rPr>
            </w:pPr>
            <w:r>
              <w:rPr>
                <w:sz w:val="24"/>
                <w:szCs w:val="24"/>
                <w:lang w:val="en-US"/>
              </w:rPr>
              <w:t>9.24</w:t>
            </w:r>
          </w:p>
        </w:tc>
        <w:tc>
          <w:tcPr>
            <w:tcW w:w="1822" w:type="dxa"/>
          </w:tcPr>
          <w:p w14:paraId="33084C91" w14:textId="77777777" w:rsidR="00C27D1A" w:rsidRDefault="00C27D1A" w:rsidP="00925E6F">
            <w:pPr>
              <w:jc w:val="center"/>
              <w:rPr>
                <w:sz w:val="24"/>
                <w:szCs w:val="24"/>
                <w:lang w:val="en-US"/>
              </w:rPr>
            </w:pPr>
            <w:r>
              <w:rPr>
                <w:sz w:val="24"/>
                <w:szCs w:val="24"/>
                <w:lang w:val="en-US"/>
              </w:rPr>
              <w:t>14.67</w:t>
            </w:r>
          </w:p>
        </w:tc>
        <w:tc>
          <w:tcPr>
            <w:tcW w:w="1823" w:type="dxa"/>
          </w:tcPr>
          <w:p w14:paraId="606E2C9E" w14:textId="77777777" w:rsidR="00C27D1A" w:rsidRDefault="00C27D1A" w:rsidP="00925E6F">
            <w:pPr>
              <w:jc w:val="center"/>
              <w:rPr>
                <w:sz w:val="24"/>
                <w:szCs w:val="24"/>
                <w:lang w:val="en-US"/>
              </w:rPr>
            </w:pPr>
            <w:r>
              <w:rPr>
                <w:sz w:val="24"/>
                <w:szCs w:val="24"/>
                <w:lang w:val="en-US"/>
              </w:rPr>
              <w:t>306.43</w:t>
            </w:r>
          </w:p>
        </w:tc>
      </w:tr>
      <w:tr w:rsidR="00C27D1A" w14:paraId="71649B99" w14:textId="77777777" w:rsidTr="00DB398A">
        <w:trPr>
          <w:trHeight w:val="535"/>
        </w:trPr>
        <w:tc>
          <w:tcPr>
            <w:tcW w:w="1822" w:type="dxa"/>
          </w:tcPr>
          <w:p w14:paraId="46589633" w14:textId="77777777" w:rsidR="00C27D1A" w:rsidRPr="00C27D1A" w:rsidRDefault="00C27D1A" w:rsidP="00925E6F">
            <w:pPr>
              <w:jc w:val="center"/>
              <w:rPr>
                <w:b/>
                <w:bCs/>
                <w:sz w:val="24"/>
                <w:szCs w:val="24"/>
                <w:lang w:val="en-US"/>
              </w:rPr>
            </w:pPr>
            <w:r w:rsidRPr="00C27D1A">
              <w:rPr>
                <w:b/>
                <w:bCs/>
                <w:sz w:val="24"/>
                <w:szCs w:val="24"/>
                <w:lang w:val="en-US"/>
              </w:rPr>
              <w:t>Percentage change</w:t>
            </w:r>
          </w:p>
        </w:tc>
        <w:tc>
          <w:tcPr>
            <w:tcW w:w="1822" w:type="dxa"/>
          </w:tcPr>
          <w:p w14:paraId="4F8703B5" w14:textId="77777777" w:rsidR="00C27D1A" w:rsidRDefault="00C27D1A" w:rsidP="00925E6F">
            <w:pPr>
              <w:jc w:val="center"/>
              <w:rPr>
                <w:sz w:val="24"/>
                <w:szCs w:val="24"/>
                <w:lang w:val="en-US"/>
              </w:rPr>
            </w:pPr>
            <w:r>
              <w:rPr>
                <w:sz w:val="24"/>
                <w:szCs w:val="24"/>
                <w:lang w:val="en-US"/>
              </w:rPr>
              <w:t>- 32.63 %</w:t>
            </w:r>
          </w:p>
        </w:tc>
        <w:tc>
          <w:tcPr>
            <w:tcW w:w="1822" w:type="dxa"/>
          </w:tcPr>
          <w:p w14:paraId="09A62726" w14:textId="77777777" w:rsidR="00C27D1A" w:rsidRDefault="00C27D1A" w:rsidP="00925E6F">
            <w:pPr>
              <w:jc w:val="center"/>
              <w:rPr>
                <w:sz w:val="24"/>
                <w:szCs w:val="24"/>
                <w:lang w:val="en-US"/>
              </w:rPr>
            </w:pPr>
            <w:r>
              <w:rPr>
                <w:sz w:val="24"/>
                <w:szCs w:val="24"/>
                <w:lang w:val="en-US"/>
              </w:rPr>
              <w:t>- 16.53 %</w:t>
            </w:r>
          </w:p>
        </w:tc>
        <w:tc>
          <w:tcPr>
            <w:tcW w:w="1822" w:type="dxa"/>
          </w:tcPr>
          <w:p w14:paraId="4638A1F7" w14:textId="77777777" w:rsidR="00C27D1A" w:rsidRPr="007549EB" w:rsidRDefault="00C27D1A" w:rsidP="00925E6F">
            <w:pPr>
              <w:jc w:val="center"/>
              <w:rPr>
                <w:sz w:val="24"/>
                <w:szCs w:val="24"/>
                <w:lang w:val="en-US"/>
              </w:rPr>
            </w:pPr>
            <w:r>
              <w:rPr>
                <w:sz w:val="24"/>
                <w:szCs w:val="24"/>
                <w:lang w:val="en-US"/>
              </w:rPr>
              <w:t>- 20.09 %</w:t>
            </w:r>
          </w:p>
        </w:tc>
        <w:tc>
          <w:tcPr>
            <w:tcW w:w="1823" w:type="dxa"/>
          </w:tcPr>
          <w:p w14:paraId="05AA4D50" w14:textId="77777777" w:rsidR="00C27D1A" w:rsidRDefault="00C27D1A" w:rsidP="00925E6F">
            <w:pPr>
              <w:jc w:val="center"/>
              <w:rPr>
                <w:sz w:val="24"/>
                <w:szCs w:val="24"/>
                <w:lang w:val="en-US"/>
              </w:rPr>
            </w:pPr>
            <w:r>
              <w:rPr>
                <w:sz w:val="24"/>
                <w:szCs w:val="24"/>
                <w:lang w:val="en-US"/>
              </w:rPr>
              <w:t>- 30.95 %</w:t>
            </w:r>
          </w:p>
        </w:tc>
      </w:tr>
    </w:tbl>
    <w:p w14:paraId="5E58C63D" w14:textId="77777777" w:rsidR="00C27D1A" w:rsidRPr="00C27D1A" w:rsidRDefault="00C27D1A" w:rsidP="00C27D1A">
      <w:pPr>
        <w:pStyle w:val="NormalWeb"/>
        <w:shd w:val="clear" w:color="auto" w:fill="FFFFFF"/>
        <w:spacing w:before="0" w:beforeAutospacing="0" w:after="0" w:afterAutospacing="0"/>
        <w:jc w:val="both"/>
        <w:textAlignment w:val="baseline"/>
        <w:rPr>
          <w:b/>
          <w:bCs/>
          <w:color w:val="000000" w:themeColor="text1"/>
          <w:sz w:val="28"/>
          <w:szCs w:val="28"/>
        </w:rPr>
      </w:pPr>
    </w:p>
    <w:p w14:paraId="7D6FC110" w14:textId="7E6ABE3F" w:rsidR="00C27D1A" w:rsidRDefault="00C27D1A" w:rsidP="00C27D1A">
      <w:pPr>
        <w:pStyle w:val="NormalWeb"/>
        <w:numPr>
          <w:ilvl w:val="0"/>
          <w:numId w:val="6"/>
        </w:numPr>
        <w:shd w:val="clear" w:color="auto" w:fill="FFFFFF"/>
        <w:spacing w:before="0" w:beforeAutospacing="0" w:after="0" w:afterAutospacing="0"/>
        <w:jc w:val="both"/>
        <w:textAlignment w:val="baseline"/>
        <w:rPr>
          <w:b/>
          <w:bCs/>
          <w:color w:val="000000" w:themeColor="text1"/>
          <w:sz w:val="28"/>
          <w:szCs w:val="28"/>
        </w:rPr>
      </w:pPr>
      <w:r w:rsidRPr="00C27D1A">
        <w:rPr>
          <w:b/>
          <w:bCs/>
          <w:color w:val="000000" w:themeColor="text1"/>
          <w:sz w:val="28"/>
          <w:szCs w:val="28"/>
        </w:rPr>
        <w:t xml:space="preserve">Mean Change in Percentage for Various Sectors </w:t>
      </w:r>
    </w:p>
    <w:p w14:paraId="601172E4" w14:textId="4D186596" w:rsidR="00C27D1A" w:rsidRDefault="00C27D1A" w:rsidP="00C27D1A">
      <w:pPr>
        <w:pStyle w:val="NormalWeb"/>
        <w:shd w:val="clear" w:color="auto" w:fill="FFFFFF"/>
        <w:spacing w:before="0" w:beforeAutospacing="0" w:after="0" w:afterAutospacing="0"/>
        <w:ind w:left="360"/>
        <w:jc w:val="both"/>
        <w:textAlignment w:val="baseline"/>
        <w:rPr>
          <w:b/>
          <w:bCs/>
          <w:color w:val="000000" w:themeColor="text1"/>
          <w:sz w:val="28"/>
          <w:szCs w:val="28"/>
        </w:rPr>
      </w:pPr>
    </w:p>
    <w:tbl>
      <w:tblPr>
        <w:tblStyle w:val="PlainTable1"/>
        <w:tblW w:w="0" w:type="auto"/>
        <w:jc w:val="center"/>
        <w:tblLook w:val="04A0" w:firstRow="1" w:lastRow="0" w:firstColumn="1" w:lastColumn="0" w:noHBand="0" w:noVBand="1"/>
      </w:tblPr>
      <w:tblGrid>
        <w:gridCol w:w="1271"/>
        <w:gridCol w:w="2126"/>
        <w:gridCol w:w="2410"/>
      </w:tblGrid>
      <w:tr w:rsidR="00C27D1A" w14:paraId="26A35749" w14:textId="77777777" w:rsidTr="005177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7F719874" w14:textId="5B2DF11E" w:rsidR="00C27D1A" w:rsidRDefault="00C27D1A" w:rsidP="005177C2">
            <w:pPr>
              <w:pStyle w:val="NormalWeb"/>
              <w:spacing w:before="0" w:beforeAutospacing="0" w:after="0" w:afterAutospacing="0"/>
              <w:jc w:val="center"/>
              <w:textAlignment w:val="baseline"/>
              <w:rPr>
                <w:b w:val="0"/>
                <w:bCs w:val="0"/>
                <w:color w:val="000000" w:themeColor="text1"/>
                <w:sz w:val="28"/>
                <w:szCs w:val="28"/>
              </w:rPr>
            </w:pPr>
            <w:r>
              <w:rPr>
                <w:b w:val="0"/>
                <w:bCs w:val="0"/>
                <w:color w:val="000000" w:themeColor="text1"/>
                <w:sz w:val="28"/>
                <w:szCs w:val="28"/>
              </w:rPr>
              <w:t>Sr No</w:t>
            </w:r>
          </w:p>
        </w:tc>
        <w:tc>
          <w:tcPr>
            <w:tcW w:w="2126" w:type="dxa"/>
          </w:tcPr>
          <w:p w14:paraId="43F2A86E" w14:textId="0C87EA16" w:rsidR="00C27D1A" w:rsidRDefault="00C27D1A" w:rsidP="005177C2">
            <w:pPr>
              <w:pStyle w:val="NormalWeb"/>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b w:val="0"/>
                <w:bCs w:val="0"/>
                <w:color w:val="000000" w:themeColor="text1"/>
                <w:sz w:val="28"/>
                <w:szCs w:val="28"/>
              </w:rPr>
            </w:pPr>
            <w:r>
              <w:rPr>
                <w:b w:val="0"/>
                <w:bCs w:val="0"/>
                <w:color w:val="000000" w:themeColor="text1"/>
                <w:sz w:val="28"/>
                <w:szCs w:val="28"/>
              </w:rPr>
              <w:t>Sector Name</w:t>
            </w:r>
          </w:p>
        </w:tc>
        <w:tc>
          <w:tcPr>
            <w:tcW w:w="2410" w:type="dxa"/>
          </w:tcPr>
          <w:p w14:paraId="4F345B67" w14:textId="552C0DD5" w:rsidR="00C27D1A" w:rsidRDefault="00C27D1A" w:rsidP="005177C2">
            <w:pPr>
              <w:pStyle w:val="NormalWeb"/>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b w:val="0"/>
                <w:bCs w:val="0"/>
                <w:color w:val="000000" w:themeColor="text1"/>
                <w:sz w:val="28"/>
                <w:szCs w:val="28"/>
              </w:rPr>
            </w:pPr>
            <w:r>
              <w:rPr>
                <w:b w:val="0"/>
                <w:bCs w:val="0"/>
                <w:color w:val="000000" w:themeColor="text1"/>
                <w:sz w:val="28"/>
                <w:szCs w:val="28"/>
              </w:rPr>
              <w:t>Mean Percentage</w:t>
            </w:r>
          </w:p>
        </w:tc>
      </w:tr>
      <w:tr w:rsidR="00C27D1A" w14:paraId="6746FAC8" w14:textId="77777777" w:rsidTr="005177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3584F54" w14:textId="0CA0830D" w:rsidR="00C27D1A" w:rsidRPr="005177C2" w:rsidRDefault="00C27D1A" w:rsidP="005177C2">
            <w:pPr>
              <w:pStyle w:val="NormalWeb"/>
              <w:spacing w:before="0" w:beforeAutospacing="0" w:after="0" w:afterAutospacing="0"/>
              <w:jc w:val="center"/>
              <w:textAlignment w:val="baseline"/>
              <w:rPr>
                <w:color w:val="000000" w:themeColor="text1"/>
                <w:sz w:val="28"/>
                <w:szCs w:val="28"/>
              </w:rPr>
            </w:pPr>
            <w:r w:rsidRPr="005177C2">
              <w:rPr>
                <w:color w:val="000000" w:themeColor="text1"/>
                <w:sz w:val="28"/>
                <w:szCs w:val="28"/>
              </w:rPr>
              <w:t>1.</w:t>
            </w:r>
          </w:p>
        </w:tc>
        <w:tc>
          <w:tcPr>
            <w:tcW w:w="2126" w:type="dxa"/>
          </w:tcPr>
          <w:p w14:paraId="4DE8321D" w14:textId="21875132" w:rsidR="00C27D1A" w:rsidRPr="005177C2" w:rsidRDefault="00C27D1A" w:rsidP="005177C2">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5177C2">
              <w:rPr>
                <w:color w:val="000000" w:themeColor="text1"/>
                <w:sz w:val="28"/>
                <w:szCs w:val="28"/>
              </w:rPr>
              <w:t>Restaurants</w:t>
            </w:r>
          </w:p>
        </w:tc>
        <w:tc>
          <w:tcPr>
            <w:tcW w:w="2410" w:type="dxa"/>
          </w:tcPr>
          <w:p w14:paraId="5FD77240" w14:textId="229A554A" w:rsidR="00C27D1A" w:rsidRPr="005177C2" w:rsidRDefault="00C84B8D" w:rsidP="005177C2">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 xml:space="preserve">- </w:t>
            </w:r>
            <w:r w:rsidR="00C27D1A" w:rsidRPr="005177C2">
              <w:rPr>
                <w:color w:val="000000" w:themeColor="text1"/>
                <w:sz w:val="28"/>
                <w:szCs w:val="28"/>
              </w:rPr>
              <w:t>35.64 %</w:t>
            </w:r>
          </w:p>
        </w:tc>
      </w:tr>
      <w:tr w:rsidR="00C27D1A" w14:paraId="7D774A8F" w14:textId="77777777" w:rsidTr="005177C2">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90FBC53" w14:textId="45834B48" w:rsidR="00C27D1A" w:rsidRPr="005177C2" w:rsidRDefault="00C27D1A" w:rsidP="005177C2">
            <w:pPr>
              <w:pStyle w:val="NormalWeb"/>
              <w:spacing w:before="0" w:beforeAutospacing="0" w:after="0" w:afterAutospacing="0"/>
              <w:jc w:val="center"/>
              <w:textAlignment w:val="baseline"/>
              <w:rPr>
                <w:color w:val="000000" w:themeColor="text1"/>
                <w:sz w:val="28"/>
                <w:szCs w:val="28"/>
              </w:rPr>
            </w:pPr>
            <w:r w:rsidRPr="005177C2">
              <w:rPr>
                <w:color w:val="000000" w:themeColor="text1"/>
                <w:sz w:val="28"/>
                <w:szCs w:val="28"/>
              </w:rPr>
              <w:t>2.</w:t>
            </w:r>
          </w:p>
        </w:tc>
        <w:tc>
          <w:tcPr>
            <w:tcW w:w="2126" w:type="dxa"/>
          </w:tcPr>
          <w:p w14:paraId="5BB884AE" w14:textId="27A9A428" w:rsidR="00C27D1A" w:rsidRPr="005177C2" w:rsidRDefault="00C27D1A" w:rsidP="005177C2">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5177C2">
              <w:rPr>
                <w:color w:val="000000" w:themeColor="text1"/>
                <w:sz w:val="28"/>
                <w:szCs w:val="28"/>
              </w:rPr>
              <w:t>Real Estate</w:t>
            </w:r>
          </w:p>
        </w:tc>
        <w:tc>
          <w:tcPr>
            <w:tcW w:w="2410" w:type="dxa"/>
          </w:tcPr>
          <w:p w14:paraId="50C700D2" w14:textId="1FB5EDD9" w:rsidR="00C27D1A" w:rsidRPr="005177C2" w:rsidRDefault="001E3795" w:rsidP="005177C2">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 xml:space="preserve">- </w:t>
            </w:r>
            <w:r w:rsidR="00C27D1A" w:rsidRPr="005177C2">
              <w:rPr>
                <w:color w:val="000000" w:themeColor="text1"/>
                <w:sz w:val="28"/>
                <w:szCs w:val="28"/>
              </w:rPr>
              <w:t>29.55 %</w:t>
            </w:r>
          </w:p>
        </w:tc>
      </w:tr>
      <w:tr w:rsidR="00C27D1A" w14:paraId="4E3B1443" w14:textId="77777777" w:rsidTr="005177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4743AB8" w14:textId="6EFF84D2" w:rsidR="00C27D1A" w:rsidRPr="005177C2" w:rsidRDefault="00C27D1A" w:rsidP="005177C2">
            <w:pPr>
              <w:pStyle w:val="NormalWeb"/>
              <w:spacing w:before="0" w:beforeAutospacing="0" w:after="0" w:afterAutospacing="0"/>
              <w:jc w:val="center"/>
              <w:textAlignment w:val="baseline"/>
              <w:rPr>
                <w:color w:val="000000" w:themeColor="text1"/>
                <w:sz w:val="28"/>
                <w:szCs w:val="28"/>
              </w:rPr>
            </w:pPr>
            <w:r w:rsidRPr="005177C2">
              <w:rPr>
                <w:color w:val="000000" w:themeColor="text1"/>
                <w:sz w:val="28"/>
                <w:szCs w:val="28"/>
              </w:rPr>
              <w:t>3.</w:t>
            </w:r>
          </w:p>
        </w:tc>
        <w:tc>
          <w:tcPr>
            <w:tcW w:w="2126" w:type="dxa"/>
          </w:tcPr>
          <w:p w14:paraId="59FD9EE7" w14:textId="570471D4" w:rsidR="00C27D1A" w:rsidRPr="005177C2" w:rsidRDefault="005177C2" w:rsidP="005177C2">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5177C2">
              <w:rPr>
                <w:color w:val="000000" w:themeColor="text1"/>
                <w:sz w:val="28"/>
                <w:szCs w:val="28"/>
              </w:rPr>
              <w:t>Aviation</w:t>
            </w:r>
          </w:p>
        </w:tc>
        <w:tc>
          <w:tcPr>
            <w:tcW w:w="2410" w:type="dxa"/>
          </w:tcPr>
          <w:p w14:paraId="71C5D9A2" w14:textId="0D0BFF48" w:rsidR="00C27D1A" w:rsidRPr="005177C2" w:rsidRDefault="001E3795" w:rsidP="001E3795">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1E3795">
              <w:rPr>
                <w:color w:val="000000" w:themeColor="text1"/>
                <w:sz w:val="28"/>
                <w:szCs w:val="28"/>
              </w:rPr>
              <w:t>-</w:t>
            </w:r>
            <w:r>
              <w:rPr>
                <w:color w:val="000000" w:themeColor="text1"/>
                <w:sz w:val="28"/>
                <w:szCs w:val="28"/>
              </w:rPr>
              <w:t xml:space="preserve"> </w:t>
            </w:r>
            <w:r w:rsidR="00C27D1A" w:rsidRPr="005177C2">
              <w:rPr>
                <w:color w:val="000000" w:themeColor="text1"/>
                <w:sz w:val="28"/>
                <w:szCs w:val="28"/>
              </w:rPr>
              <w:t>26.17 %</w:t>
            </w:r>
          </w:p>
        </w:tc>
      </w:tr>
      <w:tr w:rsidR="00C27D1A" w14:paraId="7194A9F4" w14:textId="77777777" w:rsidTr="005177C2">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4B852448" w14:textId="584450E3" w:rsidR="00C27D1A" w:rsidRPr="005177C2" w:rsidRDefault="00C27D1A" w:rsidP="005177C2">
            <w:pPr>
              <w:pStyle w:val="NormalWeb"/>
              <w:spacing w:before="0" w:beforeAutospacing="0" w:after="0" w:afterAutospacing="0"/>
              <w:jc w:val="center"/>
              <w:textAlignment w:val="baseline"/>
              <w:rPr>
                <w:color w:val="000000" w:themeColor="text1"/>
                <w:sz w:val="28"/>
                <w:szCs w:val="28"/>
              </w:rPr>
            </w:pPr>
            <w:r w:rsidRPr="005177C2">
              <w:rPr>
                <w:color w:val="000000" w:themeColor="text1"/>
                <w:sz w:val="28"/>
                <w:szCs w:val="28"/>
              </w:rPr>
              <w:t>4.</w:t>
            </w:r>
          </w:p>
        </w:tc>
        <w:tc>
          <w:tcPr>
            <w:tcW w:w="2126" w:type="dxa"/>
          </w:tcPr>
          <w:p w14:paraId="4DCDC51B" w14:textId="116E70AC" w:rsidR="00C27D1A" w:rsidRPr="005177C2" w:rsidRDefault="005177C2" w:rsidP="005177C2">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5177C2">
              <w:rPr>
                <w:color w:val="000000" w:themeColor="text1"/>
                <w:sz w:val="28"/>
                <w:szCs w:val="28"/>
              </w:rPr>
              <w:t>Infrastructure</w:t>
            </w:r>
          </w:p>
        </w:tc>
        <w:tc>
          <w:tcPr>
            <w:tcW w:w="2410" w:type="dxa"/>
          </w:tcPr>
          <w:p w14:paraId="6A0F8CAD" w14:textId="77D80166" w:rsidR="00C27D1A" w:rsidRPr="005177C2" w:rsidRDefault="001E3795" w:rsidP="001E3795">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1E3795">
              <w:rPr>
                <w:color w:val="000000" w:themeColor="text1"/>
                <w:sz w:val="28"/>
                <w:szCs w:val="28"/>
              </w:rPr>
              <w:t>-</w:t>
            </w:r>
            <w:r>
              <w:rPr>
                <w:color w:val="000000" w:themeColor="text1"/>
                <w:sz w:val="28"/>
                <w:szCs w:val="28"/>
              </w:rPr>
              <w:t xml:space="preserve"> </w:t>
            </w:r>
            <w:r w:rsidR="00C27D1A" w:rsidRPr="005177C2">
              <w:rPr>
                <w:color w:val="000000" w:themeColor="text1"/>
                <w:sz w:val="28"/>
                <w:szCs w:val="28"/>
              </w:rPr>
              <w:t>25.16 %</w:t>
            </w:r>
          </w:p>
        </w:tc>
      </w:tr>
      <w:tr w:rsidR="00C27D1A" w14:paraId="475CD4F0" w14:textId="77777777" w:rsidTr="005177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F48DF10" w14:textId="5C1C5FA3" w:rsidR="00C27D1A" w:rsidRPr="005177C2" w:rsidRDefault="00C27D1A" w:rsidP="005177C2">
            <w:pPr>
              <w:pStyle w:val="NormalWeb"/>
              <w:spacing w:before="0" w:beforeAutospacing="0" w:after="0" w:afterAutospacing="0"/>
              <w:jc w:val="center"/>
              <w:textAlignment w:val="baseline"/>
              <w:rPr>
                <w:color w:val="000000" w:themeColor="text1"/>
                <w:sz w:val="28"/>
                <w:szCs w:val="28"/>
              </w:rPr>
            </w:pPr>
            <w:r w:rsidRPr="005177C2">
              <w:rPr>
                <w:color w:val="000000" w:themeColor="text1"/>
                <w:sz w:val="28"/>
                <w:szCs w:val="28"/>
              </w:rPr>
              <w:t>5.</w:t>
            </w:r>
          </w:p>
        </w:tc>
        <w:tc>
          <w:tcPr>
            <w:tcW w:w="2126" w:type="dxa"/>
          </w:tcPr>
          <w:p w14:paraId="59A25888" w14:textId="58B79341" w:rsidR="00C27D1A" w:rsidRPr="005177C2" w:rsidRDefault="005177C2" w:rsidP="005177C2">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5177C2">
              <w:rPr>
                <w:color w:val="000000" w:themeColor="text1"/>
                <w:sz w:val="28"/>
                <w:szCs w:val="28"/>
              </w:rPr>
              <w:t>Trading</w:t>
            </w:r>
          </w:p>
        </w:tc>
        <w:tc>
          <w:tcPr>
            <w:tcW w:w="2410" w:type="dxa"/>
          </w:tcPr>
          <w:p w14:paraId="442B2CA7" w14:textId="0BE122C5" w:rsidR="00C27D1A" w:rsidRPr="005177C2" w:rsidRDefault="00C84B8D" w:rsidP="005177C2">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 xml:space="preserve">- </w:t>
            </w:r>
            <w:r w:rsidR="00C27D1A" w:rsidRPr="005177C2">
              <w:rPr>
                <w:color w:val="000000" w:themeColor="text1"/>
                <w:sz w:val="28"/>
                <w:szCs w:val="28"/>
              </w:rPr>
              <w:t>25.05 %</w:t>
            </w:r>
          </w:p>
        </w:tc>
      </w:tr>
      <w:tr w:rsidR="00C27D1A" w14:paraId="23A7AAA4" w14:textId="77777777" w:rsidTr="005177C2">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4F61E5F6" w14:textId="276D572A" w:rsidR="00C27D1A" w:rsidRPr="005177C2" w:rsidRDefault="00C27D1A" w:rsidP="005177C2">
            <w:pPr>
              <w:pStyle w:val="NormalWeb"/>
              <w:spacing w:before="0" w:beforeAutospacing="0" w:after="0" w:afterAutospacing="0"/>
              <w:jc w:val="center"/>
              <w:textAlignment w:val="baseline"/>
              <w:rPr>
                <w:color w:val="000000" w:themeColor="text1"/>
                <w:sz w:val="28"/>
                <w:szCs w:val="28"/>
              </w:rPr>
            </w:pPr>
            <w:r w:rsidRPr="005177C2">
              <w:rPr>
                <w:color w:val="000000" w:themeColor="text1"/>
                <w:sz w:val="28"/>
                <w:szCs w:val="28"/>
              </w:rPr>
              <w:t>6.</w:t>
            </w:r>
          </w:p>
        </w:tc>
        <w:tc>
          <w:tcPr>
            <w:tcW w:w="2126" w:type="dxa"/>
          </w:tcPr>
          <w:p w14:paraId="79BFE1FC" w14:textId="161B74EE" w:rsidR="00C27D1A" w:rsidRPr="005177C2" w:rsidRDefault="005177C2" w:rsidP="005177C2">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5177C2">
              <w:rPr>
                <w:color w:val="000000" w:themeColor="text1"/>
                <w:sz w:val="28"/>
                <w:szCs w:val="28"/>
              </w:rPr>
              <w:t>Tourism</w:t>
            </w:r>
          </w:p>
        </w:tc>
        <w:tc>
          <w:tcPr>
            <w:tcW w:w="2410" w:type="dxa"/>
          </w:tcPr>
          <w:p w14:paraId="514D75A9" w14:textId="7B2D6B28" w:rsidR="00C27D1A" w:rsidRPr="005177C2" w:rsidRDefault="00C84B8D" w:rsidP="005177C2">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 xml:space="preserve">- </w:t>
            </w:r>
            <w:r w:rsidR="00C27D1A" w:rsidRPr="005177C2">
              <w:rPr>
                <w:color w:val="000000" w:themeColor="text1"/>
                <w:sz w:val="28"/>
                <w:szCs w:val="28"/>
              </w:rPr>
              <w:t>18.14 %</w:t>
            </w:r>
          </w:p>
        </w:tc>
      </w:tr>
      <w:tr w:rsidR="00C27D1A" w14:paraId="7AAE2FD6" w14:textId="77777777" w:rsidTr="005177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724A0BAC" w14:textId="5A1F6FBC" w:rsidR="00C27D1A" w:rsidRPr="005177C2" w:rsidRDefault="00C27D1A" w:rsidP="005177C2">
            <w:pPr>
              <w:pStyle w:val="NormalWeb"/>
              <w:spacing w:before="0" w:beforeAutospacing="0" w:after="0" w:afterAutospacing="0"/>
              <w:jc w:val="center"/>
              <w:textAlignment w:val="baseline"/>
              <w:rPr>
                <w:color w:val="000000" w:themeColor="text1"/>
                <w:sz w:val="28"/>
                <w:szCs w:val="28"/>
              </w:rPr>
            </w:pPr>
            <w:r w:rsidRPr="005177C2">
              <w:rPr>
                <w:color w:val="000000" w:themeColor="text1"/>
                <w:sz w:val="28"/>
                <w:szCs w:val="28"/>
              </w:rPr>
              <w:t>7.</w:t>
            </w:r>
          </w:p>
        </w:tc>
        <w:tc>
          <w:tcPr>
            <w:tcW w:w="2126" w:type="dxa"/>
          </w:tcPr>
          <w:p w14:paraId="1DAECB3C" w14:textId="008DDC5C" w:rsidR="00C27D1A" w:rsidRPr="005177C2" w:rsidRDefault="005177C2" w:rsidP="005177C2">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5177C2">
              <w:rPr>
                <w:color w:val="000000" w:themeColor="text1"/>
                <w:sz w:val="28"/>
                <w:szCs w:val="28"/>
              </w:rPr>
              <w:t>Manufacturing</w:t>
            </w:r>
          </w:p>
        </w:tc>
        <w:tc>
          <w:tcPr>
            <w:tcW w:w="2410" w:type="dxa"/>
          </w:tcPr>
          <w:p w14:paraId="55B7791D" w14:textId="4B38710A" w:rsidR="00C27D1A" w:rsidRPr="005177C2" w:rsidRDefault="001E3795" w:rsidP="005177C2">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 xml:space="preserve">- </w:t>
            </w:r>
            <w:r w:rsidR="00C27D1A" w:rsidRPr="005177C2">
              <w:rPr>
                <w:color w:val="000000" w:themeColor="text1"/>
                <w:sz w:val="28"/>
                <w:szCs w:val="28"/>
              </w:rPr>
              <w:t>14.31 %</w:t>
            </w:r>
          </w:p>
        </w:tc>
      </w:tr>
      <w:tr w:rsidR="00C27D1A" w14:paraId="519F8EA9" w14:textId="77777777" w:rsidTr="005177C2">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76E30F0" w14:textId="5A3BF157" w:rsidR="00C27D1A" w:rsidRPr="005177C2" w:rsidRDefault="00C27D1A" w:rsidP="005177C2">
            <w:pPr>
              <w:pStyle w:val="NormalWeb"/>
              <w:spacing w:before="0" w:beforeAutospacing="0" w:after="0" w:afterAutospacing="0"/>
              <w:jc w:val="center"/>
              <w:textAlignment w:val="baseline"/>
              <w:rPr>
                <w:color w:val="000000" w:themeColor="text1"/>
                <w:sz w:val="28"/>
                <w:szCs w:val="28"/>
              </w:rPr>
            </w:pPr>
            <w:r w:rsidRPr="005177C2">
              <w:rPr>
                <w:color w:val="000000" w:themeColor="text1"/>
                <w:sz w:val="28"/>
                <w:szCs w:val="28"/>
              </w:rPr>
              <w:t>8.</w:t>
            </w:r>
          </w:p>
        </w:tc>
        <w:tc>
          <w:tcPr>
            <w:tcW w:w="2126" w:type="dxa"/>
          </w:tcPr>
          <w:p w14:paraId="295814F8" w14:textId="3D23213F" w:rsidR="00C27D1A" w:rsidRPr="005177C2" w:rsidRDefault="005177C2" w:rsidP="005177C2">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5177C2">
              <w:rPr>
                <w:color w:val="000000" w:themeColor="text1"/>
                <w:sz w:val="28"/>
                <w:szCs w:val="28"/>
              </w:rPr>
              <w:t>Agriculture</w:t>
            </w:r>
          </w:p>
        </w:tc>
        <w:tc>
          <w:tcPr>
            <w:tcW w:w="2410" w:type="dxa"/>
          </w:tcPr>
          <w:p w14:paraId="33294742" w14:textId="5D6D1200" w:rsidR="00C27D1A" w:rsidRPr="005177C2" w:rsidRDefault="00810B83" w:rsidP="00810B83">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810B83">
              <w:rPr>
                <w:color w:val="000000" w:themeColor="text1"/>
                <w:sz w:val="28"/>
                <w:szCs w:val="28"/>
              </w:rPr>
              <w:t>-</w:t>
            </w:r>
            <w:r>
              <w:rPr>
                <w:color w:val="000000" w:themeColor="text1"/>
                <w:sz w:val="28"/>
                <w:szCs w:val="28"/>
              </w:rPr>
              <w:t xml:space="preserve"> </w:t>
            </w:r>
            <w:r w:rsidR="00C27D1A" w:rsidRPr="005177C2">
              <w:rPr>
                <w:color w:val="000000" w:themeColor="text1"/>
                <w:sz w:val="28"/>
                <w:szCs w:val="28"/>
              </w:rPr>
              <w:t>5.37 %</w:t>
            </w:r>
          </w:p>
        </w:tc>
      </w:tr>
    </w:tbl>
    <w:p w14:paraId="6AB65057" w14:textId="6F3511B7" w:rsidR="0084680B" w:rsidRDefault="0084680B" w:rsidP="00C27D1A">
      <w:pPr>
        <w:pStyle w:val="NormalWeb"/>
        <w:shd w:val="clear" w:color="auto" w:fill="FFFFFF"/>
        <w:spacing w:before="0" w:beforeAutospacing="0" w:after="0" w:afterAutospacing="0"/>
        <w:jc w:val="both"/>
        <w:textAlignment w:val="baseline"/>
        <w:rPr>
          <w:color w:val="000000" w:themeColor="text1"/>
        </w:rPr>
      </w:pPr>
    </w:p>
    <w:p w14:paraId="61F579D6" w14:textId="77777777" w:rsidR="0084680B" w:rsidRDefault="0084680B" w:rsidP="00C27D1A">
      <w:pPr>
        <w:pStyle w:val="NormalWeb"/>
        <w:shd w:val="clear" w:color="auto" w:fill="FFFFFF"/>
        <w:spacing w:before="0" w:beforeAutospacing="0" w:after="0" w:afterAutospacing="0"/>
        <w:jc w:val="both"/>
        <w:textAlignment w:val="baseline"/>
        <w:rPr>
          <w:color w:val="000000" w:themeColor="text1"/>
        </w:rPr>
      </w:pPr>
    </w:p>
    <w:p w14:paraId="7B4EDD53" w14:textId="77777777" w:rsidR="00DB398A" w:rsidRDefault="00DB398A" w:rsidP="00C27D1A">
      <w:pPr>
        <w:pStyle w:val="NormalWeb"/>
        <w:shd w:val="clear" w:color="auto" w:fill="FFFFFF"/>
        <w:spacing w:before="0" w:beforeAutospacing="0" w:after="0" w:afterAutospacing="0"/>
        <w:jc w:val="both"/>
        <w:textAlignment w:val="baseline"/>
        <w:rPr>
          <w:color w:val="000000" w:themeColor="text1"/>
        </w:rPr>
      </w:pPr>
      <w:r>
        <w:rPr>
          <w:color w:val="000000" w:themeColor="text1"/>
        </w:rPr>
        <w:lastRenderedPageBreak/>
        <w:t xml:space="preserve">The above table shows the mean percentage of every sector arranged in the decreasing order. The mean percentage is the total of percentage change that is obtained from above tables for every sector. </w:t>
      </w:r>
    </w:p>
    <w:p w14:paraId="26F5AAD8" w14:textId="61E2489E" w:rsidR="00DB398A" w:rsidRDefault="00DB398A" w:rsidP="00C27D1A">
      <w:pPr>
        <w:pStyle w:val="NormalWeb"/>
        <w:shd w:val="clear" w:color="auto" w:fill="FFFFFF"/>
        <w:spacing w:before="0" w:beforeAutospacing="0" w:after="0" w:afterAutospacing="0"/>
        <w:jc w:val="both"/>
        <w:textAlignment w:val="baseline"/>
        <w:rPr>
          <w:color w:val="000000" w:themeColor="text1"/>
        </w:rPr>
      </w:pPr>
      <w:r>
        <w:rPr>
          <w:color w:val="000000" w:themeColor="text1"/>
        </w:rPr>
        <w:t xml:space="preserve">For Example: The mean percentage of Agriculture is </w:t>
      </w:r>
    </w:p>
    <w:p w14:paraId="4108CBF0" w14:textId="4B9FA1F2" w:rsidR="00DB398A" w:rsidRPr="00810B83" w:rsidRDefault="00DB398A" w:rsidP="00C27D1A">
      <w:pPr>
        <w:pStyle w:val="NormalWeb"/>
        <w:shd w:val="clear" w:color="auto" w:fill="FFFFFF"/>
        <w:spacing w:before="0" w:beforeAutospacing="0" w:after="0" w:afterAutospacing="0"/>
        <w:jc w:val="both"/>
        <w:textAlignment w:val="baseline"/>
        <w:rPr>
          <w:b/>
          <w:bCs/>
          <w:color w:val="000000" w:themeColor="text1"/>
        </w:rPr>
      </w:pPr>
      <w:r>
        <w:rPr>
          <w:color w:val="000000" w:themeColor="text1"/>
        </w:rPr>
        <w:tab/>
      </w:r>
      <w:r w:rsidRPr="00810B83">
        <w:rPr>
          <w:b/>
          <w:bCs/>
          <w:color w:val="000000" w:themeColor="text1"/>
        </w:rPr>
        <w:t xml:space="preserve">           Mean Percentage = -16.35 +14.19 -6.61 -12.72 = </w:t>
      </w:r>
      <w:r w:rsidR="00810B83" w:rsidRPr="00810B83">
        <w:rPr>
          <w:b/>
          <w:bCs/>
          <w:color w:val="000000" w:themeColor="text1"/>
        </w:rPr>
        <w:t>- 21.49 / 4 = -</w:t>
      </w:r>
      <w:r w:rsidR="00810B83">
        <w:rPr>
          <w:b/>
          <w:bCs/>
          <w:color w:val="000000" w:themeColor="text1"/>
        </w:rPr>
        <w:t xml:space="preserve"> </w:t>
      </w:r>
      <w:r w:rsidR="00810B83" w:rsidRPr="00810B83">
        <w:rPr>
          <w:b/>
          <w:bCs/>
          <w:color w:val="000000" w:themeColor="text1"/>
        </w:rPr>
        <w:t>5.37 %</w:t>
      </w:r>
    </w:p>
    <w:p w14:paraId="3BFDFD04" w14:textId="5AA285E1" w:rsidR="00C27D1A" w:rsidRDefault="00DB398A" w:rsidP="00C27D1A">
      <w:pPr>
        <w:pStyle w:val="NormalWeb"/>
        <w:shd w:val="clear" w:color="auto" w:fill="FFFFFF"/>
        <w:spacing w:before="0" w:beforeAutospacing="0" w:after="0" w:afterAutospacing="0"/>
        <w:jc w:val="both"/>
        <w:textAlignment w:val="baseline"/>
        <w:rPr>
          <w:color w:val="000000" w:themeColor="text1"/>
        </w:rPr>
      </w:pPr>
      <w:r>
        <w:rPr>
          <w:color w:val="000000" w:themeColor="text1"/>
        </w:rPr>
        <w:t xml:space="preserve">It can be observed that the most </w:t>
      </w:r>
      <w:r w:rsidR="00120B32">
        <w:rPr>
          <w:color w:val="000000" w:themeColor="text1"/>
        </w:rPr>
        <w:t>e</w:t>
      </w:r>
      <w:r>
        <w:rPr>
          <w:color w:val="000000" w:themeColor="text1"/>
        </w:rPr>
        <w:t xml:space="preserve">ffected sector is Restaurants according to the mean percentage that is </w:t>
      </w:r>
      <w:r w:rsidR="00C84B8D">
        <w:rPr>
          <w:color w:val="000000" w:themeColor="text1"/>
        </w:rPr>
        <w:t xml:space="preserve">- 35.64 % and the least </w:t>
      </w:r>
      <w:r w:rsidR="00120B32">
        <w:rPr>
          <w:color w:val="000000" w:themeColor="text1"/>
        </w:rPr>
        <w:t>e</w:t>
      </w:r>
      <w:r w:rsidR="00C84B8D">
        <w:rPr>
          <w:color w:val="000000" w:themeColor="text1"/>
        </w:rPr>
        <w:t>ffected sector is Agriculture that is - 5.37 %</w:t>
      </w:r>
      <w:r>
        <w:rPr>
          <w:color w:val="000000" w:themeColor="text1"/>
        </w:rPr>
        <w:t xml:space="preserve"> </w:t>
      </w:r>
    </w:p>
    <w:p w14:paraId="0D0D1A8C" w14:textId="4AC01F70" w:rsidR="0029102D" w:rsidRDefault="0029102D" w:rsidP="00C27D1A">
      <w:pPr>
        <w:pStyle w:val="NormalWeb"/>
        <w:shd w:val="clear" w:color="auto" w:fill="FFFFFF"/>
        <w:spacing w:before="0" w:beforeAutospacing="0" w:after="0" w:afterAutospacing="0"/>
        <w:jc w:val="both"/>
        <w:textAlignment w:val="baseline"/>
        <w:rPr>
          <w:color w:val="000000" w:themeColor="text1"/>
        </w:rPr>
      </w:pPr>
    </w:p>
    <w:p w14:paraId="4782D677" w14:textId="30D392A0" w:rsidR="0029102D" w:rsidRDefault="0029102D" w:rsidP="00C27D1A">
      <w:pPr>
        <w:pStyle w:val="NormalWeb"/>
        <w:shd w:val="clear" w:color="auto" w:fill="FFFFFF"/>
        <w:spacing w:before="0" w:beforeAutospacing="0" w:after="0" w:afterAutospacing="0"/>
        <w:jc w:val="both"/>
        <w:textAlignment w:val="baseline"/>
        <w:rPr>
          <w:color w:val="000000" w:themeColor="text1"/>
        </w:rPr>
      </w:pPr>
      <w:r>
        <w:rPr>
          <w:color w:val="000000" w:themeColor="text1"/>
        </w:rPr>
        <w:t xml:space="preserve">The Pie Chart showing the change </w:t>
      </w:r>
    </w:p>
    <w:p w14:paraId="14A1F55D" w14:textId="7693606F" w:rsidR="0029102D" w:rsidRDefault="0029102D" w:rsidP="00C27D1A">
      <w:pPr>
        <w:pStyle w:val="NormalWeb"/>
        <w:shd w:val="clear" w:color="auto" w:fill="FFFFFF"/>
        <w:spacing w:before="0" w:beforeAutospacing="0" w:after="0" w:afterAutospacing="0"/>
        <w:jc w:val="both"/>
        <w:textAlignment w:val="baseline"/>
        <w:rPr>
          <w:color w:val="000000" w:themeColor="text1"/>
        </w:rPr>
      </w:pPr>
    </w:p>
    <w:p w14:paraId="55D6CC66" w14:textId="254F5AF9" w:rsidR="00C84B8D" w:rsidRDefault="00C84B8D" w:rsidP="0029102D">
      <w:pPr>
        <w:pStyle w:val="NormalWeb"/>
        <w:shd w:val="clear" w:color="auto" w:fill="FFFFFF"/>
        <w:spacing w:before="0" w:beforeAutospacing="0" w:after="0" w:afterAutospacing="0"/>
        <w:jc w:val="center"/>
        <w:textAlignment w:val="baseline"/>
        <w:rPr>
          <w:color w:val="000000" w:themeColor="text1"/>
        </w:rPr>
      </w:pPr>
      <w:r>
        <w:rPr>
          <w:noProof/>
          <w:color w:val="000000" w:themeColor="text1"/>
        </w:rPr>
        <w:drawing>
          <wp:inline distT="0" distB="0" distL="0" distR="0" wp14:anchorId="0303AA03" wp14:editId="5AFE301A">
            <wp:extent cx="5067300" cy="25146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61D2C7" w14:textId="77777777" w:rsidR="0084680B" w:rsidRDefault="0084680B" w:rsidP="0029102D">
      <w:pPr>
        <w:pStyle w:val="NormalWeb"/>
        <w:shd w:val="clear" w:color="auto" w:fill="FFFFFF"/>
        <w:spacing w:before="0" w:beforeAutospacing="0" w:after="0" w:afterAutospacing="0"/>
        <w:jc w:val="center"/>
        <w:textAlignment w:val="baseline"/>
        <w:rPr>
          <w:color w:val="000000" w:themeColor="text1"/>
        </w:rPr>
      </w:pPr>
    </w:p>
    <w:p w14:paraId="5C25602B" w14:textId="31DC36FF" w:rsidR="0029102D" w:rsidRDefault="0029102D" w:rsidP="0029102D">
      <w:pPr>
        <w:pStyle w:val="NormalWeb"/>
        <w:shd w:val="clear" w:color="auto" w:fill="FFFFFF"/>
        <w:spacing w:before="0" w:beforeAutospacing="0" w:after="0" w:afterAutospacing="0"/>
        <w:jc w:val="center"/>
        <w:textAlignment w:val="baseline"/>
        <w:rPr>
          <w:color w:val="000000" w:themeColor="text1"/>
        </w:rPr>
      </w:pPr>
    </w:p>
    <w:p w14:paraId="6836B3DE" w14:textId="57A66FDF" w:rsidR="0084680B" w:rsidRDefault="0084680B" w:rsidP="0084680B">
      <w:pPr>
        <w:pStyle w:val="NormalWeb"/>
        <w:shd w:val="clear" w:color="auto" w:fill="FFFFFF"/>
        <w:spacing w:before="0" w:beforeAutospacing="0" w:after="0" w:afterAutospacing="0"/>
        <w:textAlignment w:val="baseline"/>
        <w:rPr>
          <w:b/>
          <w:bCs/>
          <w:color w:val="000000" w:themeColor="text1"/>
        </w:rPr>
      </w:pPr>
      <w:r w:rsidRPr="0084680B">
        <w:rPr>
          <w:b/>
          <w:bCs/>
          <w:color w:val="000000" w:themeColor="text1"/>
        </w:rPr>
        <w:t xml:space="preserve">References </w:t>
      </w:r>
    </w:p>
    <w:p w14:paraId="271EAEA1" w14:textId="5F1E308D" w:rsidR="0084680B" w:rsidRDefault="0084680B" w:rsidP="0084680B">
      <w:pPr>
        <w:pStyle w:val="NormalWeb"/>
        <w:shd w:val="clear" w:color="auto" w:fill="FFFFFF"/>
        <w:spacing w:before="0" w:beforeAutospacing="0" w:after="0" w:afterAutospacing="0"/>
        <w:textAlignment w:val="baseline"/>
        <w:rPr>
          <w:b/>
          <w:bCs/>
          <w:color w:val="000000" w:themeColor="text1"/>
        </w:rPr>
      </w:pPr>
    </w:p>
    <w:p w14:paraId="40F44546" w14:textId="3CDCCED0" w:rsidR="0084680B" w:rsidRPr="0084680B" w:rsidRDefault="0084680B" w:rsidP="0084680B">
      <w:pPr>
        <w:shd w:val="clear" w:color="auto" w:fill="FFFFFF"/>
        <w:spacing w:after="0" w:line="276" w:lineRule="auto"/>
        <w:outlineLvl w:val="0"/>
        <w:rPr>
          <w:rFonts w:eastAsia="Times New Roman"/>
          <w:kern w:val="36"/>
          <w:sz w:val="24"/>
          <w:szCs w:val="24"/>
          <w:lang w:eastAsia="en-IN"/>
        </w:rPr>
      </w:pPr>
      <w:r w:rsidRPr="0084680B">
        <w:rPr>
          <w:color w:val="000000" w:themeColor="text1"/>
          <w:sz w:val="24"/>
          <w:szCs w:val="24"/>
        </w:rPr>
        <w:t>[1]</w:t>
      </w:r>
      <w:hyperlink r:id="rId9" w:history="1">
        <w:r w:rsidRPr="0084680B">
          <w:rPr>
            <w:rStyle w:val="Hyperlink"/>
            <w:sz w:val="24"/>
            <w:szCs w:val="24"/>
            <w:u w:val="none"/>
          </w:rPr>
          <w:t>https://www.economicshelp.org/blog/221/stock-market/how-does-the-stock-market-effect-the-economy-2/</w:t>
        </w:r>
      </w:hyperlink>
    </w:p>
    <w:p w14:paraId="0AFDABB2" w14:textId="4F8517E9" w:rsidR="0084680B" w:rsidRPr="0084680B" w:rsidRDefault="0084680B" w:rsidP="0084680B">
      <w:pPr>
        <w:pStyle w:val="NormalWeb"/>
        <w:shd w:val="clear" w:color="auto" w:fill="FFFFFF"/>
        <w:spacing w:before="0" w:beforeAutospacing="0" w:after="0" w:afterAutospacing="0" w:line="276" w:lineRule="auto"/>
        <w:textAlignment w:val="baseline"/>
        <w:rPr>
          <w:rStyle w:val="Hyperlink"/>
          <w:rFonts w:eastAsiaTheme="majorEastAsia"/>
          <w:u w:val="none"/>
        </w:rPr>
      </w:pPr>
      <w:r w:rsidRPr="0084680B">
        <w:rPr>
          <w:color w:val="000000" w:themeColor="text1"/>
        </w:rPr>
        <w:t>[2]</w:t>
      </w:r>
      <w:hyperlink r:id="rId10" w:anchor=":~:text=India's%20GDP%20growth%20for%20the,%2D22%2C%20the%20report%20said." w:history="1">
        <w:r w:rsidRPr="0084680B">
          <w:rPr>
            <w:rStyle w:val="Hyperlink"/>
            <w:rFonts w:eastAsiaTheme="majorEastAsia"/>
            <w:u w:val="none"/>
          </w:rPr>
          <w:t>https://economictimes.indiatimes.com/news/gdpgrowth#:~:text=India's%20GDP%20growth%20for%20the,%2D22%2C%20the%20report%20said.</w:t>
        </w:r>
      </w:hyperlink>
    </w:p>
    <w:p w14:paraId="0DDA1F4E" w14:textId="7CDD80A4" w:rsidR="0084680B" w:rsidRPr="0084680B" w:rsidRDefault="0084680B" w:rsidP="0084680B">
      <w:pPr>
        <w:pStyle w:val="NormalWeb"/>
        <w:shd w:val="clear" w:color="auto" w:fill="FFFFFF"/>
        <w:spacing w:before="0" w:beforeAutospacing="0" w:after="0" w:afterAutospacing="0" w:line="276" w:lineRule="auto"/>
        <w:jc w:val="both"/>
        <w:rPr>
          <w:rStyle w:val="Strong"/>
          <w:rFonts w:eastAsiaTheme="majorEastAsia"/>
          <w:color w:val="000000"/>
          <w:bdr w:val="none" w:sz="0" w:space="0" w:color="auto" w:frame="1"/>
        </w:rPr>
      </w:pPr>
      <w:r w:rsidRPr="0084680B">
        <w:rPr>
          <w:rStyle w:val="Hyperlink"/>
          <w:rFonts w:eastAsiaTheme="majorEastAsia"/>
          <w:color w:val="auto"/>
          <w:u w:val="none"/>
        </w:rPr>
        <w:t>[3]</w:t>
      </w:r>
      <w:hyperlink r:id="rId11" w:history="1">
        <w:r w:rsidRPr="0084680B">
          <w:rPr>
            <w:rStyle w:val="Hyperlink"/>
            <w:rFonts w:eastAsiaTheme="majorEastAsia"/>
            <w:u w:val="none"/>
          </w:rPr>
          <w:t>https://www.financialexpress.com/economy/q4-fy-2019-20-gdp-growth-data-live-updates-coronavirus-one-week-lockdown-effect-varied-estimates/1974880/</w:t>
        </w:r>
      </w:hyperlink>
    </w:p>
    <w:p w14:paraId="303796E5" w14:textId="363614EB" w:rsidR="0084680B" w:rsidRPr="0084680B" w:rsidRDefault="0084680B" w:rsidP="0084680B">
      <w:pPr>
        <w:pStyle w:val="NormalWeb"/>
        <w:shd w:val="clear" w:color="auto" w:fill="FFFFFF"/>
        <w:spacing w:before="0" w:beforeAutospacing="0" w:after="0" w:afterAutospacing="0" w:line="276" w:lineRule="auto"/>
        <w:jc w:val="both"/>
        <w:rPr>
          <w:color w:val="000000"/>
          <w:bdr w:val="none" w:sz="0" w:space="0" w:color="auto" w:frame="1"/>
        </w:rPr>
      </w:pPr>
      <w:r w:rsidRPr="0084680B">
        <w:rPr>
          <w:color w:val="000000" w:themeColor="text1"/>
        </w:rPr>
        <w:t>[4]</w:t>
      </w:r>
      <w:hyperlink r:id="rId12" w:history="1">
        <w:r w:rsidRPr="0084680B">
          <w:rPr>
            <w:rStyle w:val="Hyperlink"/>
            <w:rFonts w:eastAsiaTheme="majorEastAsia"/>
            <w:u w:val="none"/>
          </w:rPr>
          <w:t>https://analyzingalpha.com/open-high-low-close-stocks</w:t>
        </w:r>
      </w:hyperlink>
    </w:p>
    <w:p w14:paraId="6C5D01BD" w14:textId="5D4996FD" w:rsidR="0084680B" w:rsidRPr="0084680B" w:rsidRDefault="0084680B" w:rsidP="0084680B">
      <w:pPr>
        <w:pStyle w:val="NormalWeb"/>
        <w:shd w:val="clear" w:color="auto" w:fill="FFFFFF"/>
        <w:spacing w:before="0" w:beforeAutospacing="0" w:after="0" w:afterAutospacing="0" w:line="276" w:lineRule="auto"/>
        <w:jc w:val="both"/>
        <w:textAlignment w:val="baseline"/>
      </w:pPr>
      <w:r w:rsidRPr="0084680B">
        <w:rPr>
          <w:color w:val="000000" w:themeColor="text1"/>
        </w:rPr>
        <w:t>[5]</w:t>
      </w:r>
      <w:hyperlink r:id="rId13" w:history="1">
        <w:r w:rsidRPr="0084680B">
          <w:rPr>
            <w:rStyle w:val="Hyperlink"/>
            <w:rFonts w:eastAsiaTheme="majorEastAsia"/>
            <w:u w:val="none"/>
          </w:rPr>
          <w:t>https://www.moneycontrol.com/</w:t>
        </w:r>
      </w:hyperlink>
    </w:p>
    <w:p w14:paraId="2C4E9EDF" w14:textId="4718A6CC" w:rsidR="0029102D" w:rsidRPr="0084680B" w:rsidRDefault="0029102D" w:rsidP="0084680B">
      <w:pPr>
        <w:pStyle w:val="NormalWeb"/>
        <w:shd w:val="clear" w:color="auto" w:fill="FFFFFF"/>
        <w:spacing w:before="0" w:beforeAutospacing="0" w:after="0" w:afterAutospacing="0"/>
        <w:textAlignment w:val="baseline"/>
        <w:rPr>
          <w:b/>
          <w:bCs/>
          <w:color w:val="000000" w:themeColor="text1"/>
        </w:rPr>
      </w:pPr>
    </w:p>
    <w:sectPr w:rsidR="0029102D" w:rsidRPr="00846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A4357"/>
    <w:multiLevelType w:val="hybridMultilevel"/>
    <w:tmpl w:val="FF32C108"/>
    <w:lvl w:ilvl="0" w:tplc="93A4906C">
      <w:start w:val="85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FF444A"/>
    <w:multiLevelType w:val="hybridMultilevel"/>
    <w:tmpl w:val="0C7AF89A"/>
    <w:lvl w:ilvl="0" w:tplc="42D8DBF6">
      <w:start w:val="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38379B"/>
    <w:multiLevelType w:val="hybridMultilevel"/>
    <w:tmpl w:val="FEC8F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89246D"/>
    <w:multiLevelType w:val="hybridMultilevel"/>
    <w:tmpl w:val="01D21B78"/>
    <w:lvl w:ilvl="0" w:tplc="4BD6A33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EBD29DC"/>
    <w:multiLevelType w:val="hybridMultilevel"/>
    <w:tmpl w:val="62EC7652"/>
    <w:lvl w:ilvl="0" w:tplc="788AE15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ECE301D"/>
    <w:multiLevelType w:val="hybridMultilevel"/>
    <w:tmpl w:val="2478803C"/>
    <w:lvl w:ilvl="0" w:tplc="19F88CE2">
      <w:start w:val="1"/>
      <w:numFmt w:val="decimal"/>
      <w:lvlText w:val="%1."/>
      <w:lvlJc w:val="left"/>
      <w:pPr>
        <w:ind w:left="360" w:hanging="360"/>
      </w:pPr>
      <w:rPr>
        <w:rFonts w:hint="default"/>
        <w:b w:val="0"/>
        <w:bCs w:val="0"/>
        <w:color w:val="000000" w:themeColor="text1"/>
        <w:sz w:val="24"/>
        <w:szCs w:val="24"/>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0125E9E"/>
    <w:multiLevelType w:val="hybridMultilevel"/>
    <w:tmpl w:val="E9F26AD8"/>
    <w:lvl w:ilvl="0" w:tplc="6D82A24E">
      <w:start w:val="1"/>
      <w:numFmt w:val="lowerLetter"/>
      <w:lvlText w:val="%1."/>
      <w:lvlJc w:val="left"/>
      <w:pPr>
        <w:ind w:left="360" w:hanging="360"/>
      </w:pPr>
      <w:rPr>
        <w:color w:val="000000" w:themeColor="text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6382D56"/>
    <w:multiLevelType w:val="hybridMultilevel"/>
    <w:tmpl w:val="DF405AC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0D420C"/>
    <w:multiLevelType w:val="hybridMultilevel"/>
    <w:tmpl w:val="F4783252"/>
    <w:lvl w:ilvl="0" w:tplc="700E617A">
      <w:start w:val="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A71881"/>
    <w:multiLevelType w:val="hybridMultilevel"/>
    <w:tmpl w:val="70B2FBE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BD4454C"/>
    <w:multiLevelType w:val="hybridMultilevel"/>
    <w:tmpl w:val="190AEDF8"/>
    <w:lvl w:ilvl="0" w:tplc="CD2ED5C2">
      <w:start w:val="1"/>
      <w:numFmt w:val="decimal"/>
      <w:lvlText w:val="%1."/>
      <w:lvlJc w:val="left"/>
      <w:pPr>
        <w:ind w:left="360" w:hanging="360"/>
      </w:pPr>
      <w:rPr>
        <w:rFonts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num>
  <w:num w:numId="2">
    <w:abstractNumId w:val="7"/>
  </w:num>
  <w:num w:numId="3">
    <w:abstractNumId w:val="10"/>
  </w:num>
  <w:num w:numId="4">
    <w:abstractNumId w:val="3"/>
  </w:num>
  <w:num w:numId="5">
    <w:abstractNumId w:val="6"/>
  </w:num>
  <w:num w:numId="6">
    <w:abstractNumId w:val="4"/>
  </w:num>
  <w:num w:numId="7">
    <w:abstractNumId w:val="9"/>
  </w:num>
  <w:num w:numId="8">
    <w:abstractNumId w:val="0"/>
  </w:num>
  <w:num w:numId="9">
    <w:abstractNumId w:val="8"/>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0tDAxMTewMDA2MzdR0lEKTi0uzszPAykwqQUAqSRc6iwAAAA="/>
  </w:docVars>
  <w:rsids>
    <w:rsidRoot w:val="00113E5D"/>
    <w:rsid w:val="00015426"/>
    <w:rsid w:val="00113E5D"/>
    <w:rsid w:val="00120B32"/>
    <w:rsid w:val="001A3333"/>
    <w:rsid w:val="001E3795"/>
    <w:rsid w:val="002025B1"/>
    <w:rsid w:val="0029102D"/>
    <w:rsid w:val="003530B6"/>
    <w:rsid w:val="004278FA"/>
    <w:rsid w:val="005177C2"/>
    <w:rsid w:val="005B633C"/>
    <w:rsid w:val="00810B83"/>
    <w:rsid w:val="00841A34"/>
    <w:rsid w:val="0084680B"/>
    <w:rsid w:val="008F555D"/>
    <w:rsid w:val="009F71E5"/>
    <w:rsid w:val="00AC0A0A"/>
    <w:rsid w:val="00C27D1A"/>
    <w:rsid w:val="00C84B8D"/>
    <w:rsid w:val="00CA1ECA"/>
    <w:rsid w:val="00DB398A"/>
    <w:rsid w:val="00FA6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AA4C"/>
  <w15:chartTrackingRefBased/>
  <w15:docId w15:val="{EE46C0CE-5382-4588-9E15-A76739054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18"/>
        <w:szCs w:val="1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5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A6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33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333"/>
    <w:pPr>
      <w:ind w:left="720"/>
      <w:contextualSpacing/>
    </w:pPr>
  </w:style>
  <w:style w:type="character" w:customStyle="1" w:styleId="Heading3Char">
    <w:name w:val="Heading 3 Char"/>
    <w:basedOn w:val="DefaultParagraphFont"/>
    <w:link w:val="Heading3"/>
    <w:uiPriority w:val="9"/>
    <w:semiHidden/>
    <w:rsid w:val="001A333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A3333"/>
    <w:rPr>
      <w:color w:val="0000FF"/>
      <w:u w:val="single"/>
    </w:rPr>
  </w:style>
  <w:style w:type="paragraph" w:styleId="NormalWeb">
    <w:name w:val="Normal (Web)"/>
    <w:basedOn w:val="Normal"/>
    <w:uiPriority w:val="99"/>
    <w:unhideWhenUsed/>
    <w:rsid w:val="001A3333"/>
    <w:pPr>
      <w:spacing w:before="100" w:beforeAutospacing="1" w:after="100" w:afterAutospacing="1" w:line="240" w:lineRule="auto"/>
    </w:pPr>
    <w:rPr>
      <w:rFonts w:eastAsia="Times New Roman"/>
      <w:sz w:val="24"/>
      <w:szCs w:val="24"/>
      <w:lang w:eastAsia="en-IN"/>
    </w:rPr>
  </w:style>
  <w:style w:type="character" w:customStyle="1" w:styleId="Heading1Char">
    <w:name w:val="Heading 1 Char"/>
    <w:basedOn w:val="DefaultParagraphFont"/>
    <w:link w:val="Heading1"/>
    <w:uiPriority w:val="9"/>
    <w:rsid w:val="00FA657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A6576"/>
    <w:rPr>
      <w:b/>
      <w:bCs/>
    </w:rPr>
  </w:style>
  <w:style w:type="character" w:customStyle="1" w:styleId="Heading2Char">
    <w:name w:val="Heading 2 Char"/>
    <w:basedOn w:val="DefaultParagraphFont"/>
    <w:link w:val="Heading2"/>
    <w:uiPriority w:val="9"/>
    <w:semiHidden/>
    <w:rsid w:val="00FA6576"/>
    <w:rPr>
      <w:rFonts w:asciiTheme="majorHAnsi" w:eastAsiaTheme="majorEastAsia" w:hAnsiTheme="majorHAnsi" w:cstheme="majorBidi"/>
      <w:color w:val="2F5496" w:themeColor="accent1" w:themeShade="BF"/>
      <w:sz w:val="26"/>
      <w:szCs w:val="26"/>
    </w:rPr>
  </w:style>
  <w:style w:type="character" w:customStyle="1" w:styleId="e24kjd">
    <w:name w:val="e24kjd"/>
    <w:basedOn w:val="DefaultParagraphFont"/>
    <w:rsid w:val="002025B1"/>
  </w:style>
  <w:style w:type="table" w:styleId="TableGrid">
    <w:name w:val="Table Grid"/>
    <w:basedOn w:val="TableNormal"/>
    <w:uiPriority w:val="39"/>
    <w:rsid w:val="00015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77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B39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8468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moneycontrol.com/" TargetMode="External"/><Relationship Id="rId3" Type="http://schemas.openxmlformats.org/officeDocument/2006/relationships/settings" Target="settings.xml"/><Relationship Id="rId7" Type="http://schemas.openxmlformats.org/officeDocument/2006/relationships/hyperlink" Target="https://www.moneycontrol.com/" TargetMode="External"/><Relationship Id="rId12" Type="http://schemas.openxmlformats.org/officeDocument/2006/relationships/hyperlink" Target="https://analyzingalpha.com/open-high-low-close-sto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a/afterhourstrading.asp" TargetMode="External"/><Relationship Id="rId11" Type="http://schemas.openxmlformats.org/officeDocument/2006/relationships/hyperlink" Target="https://www.financialexpress.com/economy/q4-fy-2019-20-gdp-growth-data-live-updates-coronavirus-one-week-lockdown-effect-varied-estimates/1974880/" TargetMode="External"/><Relationship Id="rId5" Type="http://schemas.openxmlformats.org/officeDocument/2006/relationships/hyperlink" Target="https://www.economicshelp.org/blog/76/economics/wall-street-crash-1929/" TargetMode="External"/><Relationship Id="rId15" Type="http://schemas.openxmlformats.org/officeDocument/2006/relationships/theme" Target="theme/theme1.xml"/><Relationship Id="rId10" Type="http://schemas.openxmlformats.org/officeDocument/2006/relationships/hyperlink" Target="https://economictimes.indiatimes.com/news/gdpgrowth" TargetMode="External"/><Relationship Id="rId4" Type="http://schemas.openxmlformats.org/officeDocument/2006/relationships/webSettings" Target="webSettings.xml"/><Relationship Id="rId9" Type="http://schemas.openxmlformats.org/officeDocument/2006/relationships/hyperlink" Target="https://www.economicshelp.org/blog/221/stock-market/how-does-the-stock-market-effect-the-economy-2/"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Percentage</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0DA7-4171-A150-AB6BB67B4811}"/>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0DA7-4171-A150-AB6BB67B4811}"/>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0DA7-4171-A150-AB6BB67B4811}"/>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0DA7-4171-A150-AB6BB67B4811}"/>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0DA7-4171-A150-AB6BB67B4811}"/>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0DA7-4171-A150-AB6BB67B4811}"/>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0DA7-4171-A150-AB6BB67B4811}"/>
              </c:ext>
            </c:extLst>
          </c:dPt>
          <c:dPt>
            <c:idx val="7"/>
            <c:bubble3D val="0"/>
            <c:spPr>
              <a:solidFill>
                <a:schemeClr val="accent2">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F-0DA7-4171-A150-AB6BB67B481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Sheet1!$A$2:$A$9</c:f>
              <c:strCache>
                <c:ptCount val="8"/>
                <c:pt idx="0">
                  <c:v>Restaurants</c:v>
                </c:pt>
                <c:pt idx="1">
                  <c:v>Real Estate</c:v>
                </c:pt>
                <c:pt idx="2">
                  <c:v>Aviation</c:v>
                </c:pt>
                <c:pt idx="3">
                  <c:v>Infrastructure</c:v>
                </c:pt>
                <c:pt idx="4">
                  <c:v>Trading</c:v>
                </c:pt>
                <c:pt idx="5">
                  <c:v>Tourism</c:v>
                </c:pt>
                <c:pt idx="6">
                  <c:v>Manufacturing</c:v>
                </c:pt>
                <c:pt idx="7">
                  <c:v>Agriculture</c:v>
                </c:pt>
              </c:strCache>
            </c:strRef>
          </c:cat>
          <c:val>
            <c:numRef>
              <c:f>Sheet1!$B$2:$B$9</c:f>
              <c:numCache>
                <c:formatCode>General</c:formatCode>
                <c:ptCount val="8"/>
                <c:pt idx="0">
                  <c:v>35.64</c:v>
                </c:pt>
                <c:pt idx="1">
                  <c:v>29.55</c:v>
                </c:pt>
                <c:pt idx="2">
                  <c:v>26.17</c:v>
                </c:pt>
                <c:pt idx="3">
                  <c:v>25.16</c:v>
                </c:pt>
                <c:pt idx="4">
                  <c:v>25.05</c:v>
                </c:pt>
                <c:pt idx="5">
                  <c:v>18.14</c:v>
                </c:pt>
                <c:pt idx="6">
                  <c:v>14.31</c:v>
                </c:pt>
                <c:pt idx="7">
                  <c:v>5.37</c:v>
                </c:pt>
              </c:numCache>
            </c:numRef>
          </c:val>
          <c:extLst>
            <c:ext xmlns:c16="http://schemas.microsoft.com/office/drawing/2014/chart" uri="{C3380CC4-5D6E-409C-BE32-E72D297353CC}">
              <c16:uniqueId val="{00000000-C4D9-433B-B145-66214AF80C1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6</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yashindulkar@outlook.com</dc:creator>
  <cp:keywords/>
  <dc:description/>
  <cp:lastModifiedBy>yashindulkar@outlook.com</cp:lastModifiedBy>
  <cp:revision>6</cp:revision>
  <dcterms:created xsi:type="dcterms:W3CDTF">2020-06-29T13:44:00Z</dcterms:created>
  <dcterms:modified xsi:type="dcterms:W3CDTF">2020-07-01T11:52:00Z</dcterms:modified>
</cp:coreProperties>
</file>