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DD9C7" w14:textId="77777777" w:rsidR="00DA357C" w:rsidRPr="00F953E5" w:rsidRDefault="00DA357C" w:rsidP="00DA357C">
      <w:pPr>
        <w:pStyle w:val="Heading1"/>
        <w:rPr>
          <w:sz w:val="20"/>
          <w:szCs w:val="20"/>
        </w:rPr>
      </w:pPr>
      <w:bookmarkStart w:id="0" w:name="_Toc356572468"/>
      <w:r w:rsidRPr="00F953E5">
        <w:rPr>
          <w:sz w:val="20"/>
          <w:szCs w:val="20"/>
        </w:rPr>
        <w:t>Methods</w:t>
      </w:r>
      <w:bookmarkEnd w:id="0"/>
      <w:r w:rsidRPr="00F953E5">
        <w:rPr>
          <w:sz w:val="20"/>
          <w:szCs w:val="20"/>
        </w:rPr>
        <w:t xml:space="preserve"> </w:t>
      </w:r>
    </w:p>
    <w:p w14:paraId="44D862F0" w14:textId="77777777" w:rsidR="00DA357C" w:rsidRPr="00F953E5" w:rsidRDefault="00DA357C" w:rsidP="00DA357C">
      <w:pPr>
        <w:pStyle w:val="Body"/>
        <w:rPr>
          <w:sz w:val="20"/>
          <w:szCs w:val="20"/>
        </w:rPr>
      </w:pPr>
      <w:r w:rsidRPr="00F953E5">
        <w:rPr>
          <w:b/>
          <w:noProof/>
          <w:sz w:val="20"/>
          <w:szCs w:val="20"/>
          <w:lang w:val="en-CA" w:eastAsia="en-CA"/>
        </w:rPr>
        <mc:AlternateContent>
          <mc:Choice Requires="wps">
            <w:drawing>
              <wp:anchor distT="0" distB="0" distL="114300" distR="114300" simplePos="0" relativeHeight="251659264" behindDoc="0" locked="0" layoutInCell="1" allowOverlap="1" wp14:anchorId="2E3863DB" wp14:editId="445B9E5A">
                <wp:simplePos x="0" y="0"/>
                <wp:positionH relativeFrom="column">
                  <wp:posOffset>4810125</wp:posOffset>
                </wp:positionH>
                <wp:positionV relativeFrom="paragraph">
                  <wp:posOffset>69215</wp:posOffset>
                </wp:positionV>
                <wp:extent cx="1933575" cy="31623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933575" cy="3162300"/>
                        </a:xfrm>
                        <a:prstGeom prst="rect">
                          <a:avLst/>
                        </a:prstGeom>
                        <a:noFill/>
                        <a:ln w="6350">
                          <a:solidFill>
                            <a:prstClr val="black"/>
                          </a:solidFill>
                        </a:ln>
                        <a:effectLst/>
                      </wps:spPr>
                      <wps:txbx>
                        <w:txbxContent>
                          <w:p w14:paraId="463C3424" w14:textId="77777777" w:rsidR="00DA357C" w:rsidRPr="00326FEE" w:rsidRDefault="00DA357C" w:rsidP="00DA357C">
                            <w:pPr>
                              <w:rPr>
                                <w:b/>
                                <w:sz w:val="20"/>
                              </w:rPr>
                            </w:pPr>
                            <w:r w:rsidRPr="00326FEE">
                              <w:rPr>
                                <w:b/>
                                <w:sz w:val="20"/>
                              </w:rPr>
                              <w:t>Outcome measures</w:t>
                            </w:r>
                          </w:p>
                          <w:p w14:paraId="0EA9337B" w14:textId="77777777" w:rsidR="00DA357C" w:rsidRPr="00326FEE" w:rsidRDefault="00DA357C" w:rsidP="00DA357C">
                            <w:pPr>
                              <w:pStyle w:val="ListParagraph"/>
                              <w:numPr>
                                <w:ilvl w:val="0"/>
                                <w:numId w:val="9"/>
                              </w:numPr>
                              <w:ind w:left="142" w:hanging="153"/>
                              <w:rPr>
                                <w:b/>
                                <w:sz w:val="20"/>
                              </w:rPr>
                            </w:pPr>
                            <w:r w:rsidRPr="00326FEE">
                              <w:rPr>
                                <w:sz w:val="20"/>
                              </w:rPr>
                              <w:t>Knowledge</w:t>
                            </w:r>
                            <w:r>
                              <w:rPr>
                                <w:sz w:val="20"/>
                              </w:rPr>
                              <w:t xml:space="preserve"> of:</w:t>
                            </w:r>
                          </w:p>
                          <w:p w14:paraId="0C28A677" w14:textId="77777777" w:rsidR="00DA357C" w:rsidRDefault="00DA357C" w:rsidP="00DA357C">
                            <w:pPr>
                              <w:pStyle w:val="ListParagraph"/>
                              <w:ind w:left="142"/>
                              <w:rPr>
                                <w:i/>
                                <w:sz w:val="20"/>
                              </w:rPr>
                            </w:pPr>
                            <w:r>
                              <w:rPr>
                                <w:i/>
                                <w:sz w:val="20"/>
                              </w:rPr>
                              <w:t>-nutrition</w:t>
                            </w:r>
                          </w:p>
                          <w:p w14:paraId="0E86E03A" w14:textId="77777777" w:rsidR="00DA357C" w:rsidRPr="00326FEE" w:rsidRDefault="00DA357C" w:rsidP="00DA357C">
                            <w:pPr>
                              <w:pStyle w:val="ListParagraph"/>
                              <w:ind w:left="142"/>
                              <w:rPr>
                                <w:b/>
                                <w:i/>
                                <w:sz w:val="20"/>
                              </w:rPr>
                            </w:pPr>
                            <w:r w:rsidRPr="00326FEE">
                              <w:rPr>
                                <w:i/>
                                <w:sz w:val="20"/>
                              </w:rPr>
                              <w:t>-reproductive health</w:t>
                            </w:r>
                          </w:p>
                          <w:p w14:paraId="6754BF00" w14:textId="77777777" w:rsidR="00DA357C" w:rsidRDefault="00DA357C" w:rsidP="00DA357C">
                            <w:pPr>
                              <w:pStyle w:val="ListParagraph"/>
                              <w:ind w:left="142"/>
                              <w:rPr>
                                <w:i/>
                                <w:sz w:val="20"/>
                              </w:rPr>
                            </w:pPr>
                            <w:r w:rsidRPr="00326FEE">
                              <w:rPr>
                                <w:i/>
                                <w:sz w:val="20"/>
                              </w:rPr>
                              <w:t>-family planning</w:t>
                            </w:r>
                          </w:p>
                          <w:p w14:paraId="39304A1A" w14:textId="77777777" w:rsidR="00DA357C" w:rsidRPr="00326FEE" w:rsidRDefault="00DA357C" w:rsidP="00DA357C">
                            <w:pPr>
                              <w:pStyle w:val="ListParagraph"/>
                              <w:ind w:left="142"/>
                              <w:rPr>
                                <w:b/>
                                <w:i/>
                                <w:sz w:val="20"/>
                              </w:rPr>
                            </w:pPr>
                            <w:r>
                              <w:rPr>
                                <w:i/>
                                <w:sz w:val="20"/>
                              </w:rPr>
                              <w:t xml:space="preserve">-HIV/AIDS </w:t>
                            </w:r>
                          </w:p>
                          <w:p w14:paraId="0C979EE4" w14:textId="77777777" w:rsidR="00DA357C" w:rsidRPr="00326FEE" w:rsidRDefault="00DA357C" w:rsidP="00DA357C">
                            <w:pPr>
                              <w:pStyle w:val="ListParagraph"/>
                              <w:ind w:left="142"/>
                              <w:rPr>
                                <w:b/>
                                <w:i/>
                                <w:sz w:val="20"/>
                              </w:rPr>
                            </w:pPr>
                            <w:r w:rsidRPr="00326FEE">
                              <w:rPr>
                                <w:i/>
                                <w:sz w:val="20"/>
                              </w:rPr>
                              <w:t>-savings attitudes</w:t>
                            </w:r>
                          </w:p>
                          <w:p w14:paraId="2FB74355" w14:textId="77777777" w:rsidR="00DA357C" w:rsidRPr="00326FEE" w:rsidRDefault="00DA357C" w:rsidP="00DA357C">
                            <w:pPr>
                              <w:pStyle w:val="ListParagraph"/>
                              <w:numPr>
                                <w:ilvl w:val="0"/>
                                <w:numId w:val="9"/>
                              </w:numPr>
                              <w:ind w:left="142" w:hanging="153"/>
                              <w:rPr>
                                <w:b/>
                                <w:sz w:val="20"/>
                              </w:rPr>
                            </w:pPr>
                            <w:r>
                              <w:rPr>
                                <w:sz w:val="20"/>
                              </w:rPr>
                              <w:t>Self-</w:t>
                            </w:r>
                            <w:r w:rsidRPr="00326FEE">
                              <w:rPr>
                                <w:sz w:val="20"/>
                              </w:rPr>
                              <w:t>esteem</w:t>
                            </w:r>
                          </w:p>
                          <w:p w14:paraId="249ED7B1" w14:textId="77777777" w:rsidR="00DA357C" w:rsidRPr="00326FEE" w:rsidRDefault="00DA357C" w:rsidP="00DA357C">
                            <w:pPr>
                              <w:pStyle w:val="ListParagraph"/>
                              <w:numPr>
                                <w:ilvl w:val="0"/>
                                <w:numId w:val="9"/>
                              </w:numPr>
                              <w:ind w:left="142" w:hanging="153"/>
                              <w:rPr>
                                <w:b/>
                                <w:sz w:val="20"/>
                              </w:rPr>
                            </w:pPr>
                            <w:r>
                              <w:rPr>
                                <w:sz w:val="20"/>
                              </w:rPr>
                              <w:t>Self-</w:t>
                            </w:r>
                            <w:r w:rsidRPr="00326FEE">
                              <w:rPr>
                                <w:sz w:val="20"/>
                              </w:rPr>
                              <w:t>efficacy</w:t>
                            </w:r>
                          </w:p>
                          <w:p w14:paraId="7CC56389" w14:textId="77777777" w:rsidR="00DA357C" w:rsidRPr="00326FEE" w:rsidRDefault="00DA357C" w:rsidP="00DA357C">
                            <w:pPr>
                              <w:pStyle w:val="ListParagraph"/>
                              <w:numPr>
                                <w:ilvl w:val="0"/>
                                <w:numId w:val="9"/>
                              </w:numPr>
                              <w:ind w:left="142" w:hanging="153"/>
                              <w:rPr>
                                <w:b/>
                                <w:sz w:val="20"/>
                              </w:rPr>
                            </w:pPr>
                            <w:r w:rsidRPr="00326FEE">
                              <w:rPr>
                                <w:sz w:val="20"/>
                              </w:rPr>
                              <w:t>Internal locus of control</w:t>
                            </w:r>
                          </w:p>
                          <w:p w14:paraId="3B886E7D" w14:textId="77777777" w:rsidR="00DA357C" w:rsidRPr="00326FEE" w:rsidRDefault="00DA357C" w:rsidP="00DA357C">
                            <w:pPr>
                              <w:pStyle w:val="ListParagraph"/>
                              <w:numPr>
                                <w:ilvl w:val="0"/>
                                <w:numId w:val="9"/>
                              </w:numPr>
                              <w:ind w:left="142" w:hanging="153"/>
                              <w:rPr>
                                <w:b/>
                                <w:sz w:val="20"/>
                              </w:rPr>
                            </w:pPr>
                            <w:r w:rsidRPr="00326FEE">
                              <w:rPr>
                                <w:sz w:val="20"/>
                              </w:rPr>
                              <w:t>Gender attitudes</w:t>
                            </w:r>
                          </w:p>
                          <w:p w14:paraId="7C0384A7" w14:textId="77777777" w:rsidR="00DA357C" w:rsidRPr="00326FEE" w:rsidRDefault="00DA357C" w:rsidP="00DA357C">
                            <w:pPr>
                              <w:pStyle w:val="ListParagraph"/>
                              <w:numPr>
                                <w:ilvl w:val="0"/>
                                <w:numId w:val="9"/>
                              </w:numPr>
                              <w:ind w:left="142" w:hanging="153"/>
                              <w:rPr>
                                <w:b/>
                                <w:i/>
                                <w:sz w:val="20"/>
                              </w:rPr>
                            </w:pPr>
                            <w:r>
                              <w:rPr>
                                <w:i/>
                                <w:sz w:val="20"/>
                              </w:rPr>
                              <w:t>Self confidence</w:t>
                            </w:r>
                          </w:p>
                          <w:p w14:paraId="2E04F34E" w14:textId="77777777" w:rsidR="00DA357C" w:rsidRPr="00326FEE" w:rsidRDefault="00DA357C" w:rsidP="00DA357C">
                            <w:pPr>
                              <w:pStyle w:val="ListParagraph"/>
                              <w:numPr>
                                <w:ilvl w:val="0"/>
                                <w:numId w:val="9"/>
                              </w:numPr>
                              <w:ind w:left="142" w:hanging="153"/>
                              <w:rPr>
                                <w:b/>
                                <w:i/>
                                <w:sz w:val="20"/>
                              </w:rPr>
                            </w:pPr>
                            <w:r w:rsidRPr="00326FEE">
                              <w:rPr>
                                <w:i/>
                                <w:sz w:val="20"/>
                              </w:rPr>
                              <w:t>Independence</w:t>
                            </w:r>
                          </w:p>
                          <w:p w14:paraId="0EF6BBE6" w14:textId="77777777" w:rsidR="00DA357C" w:rsidRPr="00326FEE" w:rsidRDefault="00DA357C" w:rsidP="00DA357C">
                            <w:pPr>
                              <w:pStyle w:val="ListParagraph"/>
                              <w:numPr>
                                <w:ilvl w:val="0"/>
                                <w:numId w:val="9"/>
                              </w:numPr>
                              <w:ind w:left="142" w:hanging="153"/>
                              <w:rPr>
                                <w:b/>
                                <w:sz w:val="20"/>
                              </w:rPr>
                            </w:pPr>
                            <w:r>
                              <w:rPr>
                                <w:sz w:val="20"/>
                              </w:rPr>
                              <w:t xml:space="preserve">Social relationships and leadership </w:t>
                            </w:r>
                          </w:p>
                          <w:p w14:paraId="2A9321C0" w14:textId="77777777" w:rsidR="00DA357C" w:rsidRPr="00326FEE" w:rsidRDefault="00DA357C" w:rsidP="00DA357C">
                            <w:pPr>
                              <w:pStyle w:val="ListParagraph"/>
                              <w:numPr>
                                <w:ilvl w:val="0"/>
                                <w:numId w:val="9"/>
                              </w:numPr>
                              <w:ind w:left="142" w:hanging="153"/>
                              <w:rPr>
                                <w:b/>
                                <w:sz w:val="20"/>
                              </w:rPr>
                            </w:pPr>
                            <w:r>
                              <w:rPr>
                                <w:sz w:val="20"/>
                              </w:rPr>
                              <w:t xml:space="preserve">Ideal and expected </w:t>
                            </w:r>
                            <w:r w:rsidRPr="00326FEE">
                              <w:rPr>
                                <w:sz w:val="20"/>
                              </w:rPr>
                              <w:t>marriage age</w:t>
                            </w:r>
                          </w:p>
                          <w:p w14:paraId="69828941" w14:textId="77777777" w:rsidR="00DA357C" w:rsidRDefault="00DA357C" w:rsidP="00DA357C">
                            <w:pPr>
                              <w:pStyle w:val="ListParagraph"/>
                              <w:numPr>
                                <w:ilvl w:val="0"/>
                                <w:numId w:val="9"/>
                              </w:numPr>
                              <w:autoSpaceDE w:val="0"/>
                              <w:autoSpaceDN w:val="0"/>
                              <w:adjustRightInd w:val="0"/>
                              <w:ind w:left="142" w:hanging="153"/>
                              <w:rPr>
                                <w:sz w:val="20"/>
                              </w:rPr>
                            </w:pPr>
                            <w:r>
                              <w:rPr>
                                <w:sz w:val="20"/>
                              </w:rPr>
                              <w:t xml:space="preserve">Ideal and expected </w:t>
                            </w:r>
                            <w:r w:rsidRPr="00326FEE">
                              <w:rPr>
                                <w:sz w:val="20"/>
                              </w:rPr>
                              <w:t>age for</w:t>
                            </w:r>
                            <w:r>
                              <w:rPr>
                                <w:sz w:val="20"/>
                              </w:rPr>
                              <w:t xml:space="preserve"> having</w:t>
                            </w:r>
                            <w:r w:rsidRPr="00326FEE">
                              <w:rPr>
                                <w:sz w:val="20"/>
                              </w:rPr>
                              <w:t xml:space="preserve"> first child</w:t>
                            </w:r>
                          </w:p>
                          <w:p w14:paraId="4FD87FE5" w14:textId="77777777" w:rsidR="00DA357C" w:rsidRPr="00326FEE" w:rsidRDefault="00DA357C" w:rsidP="00DA357C">
                            <w:pPr>
                              <w:pStyle w:val="ListParagraph"/>
                              <w:numPr>
                                <w:ilvl w:val="0"/>
                                <w:numId w:val="9"/>
                              </w:numPr>
                              <w:ind w:left="142" w:hanging="153"/>
                              <w:rPr>
                                <w:b/>
                                <w:sz w:val="20"/>
                              </w:rPr>
                            </w:pPr>
                            <w:r>
                              <w:rPr>
                                <w:sz w:val="20"/>
                              </w:rPr>
                              <w:t>Other possible: school r</w:t>
                            </w:r>
                            <w:r w:rsidRPr="00326FEE">
                              <w:rPr>
                                <w:sz w:val="20"/>
                              </w:rPr>
                              <w:t>etention</w:t>
                            </w:r>
                          </w:p>
                          <w:p w14:paraId="3FAF42A4" w14:textId="77777777" w:rsidR="00DA357C" w:rsidRPr="00703AC7" w:rsidRDefault="00DA357C" w:rsidP="00DA357C">
                            <w:pPr>
                              <w:pStyle w:val="ListParagraph"/>
                              <w:ind w:left="142"/>
                              <w:rPr>
                                <w:b/>
                                <w:sz w:val="20"/>
                              </w:rPr>
                            </w:pPr>
                            <w:r>
                              <w:rPr>
                                <w:sz w:val="20"/>
                              </w:rPr>
                              <w:t>or a</w:t>
                            </w:r>
                            <w:r w:rsidRPr="00326FEE">
                              <w:rPr>
                                <w:sz w:val="20"/>
                              </w:rPr>
                              <w:t>bsenteeism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863DB" id="_x0000_t202" coordsize="21600,21600" o:spt="202" path="m,l,21600r21600,l21600,xe">
                <v:stroke joinstyle="miter"/>
                <v:path gradientshapeok="t" o:connecttype="rect"/>
              </v:shapetype>
              <v:shape id="Text Box 1" o:spid="_x0000_s1026" type="#_x0000_t202" style="position:absolute;margin-left:378.75pt;margin-top:5.45pt;width:152.25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zWMwIAAGMEAAAOAAAAZHJzL2Uyb0RvYy54bWysVEtv2zAMvg/YfxB0X+w8uxpxiixFhgFB&#10;WyAdelZkKTYmi5qkxM5+/SjZeaD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" filled="f" strokeweight=".5pt">
                <v:textbox>
                  <w:txbxContent>
                    <w:p w14:paraId="463C3424" w14:textId="77777777" w:rsidR="00DA357C" w:rsidRPr="00326FEE" w:rsidRDefault="00DA357C" w:rsidP="00DA357C">
                      <w:pPr>
                        <w:rPr>
                          <w:b/>
                          <w:sz w:val="20"/>
                        </w:rPr>
                      </w:pPr>
                      <w:r w:rsidRPr="00326FEE">
                        <w:rPr>
                          <w:b/>
                          <w:sz w:val="20"/>
                        </w:rPr>
                        <w:t>Outcome measures</w:t>
                      </w:r>
                    </w:p>
                    <w:p w14:paraId="0EA9337B" w14:textId="77777777" w:rsidR="00DA357C" w:rsidRPr="00326FEE" w:rsidRDefault="00DA357C" w:rsidP="00DA357C">
                      <w:pPr>
                        <w:pStyle w:val="ListParagraph"/>
                        <w:numPr>
                          <w:ilvl w:val="0"/>
                          <w:numId w:val="9"/>
                        </w:numPr>
                        <w:ind w:left="142" w:hanging="153"/>
                        <w:rPr>
                          <w:b/>
                          <w:sz w:val="20"/>
                        </w:rPr>
                      </w:pPr>
                      <w:r w:rsidRPr="00326FEE">
                        <w:rPr>
                          <w:sz w:val="20"/>
                        </w:rPr>
                        <w:t>Knowledge</w:t>
                      </w:r>
                      <w:r>
                        <w:rPr>
                          <w:sz w:val="20"/>
                        </w:rPr>
                        <w:t xml:space="preserve"> of:</w:t>
                      </w:r>
                    </w:p>
                    <w:p w14:paraId="0C28A677" w14:textId="77777777" w:rsidR="00DA357C" w:rsidRDefault="00DA357C" w:rsidP="00DA357C">
                      <w:pPr>
                        <w:pStyle w:val="ListParagraph"/>
                        <w:ind w:left="142"/>
                        <w:rPr>
                          <w:i/>
                          <w:sz w:val="20"/>
                        </w:rPr>
                      </w:pPr>
                      <w:r>
                        <w:rPr>
                          <w:i/>
                          <w:sz w:val="20"/>
                        </w:rPr>
                        <w:t>-nutrition</w:t>
                      </w:r>
                    </w:p>
                    <w:p w14:paraId="0E86E03A" w14:textId="77777777" w:rsidR="00DA357C" w:rsidRPr="00326FEE" w:rsidRDefault="00DA357C" w:rsidP="00DA357C">
                      <w:pPr>
                        <w:pStyle w:val="ListParagraph"/>
                        <w:ind w:left="142"/>
                        <w:rPr>
                          <w:b/>
                          <w:i/>
                          <w:sz w:val="20"/>
                        </w:rPr>
                      </w:pPr>
                      <w:r w:rsidRPr="00326FEE">
                        <w:rPr>
                          <w:i/>
                          <w:sz w:val="20"/>
                        </w:rPr>
                        <w:t>-reproductive health</w:t>
                      </w:r>
                    </w:p>
                    <w:p w14:paraId="6754BF00" w14:textId="77777777" w:rsidR="00DA357C" w:rsidRDefault="00DA357C" w:rsidP="00DA357C">
                      <w:pPr>
                        <w:pStyle w:val="ListParagraph"/>
                        <w:ind w:left="142"/>
                        <w:rPr>
                          <w:i/>
                          <w:sz w:val="20"/>
                        </w:rPr>
                      </w:pPr>
                      <w:r w:rsidRPr="00326FEE">
                        <w:rPr>
                          <w:i/>
                          <w:sz w:val="20"/>
                        </w:rPr>
                        <w:t>-family planning</w:t>
                      </w:r>
                    </w:p>
                    <w:p w14:paraId="39304A1A" w14:textId="77777777" w:rsidR="00DA357C" w:rsidRPr="00326FEE" w:rsidRDefault="00DA357C" w:rsidP="00DA357C">
                      <w:pPr>
                        <w:pStyle w:val="ListParagraph"/>
                        <w:ind w:left="142"/>
                        <w:rPr>
                          <w:b/>
                          <w:i/>
                          <w:sz w:val="20"/>
                        </w:rPr>
                      </w:pPr>
                      <w:r>
                        <w:rPr>
                          <w:i/>
                          <w:sz w:val="20"/>
                        </w:rPr>
                        <w:t xml:space="preserve">-HIV/AIDS </w:t>
                      </w:r>
                    </w:p>
                    <w:p w14:paraId="0C979EE4" w14:textId="77777777" w:rsidR="00DA357C" w:rsidRPr="00326FEE" w:rsidRDefault="00DA357C" w:rsidP="00DA357C">
                      <w:pPr>
                        <w:pStyle w:val="ListParagraph"/>
                        <w:ind w:left="142"/>
                        <w:rPr>
                          <w:b/>
                          <w:i/>
                          <w:sz w:val="20"/>
                        </w:rPr>
                      </w:pPr>
                      <w:r w:rsidRPr="00326FEE">
                        <w:rPr>
                          <w:i/>
                          <w:sz w:val="20"/>
                        </w:rPr>
                        <w:t>-savings attitudes</w:t>
                      </w:r>
                    </w:p>
                    <w:p w14:paraId="2FB74355" w14:textId="77777777" w:rsidR="00DA357C" w:rsidRPr="00326FEE" w:rsidRDefault="00DA357C" w:rsidP="00DA357C">
                      <w:pPr>
                        <w:pStyle w:val="ListParagraph"/>
                        <w:numPr>
                          <w:ilvl w:val="0"/>
                          <w:numId w:val="9"/>
                        </w:numPr>
                        <w:ind w:left="142" w:hanging="153"/>
                        <w:rPr>
                          <w:b/>
                          <w:sz w:val="20"/>
                        </w:rPr>
                      </w:pPr>
                      <w:r>
                        <w:rPr>
                          <w:sz w:val="20"/>
                        </w:rPr>
                        <w:t>Self-</w:t>
                      </w:r>
                      <w:r w:rsidRPr="00326FEE">
                        <w:rPr>
                          <w:sz w:val="20"/>
                        </w:rPr>
                        <w:t>esteem</w:t>
                      </w:r>
                    </w:p>
                    <w:p w14:paraId="249ED7B1" w14:textId="77777777" w:rsidR="00DA357C" w:rsidRPr="00326FEE" w:rsidRDefault="00DA357C" w:rsidP="00DA357C">
                      <w:pPr>
                        <w:pStyle w:val="ListParagraph"/>
                        <w:numPr>
                          <w:ilvl w:val="0"/>
                          <w:numId w:val="9"/>
                        </w:numPr>
                        <w:ind w:left="142" w:hanging="153"/>
                        <w:rPr>
                          <w:b/>
                          <w:sz w:val="20"/>
                        </w:rPr>
                      </w:pPr>
                      <w:r>
                        <w:rPr>
                          <w:sz w:val="20"/>
                        </w:rPr>
                        <w:t>Self-</w:t>
                      </w:r>
                      <w:r w:rsidRPr="00326FEE">
                        <w:rPr>
                          <w:sz w:val="20"/>
                        </w:rPr>
                        <w:t>efficacy</w:t>
                      </w:r>
                    </w:p>
                    <w:p w14:paraId="7CC56389" w14:textId="77777777" w:rsidR="00DA357C" w:rsidRPr="00326FEE" w:rsidRDefault="00DA357C" w:rsidP="00DA357C">
                      <w:pPr>
                        <w:pStyle w:val="ListParagraph"/>
                        <w:numPr>
                          <w:ilvl w:val="0"/>
                          <w:numId w:val="9"/>
                        </w:numPr>
                        <w:ind w:left="142" w:hanging="153"/>
                        <w:rPr>
                          <w:b/>
                          <w:sz w:val="20"/>
                        </w:rPr>
                      </w:pPr>
                      <w:r w:rsidRPr="00326FEE">
                        <w:rPr>
                          <w:sz w:val="20"/>
                        </w:rPr>
                        <w:t>Internal locus of control</w:t>
                      </w:r>
                    </w:p>
                    <w:p w14:paraId="3B886E7D" w14:textId="77777777" w:rsidR="00DA357C" w:rsidRPr="00326FEE" w:rsidRDefault="00DA357C" w:rsidP="00DA357C">
                      <w:pPr>
                        <w:pStyle w:val="ListParagraph"/>
                        <w:numPr>
                          <w:ilvl w:val="0"/>
                          <w:numId w:val="9"/>
                        </w:numPr>
                        <w:ind w:left="142" w:hanging="153"/>
                        <w:rPr>
                          <w:b/>
                          <w:sz w:val="20"/>
                        </w:rPr>
                      </w:pPr>
                      <w:r w:rsidRPr="00326FEE">
                        <w:rPr>
                          <w:sz w:val="20"/>
                        </w:rPr>
                        <w:t>Gender attitudes</w:t>
                      </w:r>
                    </w:p>
                    <w:p w14:paraId="7C0384A7" w14:textId="77777777" w:rsidR="00DA357C" w:rsidRPr="00326FEE" w:rsidRDefault="00DA357C" w:rsidP="00DA357C">
                      <w:pPr>
                        <w:pStyle w:val="ListParagraph"/>
                        <w:numPr>
                          <w:ilvl w:val="0"/>
                          <w:numId w:val="9"/>
                        </w:numPr>
                        <w:ind w:left="142" w:hanging="153"/>
                        <w:rPr>
                          <w:b/>
                          <w:i/>
                          <w:sz w:val="20"/>
                        </w:rPr>
                      </w:pPr>
                      <w:r>
                        <w:rPr>
                          <w:i/>
                          <w:sz w:val="20"/>
                        </w:rPr>
                        <w:t>Self confidence</w:t>
                      </w:r>
                    </w:p>
                    <w:p w14:paraId="2E04F34E" w14:textId="77777777" w:rsidR="00DA357C" w:rsidRPr="00326FEE" w:rsidRDefault="00DA357C" w:rsidP="00DA357C">
                      <w:pPr>
                        <w:pStyle w:val="ListParagraph"/>
                        <w:numPr>
                          <w:ilvl w:val="0"/>
                          <w:numId w:val="9"/>
                        </w:numPr>
                        <w:ind w:left="142" w:hanging="153"/>
                        <w:rPr>
                          <w:b/>
                          <w:i/>
                          <w:sz w:val="20"/>
                        </w:rPr>
                      </w:pPr>
                      <w:r w:rsidRPr="00326FEE">
                        <w:rPr>
                          <w:i/>
                          <w:sz w:val="20"/>
                        </w:rPr>
                        <w:t>Independence</w:t>
                      </w:r>
                    </w:p>
                    <w:p w14:paraId="0EF6BBE6" w14:textId="77777777" w:rsidR="00DA357C" w:rsidRPr="00326FEE" w:rsidRDefault="00DA357C" w:rsidP="00DA357C">
                      <w:pPr>
                        <w:pStyle w:val="ListParagraph"/>
                        <w:numPr>
                          <w:ilvl w:val="0"/>
                          <w:numId w:val="9"/>
                        </w:numPr>
                        <w:ind w:left="142" w:hanging="153"/>
                        <w:rPr>
                          <w:b/>
                          <w:sz w:val="20"/>
                        </w:rPr>
                      </w:pPr>
                      <w:r>
                        <w:rPr>
                          <w:sz w:val="20"/>
                        </w:rPr>
                        <w:t xml:space="preserve">Social relationships and leadership </w:t>
                      </w:r>
                    </w:p>
                    <w:p w14:paraId="2A9321C0" w14:textId="77777777" w:rsidR="00DA357C" w:rsidRPr="00326FEE" w:rsidRDefault="00DA357C" w:rsidP="00DA357C">
                      <w:pPr>
                        <w:pStyle w:val="ListParagraph"/>
                        <w:numPr>
                          <w:ilvl w:val="0"/>
                          <w:numId w:val="9"/>
                        </w:numPr>
                        <w:ind w:left="142" w:hanging="153"/>
                        <w:rPr>
                          <w:b/>
                          <w:sz w:val="20"/>
                        </w:rPr>
                      </w:pPr>
                      <w:r>
                        <w:rPr>
                          <w:sz w:val="20"/>
                        </w:rPr>
                        <w:t xml:space="preserve">Ideal and expected </w:t>
                      </w:r>
                      <w:r w:rsidRPr="00326FEE">
                        <w:rPr>
                          <w:sz w:val="20"/>
                        </w:rPr>
                        <w:t>marriage age</w:t>
                      </w:r>
                    </w:p>
                    <w:p w14:paraId="69828941" w14:textId="77777777" w:rsidR="00DA357C" w:rsidRDefault="00DA357C" w:rsidP="00DA357C">
                      <w:pPr>
                        <w:pStyle w:val="ListParagraph"/>
                        <w:numPr>
                          <w:ilvl w:val="0"/>
                          <w:numId w:val="9"/>
                        </w:numPr>
                        <w:autoSpaceDE w:val="0"/>
                        <w:autoSpaceDN w:val="0"/>
                        <w:adjustRightInd w:val="0"/>
                        <w:ind w:left="142" w:hanging="153"/>
                        <w:rPr>
                          <w:sz w:val="20"/>
                        </w:rPr>
                      </w:pPr>
                      <w:r>
                        <w:rPr>
                          <w:sz w:val="20"/>
                        </w:rPr>
                        <w:t xml:space="preserve">Ideal and expected </w:t>
                      </w:r>
                      <w:r w:rsidRPr="00326FEE">
                        <w:rPr>
                          <w:sz w:val="20"/>
                        </w:rPr>
                        <w:t>age for</w:t>
                      </w:r>
                      <w:r>
                        <w:rPr>
                          <w:sz w:val="20"/>
                        </w:rPr>
                        <w:t xml:space="preserve"> having</w:t>
                      </w:r>
                      <w:r w:rsidRPr="00326FEE">
                        <w:rPr>
                          <w:sz w:val="20"/>
                        </w:rPr>
                        <w:t xml:space="preserve"> first child</w:t>
                      </w:r>
                    </w:p>
                    <w:p w14:paraId="4FD87FE5" w14:textId="77777777" w:rsidR="00DA357C" w:rsidRPr="00326FEE" w:rsidRDefault="00DA357C" w:rsidP="00DA357C">
                      <w:pPr>
                        <w:pStyle w:val="ListParagraph"/>
                        <w:numPr>
                          <w:ilvl w:val="0"/>
                          <w:numId w:val="9"/>
                        </w:numPr>
                        <w:ind w:left="142" w:hanging="153"/>
                        <w:rPr>
                          <w:b/>
                          <w:sz w:val="20"/>
                        </w:rPr>
                      </w:pPr>
                      <w:r>
                        <w:rPr>
                          <w:sz w:val="20"/>
                        </w:rPr>
                        <w:t>Other possible: school r</w:t>
                      </w:r>
                      <w:r w:rsidRPr="00326FEE">
                        <w:rPr>
                          <w:sz w:val="20"/>
                        </w:rPr>
                        <w:t>etention</w:t>
                      </w:r>
                    </w:p>
                    <w:p w14:paraId="3FAF42A4" w14:textId="77777777" w:rsidR="00DA357C" w:rsidRPr="00703AC7" w:rsidRDefault="00DA357C" w:rsidP="00DA357C">
                      <w:pPr>
                        <w:pStyle w:val="ListParagraph"/>
                        <w:ind w:left="142"/>
                        <w:rPr>
                          <w:b/>
                          <w:sz w:val="20"/>
                        </w:rPr>
                      </w:pPr>
                      <w:r>
                        <w:rPr>
                          <w:sz w:val="20"/>
                        </w:rPr>
                        <w:t>or a</w:t>
                      </w:r>
                      <w:r w:rsidRPr="00326FEE">
                        <w:rPr>
                          <w:sz w:val="20"/>
                        </w:rPr>
                        <w:t>bsenteeism</w:t>
                      </w:r>
                    </w:p>
                  </w:txbxContent>
                </v:textbox>
                <w10:wrap type="square"/>
              </v:shape>
            </w:pict>
          </mc:Fallback>
        </mc:AlternateContent>
      </w:r>
      <w:r w:rsidRPr="00F953E5">
        <w:rPr>
          <w:b/>
          <w:sz w:val="20"/>
          <w:szCs w:val="20"/>
        </w:rPr>
        <w:t>Study design and sampling</w:t>
      </w:r>
      <w:r w:rsidRPr="00F953E5">
        <w:rPr>
          <w:sz w:val="20"/>
          <w:szCs w:val="20"/>
        </w:rPr>
        <w:t xml:space="preserve"> This impact evaluation was a cluster randomized controlled trial, with both intervention and control groups assessed before and after the intervention (</w:t>
      </w:r>
      <w:proofErr w:type="spellStart"/>
      <w:r w:rsidRPr="00F953E5">
        <w:rPr>
          <w:sz w:val="20"/>
          <w:szCs w:val="20"/>
        </w:rPr>
        <w:t>ie</w:t>
      </w:r>
      <w:proofErr w:type="spellEnd"/>
      <w:r w:rsidRPr="00F953E5">
        <w:rPr>
          <w:sz w:val="20"/>
          <w:szCs w:val="20"/>
        </w:rPr>
        <w:t>. pretest-</w:t>
      </w:r>
      <w:proofErr w:type="spellStart"/>
      <w:r w:rsidRPr="00F953E5">
        <w:rPr>
          <w:sz w:val="20"/>
          <w:szCs w:val="20"/>
        </w:rPr>
        <w:t>postest</w:t>
      </w:r>
      <w:proofErr w:type="spellEnd"/>
      <w:r w:rsidRPr="00F953E5">
        <w:rPr>
          <w:sz w:val="20"/>
          <w:szCs w:val="20"/>
        </w:rPr>
        <w:t xml:space="preserve"> control group design). The study design plan included 30 schools in each group, and a target sample size of 650 for each group. The target sample size was powered at 80% to detect a 10% change in the proportion of girls with the outcomes of interest post intervention, with the assumption of a design effect of 2. Including a 5% contingency to account for potential human error or low response rate resulted in an increased sample of 690 girls per group. Sample size calculation details are available in  </w:t>
      </w:r>
    </w:p>
    <w:p w14:paraId="3C585B24" w14:textId="77777777" w:rsidR="00DA357C" w:rsidRPr="00F953E5" w:rsidRDefault="00DA357C" w:rsidP="00DA357C">
      <w:pPr>
        <w:pStyle w:val="Body"/>
        <w:rPr>
          <w:sz w:val="20"/>
          <w:szCs w:val="20"/>
        </w:rPr>
      </w:pPr>
    </w:p>
    <w:p w14:paraId="24AD58A2" w14:textId="77777777" w:rsidR="00DA357C" w:rsidRPr="00F953E5" w:rsidRDefault="00DA357C" w:rsidP="00DA357C">
      <w:pPr>
        <w:rPr>
          <w:rFonts w:ascii="CCIGKB+TimesNewRoman,Bold" w:hAnsi="CCIGKB+TimesNewRoman,Bold" w:cs="CCIGKB+TimesNewRoman,Bold"/>
          <w:b/>
          <w:bCs/>
          <w:color w:val="000000"/>
          <w:sz w:val="20"/>
        </w:rPr>
      </w:pPr>
      <w:r w:rsidRPr="00F953E5">
        <w:rPr>
          <w:rFonts w:cs="Times New Roman"/>
          <w:b/>
          <w:sz w:val="20"/>
        </w:rPr>
        <w:t xml:space="preserve">Sources for questions and variables </w:t>
      </w:r>
      <w:r w:rsidRPr="00F953E5">
        <w:rPr>
          <w:rFonts w:cs="Times New Roman"/>
          <w:sz w:val="20"/>
        </w:rPr>
        <w:t xml:space="preserve">While the ultimate impact the Mercy Corps team wanted the </w:t>
      </w:r>
      <w:proofErr w:type="spellStart"/>
      <w:r w:rsidRPr="00F953E5">
        <w:rPr>
          <w:rFonts w:cs="Times New Roman"/>
          <w:sz w:val="20"/>
        </w:rPr>
        <w:t>Aflateen</w:t>
      </w:r>
      <w:proofErr w:type="spellEnd"/>
      <w:r w:rsidRPr="00F953E5">
        <w:rPr>
          <w:rFonts w:cs="Times New Roman"/>
          <w:sz w:val="20"/>
        </w:rPr>
        <w:t xml:space="preserve">+ evaluation to focus on is early marriage and early pregnancy, there are a number of mediating variables (also called intermediate outcomes) that they believed would lead to this impact (please refer to Figure 1). The </w:t>
      </w:r>
      <w:proofErr w:type="spellStart"/>
      <w:r w:rsidRPr="00F953E5">
        <w:rPr>
          <w:rFonts w:cs="Times New Roman"/>
          <w:sz w:val="20"/>
        </w:rPr>
        <w:t>Aflateen</w:t>
      </w:r>
      <w:proofErr w:type="spellEnd"/>
      <w:r w:rsidRPr="00F953E5">
        <w:rPr>
          <w:rFonts w:cs="Times New Roman"/>
          <w:sz w:val="20"/>
        </w:rPr>
        <w:t xml:space="preserve">+ team hypothesized that adolescent girls participating in the </w:t>
      </w:r>
      <w:proofErr w:type="spellStart"/>
      <w:r w:rsidRPr="00F953E5">
        <w:rPr>
          <w:rFonts w:cs="Times New Roman"/>
          <w:sz w:val="20"/>
        </w:rPr>
        <w:t>Aflateen</w:t>
      </w:r>
      <w:proofErr w:type="spellEnd"/>
      <w:r w:rsidRPr="00F953E5">
        <w:rPr>
          <w:rFonts w:cs="Times New Roman"/>
          <w:sz w:val="20"/>
        </w:rPr>
        <w:t>+ programme would experience increased self-esteem, self-efficacy, self-confidence, internal locus of control, and independence, as well as strengthened social networks and gender attitudes supporting women. The evaluation used established and validated psychological scales to measure the intermediate outcomes of self-esteem, self-efficacy, and locus of control (</w:t>
      </w:r>
      <w:proofErr w:type="spellStart"/>
      <w:r w:rsidRPr="00F953E5">
        <w:rPr>
          <w:rFonts w:cs="Times New Roman"/>
          <w:sz w:val="20"/>
        </w:rPr>
        <w:t>ie</w:t>
      </w:r>
      <w:proofErr w:type="spellEnd"/>
      <w:r w:rsidRPr="00F953E5">
        <w:rPr>
          <w:rFonts w:cs="Times New Roman"/>
          <w:sz w:val="20"/>
        </w:rPr>
        <w:t xml:space="preserve">. Rosenberg’s Self-Esteem Scale, </w:t>
      </w:r>
      <w:r w:rsidRPr="00F953E5">
        <w:rPr>
          <w:rFonts w:cs="Times New Roman"/>
          <w:color w:val="000000"/>
          <w:sz w:val="20"/>
          <w:shd w:val="clear" w:color="auto" w:fill="FFFFFF"/>
        </w:rPr>
        <w:t>Schwarzer and Jerusalem’s 1995</w:t>
      </w:r>
      <w:r w:rsidRPr="00F953E5">
        <w:rPr>
          <w:rFonts w:cs="Times New Roman"/>
          <w:sz w:val="20"/>
        </w:rPr>
        <w:t xml:space="preserve"> Generalized Self Efficacy scale,</w:t>
      </w:r>
      <w:r w:rsidRPr="00F953E5">
        <w:rPr>
          <w:rStyle w:val="EndnoteReference"/>
          <w:rFonts w:cs="Times New Roman"/>
          <w:sz w:val="20"/>
        </w:rPr>
        <w:endnoteReference w:id="1"/>
      </w:r>
      <w:r w:rsidRPr="00F953E5">
        <w:rPr>
          <w:rFonts w:cs="Times New Roman"/>
          <w:sz w:val="20"/>
        </w:rPr>
        <w:t xml:space="preserve"> Levenson’s Multidimensional Locus of Control Scale). The questions used in constructing these three scales are available in the appendices (</w:t>
      </w:r>
      <w:r w:rsidRPr="00F953E5">
        <w:rPr>
          <w:rFonts w:cs="Times New Roman"/>
          <w:sz w:val="20"/>
        </w:rPr>
        <w:fldChar w:fldCharType="begin"/>
      </w:r>
      <w:r w:rsidRPr="00F953E5">
        <w:rPr>
          <w:rFonts w:cs="Times New Roman"/>
          <w:sz w:val="20"/>
        </w:rPr>
        <w:instrText xml:space="preserve"> REF _Ref356572095 \h  \* MERGEFORMAT </w:instrText>
      </w:r>
      <w:r w:rsidRPr="00F953E5">
        <w:rPr>
          <w:rFonts w:cs="Times New Roman"/>
          <w:sz w:val="20"/>
        </w:rPr>
      </w:r>
      <w:r w:rsidRPr="00F953E5">
        <w:rPr>
          <w:rFonts w:cs="Times New Roman"/>
          <w:sz w:val="20"/>
        </w:rPr>
        <w:fldChar w:fldCharType="separate"/>
      </w:r>
      <w:r w:rsidRPr="00F953E5">
        <w:rPr>
          <w:sz w:val="20"/>
        </w:rPr>
        <w:t xml:space="preserve">Appendix </w:t>
      </w:r>
      <w:r w:rsidRPr="00F953E5">
        <w:rPr>
          <w:noProof/>
          <w:sz w:val="20"/>
        </w:rPr>
        <w:t>2</w:t>
      </w:r>
      <w:r w:rsidRPr="00F953E5">
        <w:rPr>
          <w:sz w:val="20"/>
        </w:rPr>
        <w:t xml:space="preserve"> </w:t>
      </w:r>
      <w:r w:rsidRPr="00F953E5">
        <w:rPr>
          <w:rFonts w:ascii="CCIGKB+TimesNewRoman,Bold" w:hAnsi="CCIGKB+TimesNewRoman,Bold" w:cs="CCIGKB+TimesNewRoman,Bold"/>
          <w:b/>
          <w:bCs/>
          <w:color w:val="000000"/>
          <w:sz w:val="20"/>
        </w:rPr>
        <w:t xml:space="preserve">Rosenberg Self-Esteem Scale </w:t>
      </w:r>
    </w:p>
    <w:p w14:paraId="292E0F8D" w14:textId="77777777" w:rsidR="00DA357C" w:rsidRPr="00F953E5" w:rsidRDefault="00DA357C" w:rsidP="00DA357C">
      <w:pPr>
        <w:rPr>
          <w:rFonts w:cs="Times New Roman"/>
          <w:sz w:val="20"/>
        </w:rPr>
      </w:pPr>
      <w:r w:rsidRPr="00F953E5">
        <w:rPr>
          <w:rFonts w:cs="Times New Roman"/>
          <w:sz w:val="20"/>
        </w:rPr>
        <w:fldChar w:fldCharType="end"/>
      </w:r>
      <w:r w:rsidRPr="00F953E5">
        <w:rPr>
          <w:rFonts w:cs="Times New Roman"/>
          <w:sz w:val="20"/>
        </w:rPr>
        <w:fldChar w:fldCharType="begin"/>
      </w:r>
      <w:r w:rsidRPr="00F953E5">
        <w:rPr>
          <w:rFonts w:cs="Times New Roman"/>
          <w:sz w:val="20"/>
        </w:rPr>
        <w:instrText xml:space="preserve"> REF _Ref356572097 \h  \* MERGEFORMAT </w:instrText>
      </w:r>
      <w:r w:rsidRPr="00F953E5">
        <w:rPr>
          <w:rFonts w:cs="Times New Roman"/>
          <w:sz w:val="20"/>
        </w:rPr>
      </w:r>
      <w:r w:rsidRPr="00F953E5">
        <w:rPr>
          <w:rFonts w:cs="Times New Roman"/>
          <w:sz w:val="20"/>
        </w:rPr>
        <w:fldChar w:fldCharType="separate"/>
      </w:r>
      <w:r w:rsidRPr="00F953E5">
        <w:rPr>
          <w:sz w:val="20"/>
        </w:rPr>
        <w:t xml:space="preserve">Appendix </w:t>
      </w:r>
      <w:r w:rsidRPr="00F953E5">
        <w:rPr>
          <w:noProof/>
          <w:sz w:val="20"/>
        </w:rPr>
        <w:t>3</w:t>
      </w:r>
      <w:r w:rsidRPr="00F953E5">
        <w:rPr>
          <w:sz w:val="20"/>
        </w:rPr>
        <w:t xml:space="preserve"> General Self-Efficacy Scale (GSE)</w:t>
      </w:r>
      <w:r w:rsidRPr="00F953E5">
        <w:rPr>
          <w:rFonts w:cs="Times New Roman"/>
          <w:sz w:val="20"/>
        </w:rPr>
        <w:fldChar w:fldCharType="end"/>
      </w:r>
      <w:r w:rsidRPr="00F953E5">
        <w:rPr>
          <w:rFonts w:cs="Times New Roman"/>
          <w:sz w:val="20"/>
        </w:rPr>
        <w:t xml:space="preserve"> </w:t>
      </w:r>
      <w:r w:rsidRPr="00F953E5">
        <w:rPr>
          <w:rFonts w:cs="Times New Roman"/>
          <w:sz w:val="20"/>
        </w:rPr>
        <w:fldChar w:fldCharType="begin"/>
      </w:r>
      <w:r w:rsidRPr="00F953E5">
        <w:rPr>
          <w:rFonts w:cs="Times New Roman"/>
          <w:sz w:val="20"/>
        </w:rPr>
        <w:instrText xml:space="preserve"> REF _Ref356572099 \h  \* MERGEFORMAT </w:instrText>
      </w:r>
      <w:r w:rsidRPr="00F953E5">
        <w:rPr>
          <w:rFonts w:cs="Times New Roman"/>
          <w:sz w:val="20"/>
        </w:rPr>
      </w:r>
      <w:r w:rsidRPr="00F953E5">
        <w:rPr>
          <w:rFonts w:cs="Times New Roman"/>
          <w:sz w:val="20"/>
        </w:rPr>
        <w:fldChar w:fldCharType="separate"/>
      </w:r>
      <w:r w:rsidRPr="00F953E5">
        <w:rPr>
          <w:sz w:val="20"/>
        </w:rPr>
        <w:t xml:space="preserve">Appendix </w:t>
      </w:r>
      <w:r w:rsidRPr="00F953E5">
        <w:rPr>
          <w:noProof/>
          <w:sz w:val="20"/>
        </w:rPr>
        <w:t>4</w:t>
      </w:r>
      <w:r w:rsidRPr="00F953E5">
        <w:rPr>
          <w:sz w:val="20"/>
        </w:rPr>
        <w:t xml:space="preserve"> </w:t>
      </w:r>
      <w:r w:rsidRPr="00F953E5">
        <w:rPr>
          <w:rFonts w:ascii="TimesNewRoman,Bold" w:hAnsi="TimesNewRoman,Bold" w:cs="TimesNewRoman,Bold"/>
          <w:b/>
          <w:bCs/>
          <w:sz w:val="20"/>
        </w:rPr>
        <w:t xml:space="preserve">Levenson Multidimensional Locus </w:t>
      </w:r>
      <w:proofErr w:type="gramStart"/>
      <w:r w:rsidRPr="00F953E5">
        <w:rPr>
          <w:rFonts w:ascii="TimesNewRoman,Bold" w:hAnsi="TimesNewRoman,Bold" w:cs="TimesNewRoman,Bold"/>
          <w:b/>
          <w:bCs/>
          <w:sz w:val="20"/>
        </w:rPr>
        <w:t>Of</w:t>
      </w:r>
      <w:proofErr w:type="gramEnd"/>
      <w:r w:rsidRPr="00F953E5">
        <w:rPr>
          <w:rFonts w:ascii="TimesNewRoman,Bold" w:hAnsi="TimesNewRoman,Bold" w:cs="TimesNewRoman,Bold"/>
          <w:b/>
          <w:bCs/>
          <w:sz w:val="20"/>
        </w:rPr>
        <w:t xml:space="preserve"> Control scale: Internality, Powerful Others, and Chance Scales</w:t>
      </w:r>
      <w:r w:rsidRPr="00F953E5">
        <w:rPr>
          <w:rFonts w:cs="Times New Roman"/>
          <w:sz w:val="20"/>
        </w:rPr>
        <w:fldChar w:fldCharType="end"/>
      </w:r>
      <w:r w:rsidRPr="00F953E5">
        <w:rPr>
          <w:rFonts w:cs="Times New Roman"/>
          <w:sz w:val="20"/>
        </w:rPr>
        <w:t xml:space="preserve">). </w:t>
      </w:r>
    </w:p>
    <w:p w14:paraId="67175FC0" w14:textId="77777777" w:rsidR="00DA357C" w:rsidRPr="00F953E5" w:rsidRDefault="00DA357C" w:rsidP="00DA357C">
      <w:pPr>
        <w:rPr>
          <w:rFonts w:cs="Times New Roman"/>
          <w:sz w:val="20"/>
        </w:rPr>
      </w:pPr>
    </w:p>
    <w:p w14:paraId="06C12630" w14:textId="77777777" w:rsidR="00DA357C" w:rsidRPr="00F953E5" w:rsidRDefault="00DA357C" w:rsidP="00DA357C">
      <w:pPr>
        <w:rPr>
          <w:sz w:val="20"/>
        </w:rPr>
      </w:pPr>
      <w:r w:rsidRPr="00F953E5">
        <w:rPr>
          <w:color w:val="000000"/>
          <w:sz w:val="20"/>
        </w:rPr>
        <w:t xml:space="preserve">Questions regarding participation in income generating activities and saving behaviour were measured using questions from the ICRW </w:t>
      </w:r>
      <w:r w:rsidRPr="00F953E5">
        <w:rPr>
          <w:rFonts w:cs="Times New Roman"/>
          <w:sz w:val="20"/>
        </w:rPr>
        <w:t>TESFA</w:t>
      </w:r>
      <w:r w:rsidRPr="00F953E5">
        <w:rPr>
          <w:rStyle w:val="FootnoteReference"/>
          <w:rFonts w:cs="Times New Roman"/>
          <w:sz w:val="20"/>
        </w:rPr>
        <w:footnoteReference w:id="1"/>
      </w:r>
      <w:r w:rsidRPr="00F953E5">
        <w:rPr>
          <w:rFonts w:cs="Times New Roman"/>
          <w:sz w:val="20"/>
        </w:rPr>
        <w:t xml:space="preserve"> baseline survey</w:t>
      </w:r>
      <w:r w:rsidRPr="00F953E5">
        <w:rPr>
          <w:color w:val="000000"/>
          <w:sz w:val="20"/>
        </w:rPr>
        <w:t xml:space="preserve">, and questions on attitudes toward saving and </w:t>
      </w:r>
      <w:r w:rsidRPr="00F953E5">
        <w:rPr>
          <w:rFonts w:cs="Times New Roman"/>
          <w:sz w:val="20"/>
        </w:rPr>
        <w:t xml:space="preserve">self-confidence </w:t>
      </w:r>
      <w:r w:rsidRPr="00F953E5">
        <w:rPr>
          <w:color w:val="000000"/>
          <w:sz w:val="20"/>
        </w:rPr>
        <w:t xml:space="preserve">were identified from the </w:t>
      </w:r>
      <w:proofErr w:type="spellStart"/>
      <w:r w:rsidRPr="00F953E5">
        <w:rPr>
          <w:color w:val="000000"/>
          <w:sz w:val="20"/>
        </w:rPr>
        <w:t>Aflateen</w:t>
      </w:r>
      <w:proofErr w:type="spellEnd"/>
      <w:r w:rsidRPr="00F953E5">
        <w:rPr>
          <w:color w:val="000000"/>
          <w:sz w:val="20"/>
        </w:rPr>
        <w:t xml:space="preserve"> Survey Version 3 provided by </w:t>
      </w:r>
      <w:proofErr w:type="spellStart"/>
      <w:r w:rsidRPr="00F953E5">
        <w:rPr>
          <w:color w:val="000000"/>
          <w:sz w:val="20"/>
        </w:rPr>
        <w:t>Aflatoun</w:t>
      </w:r>
      <w:proofErr w:type="spellEnd"/>
      <w:r w:rsidRPr="00F953E5">
        <w:rPr>
          <w:color w:val="000000"/>
          <w:sz w:val="20"/>
        </w:rPr>
        <w:t xml:space="preserve">. Questions measuring socioeconomic status and gender attitudes were measured using standard questions from the Tajikistan Demographic Health Survey. </w:t>
      </w:r>
      <w:r w:rsidRPr="00F953E5">
        <w:rPr>
          <w:rFonts w:cs="Times New Roman"/>
          <w:sz w:val="20"/>
        </w:rPr>
        <w:t xml:space="preserve">Finally, </w:t>
      </w:r>
      <w:proofErr w:type="spellStart"/>
      <w:r w:rsidRPr="00F953E5">
        <w:rPr>
          <w:rFonts w:cs="Times New Roman"/>
          <w:sz w:val="20"/>
        </w:rPr>
        <w:t>Oyserman’s</w:t>
      </w:r>
      <w:proofErr w:type="spellEnd"/>
      <w:r w:rsidRPr="00F953E5">
        <w:rPr>
          <w:rFonts w:cs="Times New Roman"/>
          <w:sz w:val="20"/>
        </w:rPr>
        <w:t xml:space="preserve"> individualism measures</w:t>
      </w:r>
      <w:r w:rsidRPr="00F953E5">
        <w:rPr>
          <w:rStyle w:val="EndnoteReference"/>
          <w:rFonts w:cs="Times New Roman"/>
          <w:sz w:val="20"/>
        </w:rPr>
        <w:endnoteReference w:id="2"/>
      </w:r>
      <w:r w:rsidRPr="00F953E5">
        <w:rPr>
          <w:rFonts w:cs="Times New Roman"/>
          <w:sz w:val="20"/>
        </w:rPr>
        <w:t xml:space="preserve"> were used as an approximation of independence.</w:t>
      </w:r>
    </w:p>
    <w:p w14:paraId="3AE2C652" w14:textId="77777777" w:rsidR="00DA357C" w:rsidRPr="00F953E5" w:rsidRDefault="00DA357C" w:rsidP="00DA357C">
      <w:pPr>
        <w:pStyle w:val="Heading2"/>
        <w:rPr>
          <w:sz w:val="20"/>
          <w:szCs w:val="20"/>
        </w:rPr>
      </w:pPr>
      <w:bookmarkStart w:id="1" w:name="_Toc356572469"/>
      <w:r w:rsidRPr="00F953E5">
        <w:rPr>
          <w:sz w:val="20"/>
          <w:szCs w:val="20"/>
        </w:rPr>
        <w:t>Data collection</w:t>
      </w:r>
      <w:bookmarkEnd w:id="1"/>
      <w:r w:rsidRPr="00F953E5">
        <w:rPr>
          <w:sz w:val="20"/>
          <w:szCs w:val="20"/>
        </w:rPr>
        <w:t xml:space="preserve"> </w:t>
      </w:r>
    </w:p>
    <w:p w14:paraId="28DF0B30" w14:textId="0DB239C2" w:rsidR="00DA357C" w:rsidRPr="00E533F7" w:rsidRDefault="00E533F7" w:rsidP="00E533F7">
      <w:pPr>
        <w:autoSpaceDE w:val="0"/>
        <w:autoSpaceDN w:val="0"/>
        <w:adjustRightInd w:val="0"/>
        <w:rPr>
          <w:rFonts w:cs="Times New Roman"/>
          <w:sz w:val="20"/>
        </w:rPr>
      </w:pPr>
      <w:r w:rsidRPr="00F953E5">
        <w:rPr>
          <w:sz w:val="20"/>
        </w:rPr>
        <w:t>Data cleaning and analysis was conducted from December 2012 to April 2013.</w:t>
      </w:r>
      <w:r>
        <w:rPr>
          <w:sz w:val="20"/>
        </w:rPr>
        <w:t xml:space="preserve"> </w:t>
      </w:r>
      <w:r w:rsidR="00DA357C" w:rsidRPr="00F953E5">
        <w:rPr>
          <w:sz w:val="20"/>
        </w:rPr>
        <w:t xml:space="preserve">The main data collection tool, an </w:t>
      </w:r>
      <w:r w:rsidR="00DA357C" w:rsidRPr="00F953E5">
        <w:rPr>
          <w:color w:val="000000"/>
          <w:sz w:val="20"/>
        </w:rPr>
        <w:t>interviewer-administered survey, w</w:t>
      </w:r>
      <w:r w:rsidR="00DA357C" w:rsidRPr="00F953E5">
        <w:rPr>
          <w:sz w:val="20"/>
        </w:rPr>
        <w:t xml:space="preserve">as </w:t>
      </w:r>
      <w:r w:rsidR="00DA357C" w:rsidRPr="00F953E5">
        <w:rPr>
          <w:color w:val="000000"/>
          <w:sz w:val="20"/>
        </w:rPr>
        <w:t xml:space="preserve">translated from English to Tajik, and verified by Mercy Corps staff. Mercy Corps staff tested the tool </w:t>
      </w:r>
      <w:r w:rsidR="00DA357C" w:rsidRPr="00F953E5">
        <w:rPr>
          <w:sz w:val="20"/>
        </w:rPr>
        <w:t xml:space="preserve">at non-participating schools (neither treatment nor control) in Hisor district, and changes were incorporated into the final survey tool. </w:t>
      </w:r>
    </w:p>
    <w:p w14:paraId="0FBCEA49" w14:textId="77777777" w:rsidR="00DA357C" w:rsidRPr="00F953E5" w:rsidRDefault="00DA357C" w:rsidP="00DA357C">
      <w:pPr>
        <w:pStyle w:val="Body"/>
        <w:rPr>
          <w:sz w:val="20"/>
          <w:szCs w:val="20"/>
        </w:rPr>
      </w:pPr>
    </w:p>
    <w:p w14:paraId="5D74AEAF" w14:textId="77777777" w:rsidR="00DA357C" w:rsidRPr="00F953E5" w:rsidRDefault="00DA357C" w:rsidP="00DA357C">
      <w:pPr>
        <w:pStyle w:val="Body"/>
        <w:rPr>
          <w:sz w:val="20"/>
          <w:szCs w:val="20"/>
        </w:rPr>
      </w:pPr>
      <w:r w:rsidRPr="00F953E5">
        <w:rPr>
          <w:sz w:val="20"/>
          <w:szCs w:val="20"/>
        </w:rPr>
        <w:t xml:space="preserve">Two district-based teams of </w:t>
      </w:r>
      <w:r w:rsidRPr="00F953E5">
        <w:rPr>
          <w:color w:val="000000"/>
          <w:sz w:val="20"/>
          <w:szCs w:val="20"/>
        </w:rPr>
        <w:t>Tajik-speaking field interviewers, all women, were hired via a transparent and competitive selection process</w:t>
      </w:r>
      <w:r w:rsidRPr="00F953E5">
        <w:rPr>
          <w:sz w:val="20"/>
          <w:szCs w:val="20"/>
        </w:rPr>
        <w:t xml:space="preserve"> </w:t>
      </w:r>
      <w:r w:rsidRPr="00F953E5">
        <w:rPr>
          <w:color w:val="000000"/>
          <w:sz w:val="20"/>
          <w:szCs w:val="20"/>
        </w:rPr>
        <w:t>and trained</w:t>
      </w:r>
      <w:r w:rsidRPr="00F953E5">
        <w:rPr>
          <w:sz w:val="20"/>
          <w:szCs w:val="20"/>
        </w:rPr>
        <w:t xml:space="preserve"> in a three-day session in May 2013, with separate sessions in each district. The third day of the training allowed for interviewers to test the survey guide with adolescent girls not participating in the baseline. Data collection took place between May and June 2012, and four data entry technicians, organised into two district teams, entered data simultaneously under the supervision of Mercy Corps staff. </w:t>
      </w:r>
    </w:p>
    <w:p w14:paraId="605E6A4E" w14:textId="77777777" w:rsidR="00DA357C" w:rsidRPr="00F953E5" w:rsidRDefault="00DA357C" w:rsidP="00DA357C">
      <w:pPr>
        <w:rPr>
          <w:color w:val="000000"/>
          <w:sz w:val="20"/>
        </w:rPr>
      </w:pPr>
    </w:p>
    <w:p w14:paraId="21212068" w14:textId="77777777" w:rsidR="00DA357C" w:rsidRPr="00F953E5" w:rsidRDefault="00DA357C" w:rsidP="00DA357C">
      <w:pPr>
        <w:autoSpaceDE w:val="0"/>
        <w:autoSpaceDN w:val="0"/>
        <w:adjustRightInd w:val="0"/>
        <w:rPr>
          <w:color w:val="222222"/>
          <w:sz w:val="20"/>
          <w:lang w:eastAsia="en-CA"/>
        </w:rPr>
      </w:pPr>
      <w:r w:rsidRPr="00F953E5">
        <w:rPr>
          <w:color w:val="222222"/>
          <w:sz w:val="20"/>
          <w:lang w:eastAsia="en-CA"/>
        </w:rPr>
        <w:t xml:space="preserve">The survey was administered </w:t>
      </w:r>
      <w:r w:rsidRPr="00F953E5">
        <w:rPr>
          <w:color w:val="222222"/>
          <w:sz w:val="20"/>
        </w:rPr>
        <w:t>at schools</w:t>
      </w:r>
      <w:r w:rsidRPr="00F953E5">
        <w:rPr>
          <w:color w:val="222222"/>
          <w:sz w:val="20"/>
          <w:lang w:eastAsia="en-CA"/>
        </w:rPr>
        <w:t xml:space="preserve">, after spring term classes ended, starting on the week of final exams. To minimise lack of participation, interviewers were instructed to attempt to contact girls who </w:t>
      </w:r>
      <w:r w:rsidRPr="00F953E5">
        <w:rPr>
          <w:rFonts w:eastAsia="Times New Roman"/>
          <w:color w:val="222222"/>
          <w:sz w:val="20"/>
          <w:lang w:eastAsia="en-CA"/>
        </w:rPr>
        <w:t xml:space="preserve">did </w:t>
      </w:r>
      <w:r w:rsidRPr="00F953E5">
        <w:rPr>
          <w:color w:val="222222"/>
          <w:sz w:val="20"/>
          <w:lang w:eastAsia="en-CA"/>
        </w:rPr>
        <w:t xml:space="preserve">not show up for their appointed </w:t>
      </w:r>
      <w:r w:rsidRPr="00F953E5">
        <w:rPr>
          <w:rFonts w:eastAsia="Times New Roman"/>
          <w:color w:val="222222"/>
          <w:sz w:val="20"/>
          <w:lang w:eastAsia="en-CA"/>
        </w:rPr>
        <w:t>interview</w:t>
      </w:r>
      <w:r w:rsidRPr="00F953E5">
        <w:rPr>
          <w:color w:val="222222"/>
          <w:sz w:val="20"/>
          <w:lang w:eastAsia="en-CA"/>
        </w:rPr>
        <w:t xml:space="preserve"> </w:t>
      </w:r>
      <w:r w:rsidRPr="00F953E5">
        <w:rPr>
          <w:color w:val="222222"/>
          <w:sz w:val="20"/>
        </w:rPr>
        <w:t>three times,</w:t>
      </w:r>
      <w:r w:rsidRPr="00F953E5">
        <w:rPr>
          <w:rFonts w:eastAsia="Times New Roman"/>
          <w:color w:val="222222"/>
          <w:sz w:val="20"/>
          <w:lang w:eastAsia="en-CA"/>
        </w:rPr>
        <w:t xml:space="preserve"> </w:t>
      </w:r>
      <w:r w:rsidRPr="00F953E5">
        <w:rPr>
          <w:color w:val="222222"/>
          <w:sz w:val="20"/>
          <w:lang w:eastAsia="en-CA"/>
        </w:rPr>
        <w:t xml:space="preserve">and to document the reasons for the no show. After three unsuccessful attempts, interviewers were instructed to replace her with another randomly selected girl. On the other hand, girls who refused to participate in the interview were not replaced. </w:t>
      </w:r>
    </w:p>
    <w:p w14:paraId="6CE93739" w14:textId="77777777" w:rsidR="00DA357C" w:rsidRPr="00F953E5" w:rsidRDefault="00DA357C" w:rsidP="00DA357C">
      <w:pPr>
        <w:pStyle w:val="Heading2"/>
        <w:rPr>
          <w:sz w:val="20"/>
          <w:szCs w:val="20"/>
        </w:rPr>
      </w:pPr>
      <w:bookmarkStart w:id="2" w:name="_Toc356572470"/>
      <w:r w:rsidRPr="00F953E5">
        <w:rPr>
          <w:sz w:val="20"/>
          <w:szCs w:val="20"/>
        </w:rPr>
        <w:t>Data analysis</w:t>
      </w:r>
      <w:bookmarkEnd w:id="2"/>
    </w:p>
    <w:p w14:paraId="49F88011" w14:textId="77777777" w:rsidR="00DA357C" w:rsidRPr="00F953E5" w:rsidRDefault="00DA357C" w:rsidP="00DA357C">
      <w:pPr>
        <w:rPr>
          <w:sz w:val="20"/>
        </w:rPr>
      </w:pPr>
      <w:r w:rsidRPr="00F953E5">
        <w:rPr>
          <w:sz w:val="20"/>
        </w:rPr>
        <w:t>For this baseline survey report, we compare characteristics between participants enrolled at intervention and control sites using proportions for categorical variables and means +/- standard deviation and medians with ranges for continuous variables. Baseline survey responses provided at intervention and control sites were compared using methods to account for the similarity between participants enrolled at each site (</w:t>
      </w:r>
      <w:proofErr w:type="spellStart"/>
      <w:r w:rsidRPr="00F953E5">
        <w:rPr>
          <w:sz w:val="20"/>
        </w:rPr>
        <w:t>intracluster</w:t>
      </w:r>
      <w:proofErr w:type="spellEnd"/>
      <w:r w:rsidRPr="00F953E5">
        <w:rPr>
          <w:sz w:val="20"/>
        </w:rPr>
        <w:t xml:space="preserve"> correlation). A household </w:t>
      </w:r>
      <w:r w:rsidRPr="00F953E5">
        <w:rPr>
          <w:sz w:val="20"/>
        </w:rPr>
        <w:lastRenderedPageBreak/>
        <w:t xml:space="preserve">wealth index constructed by </w:t>
      </w:r>
      <w:proofErr w:type="spellStart"/>
      <w:r w:rsidRPr="00F953E5">
        <w:rPr>
          <w:sz w:val="20"/>
        </w:rPr>
        <w:t>polychoric</w:t>
      </w:r>
      <w:proofErr w:type="spellEnd"/>
      <w:r w:rsidRPr="00F953E5">
        <w:rPr>
          <w:sz w:val="20"/>
        </w:rPr>
        <w:t xml:space="preserve"> principal component analysis was used to categorise participants into wealth quintiles.</w:t>
      </w:r>
    </w:p>
    <w:p w14:paraId="5D55D77A" w14:textId="77777777" w:rsidR="00DA357C" w:rsidRPr="00F953E5" w:rsidRDefault="00DA357C" w:rsidP="00DA357C">
      <w:pPr>
        <w:rPr>
          <w:sz w:val="20"/>
        </w:rPr>
      </w:pPr>
    </w:p>
    <w:p w14:paraId="41385237" w14:textId="77777777" w:rsidR="00DA357C" w:rsidRPr="00F953E5" w:rsidRDefault="00DA357C" w:rsidP="00DA357C">
      <w:pPr>
        <w:rPr>
          <w:sz w:val="20"/>
        </w:rPr>
      </w:pPr>
      <w:r w:rsidRPr="00F953E5">
        <w:rPr>
          <w:sz w:val="20"/>
        </w:rPr>
        <w:t xml:space="preserve">Statistical tests used included chi-square tests for categorical variables and t-tests for continuous variables, and were adjusted for clustering effects using the </w:t>
      </w:r>
      <w:proofErr w:type="spellStart"/>
      <w:r w:rsidRPr="00F953E5">
        <w:rPr>
          <w:sz w:val="20"/>
        </w:rPr>
        <w:t>clttest</w:t>
      </w:r>
      <w:proofErr w:type="spellEnd"/>
      <w:r w:rsidRPr="00F953E5">
        <w:rPr>
          <w:sz w:val="20"/>
        </w:rPr>
        <w:t xml:space="preserve"> and clchi2 routines (</w:t>
      </w:r>
      <w:proofErr w:type="spellStart"/>
      <w:r w:rsidRPr="00F953E5">
        <w:rPr>
          <w:sz w:val="20"/>
        </w:rPr>
        <w:t>StataCorp</w:t>
      </w:r>
      <w:proofErr w:type="spellEnd"/>
      <w:r w:rsidRPr="00F953E5">
        <w:rPr>
          <w:sz w:val="20"/>
        </w:rPr>
        <w:t>., College Station, TX, USA). Statistical significance was set at 5%.</w:t>
      </w:r>
    </w:p>
    <w:p w14:paraId="28B6DB3A" w14:textId="77777777" w:rsidR="00DA357C" w:rsidRPr="00F953E5" w:rsidRDefault="00DA357C" w:rsidP="00DA357C">
      <w:pPr>
        <w:rPr>
          <w:rFonts w:cs="Times New Roman"/>
          <w:b/>
          <w:sz w:val="20"/>
        </w:rPr>
      </w:pPr>
    </w:p>
    <w:p w14:paraId="0A051258" w14:textId="77777777" w:rsidR="00DA357C" w:rsidRPr="00F953E5" w:rsidRDefault="00DA357C" w:rsidP="00DA357C">
      <w:pPr>
        <w:pStyle w:val="Heading1"/>
        <w:rPr>
          <w:sz w:val="20"/>
          <w:szCs w:val="20"/>
        </w:rPr>
      </w:pPr>
      <w:bookmarkStart w:id="3" w:name="_Toc356572471"/>
      <w:r w:rsidRPr="00F953E5">
        <w:rPr>
          <w:sz w:val="20"/>
          <w:szCs w:val="20"/>
        </w:rPr>
        <w:t>Results</w:t>
      </w:r>
      <w:bookmarkEnd w:id="3"/>
    </w:p>
    <w:p w14:paraId="7E7420AB" w14:textId="39D7714A" w:rsidR="00DA357C" w:rsidRPr="00F953E5" w:rsidRDefault="00D120E0" w:rsidP="00DA357C">
      <w:pPr>
        <w:pStyle w:val="Body"/>
        <w:rPr>
          <w:rFonts w:cstheme="majorBidi"/>
          <w:sz w:val="20"/>
          <w:szCs w:val="20"/>
        </w:rPr>
      </w:pPr>
      <w:bookmarkStart w:id="4" w:name="_Toc356572472"/>
      <w:r w:rsidRPr="00F953E5">
        <w:rPr>
          <w:b/>
          <w:sz w:val="20"/>
          <w:szCs w:val="20"/>
        </w:rPr>
        <w:t>Random</w:t>
      </w:r>
      <w:r w:rsidRPr="00D120E0">
        <w:rPr>
          <w:b/>
          <w:bCs/>
          <w:sz w:val="20"/>
          <w:szCs w:val="20"/>
        </w:rPr>
        <w:t xml:space="preserve"> </w:t>
      </w:r>
      <w:r w:rsidR="00AF4740">
        <w:rPr>
          <w:b/>
          <w:bCs/>
          <w:sz w:val="20"/>
          <w:szCs w:val="20"/>
        </w:rPr>
        <w:t>s</w:t>
      </w:r>
      <w:r w:rsidRPr="00D120E0">
        <w:rPr>
          <w:b/>
          <w:bCs/>
          <w:sz w:val="20"/>
          <w:szCs w:val="20"/>
        </w:rPr>
        <w:t>ampling</w:t>
      </w:r>
      <w:bookmarkEnd w:id="4"/>
      <w:r w:rsidRPr="00D120E0">
        <w:rPr>
          <w:b/>
          <w:bCs/>
          <w:sz w:val="20"/>
          <w:szCs w:val="20"/>
        </w:rPr>
        <w:t xml:space="preserve"> </w:t>
      </w:r>
      <w:proofErr w:type="gramStart"/>
      <w:r w:rsidR="00DA357C" w:rsidRPr="00F953E5">
        <w:rPr>
          <w:sz w:val="20"/>
          <w:szCs w:val="20"/>
        </w:rPr>
        <w:t>With</w:t>
      </w:r>
      <w:proofErr w:type="gramEnd"/>
      <w:r w:rsidR="00DA357C" w:rsidRPr="00F953E5">
        <w:rPr>
          <w:sz w:val="20"/>
          <w:szCs w:val="20"/>
        </w:rPr>
        <w:t xml:space="preserve"> the exception of two schools (school 24 in </w:t>
      </w:r>
      <w:proofErr w:type="spellStart"/>
      <w:r w:rsidR="00DA357C" w:rsidRPr="00F953E5">
        <w:rPr>
          <w:sz w:val="20"/>
          <w:szCs w:val="20"/>
        </w:rPr>
        <w:t>Somon</w:t>
      </w:r>
      <w:proofErr w:type="spellEnd"/>
      <w:r w:rsidR="00DA357C" w:rsidRPr="00F953E5">
        <w:rPr>
          <w:sz w:val="20"/>
          <w:szCs w:val="20"/>
        </w:rPr>
        <w:t xml:space="preserve"> and school 1 in </w:t>
      </w:r>
      <w:proofErr w:type="spellStart"/>
      <w:r w:rsidR="00DA357C" w:rsidRPr="00F953E5">
        <w:rPr>
          <w:sz w:val="20"/>
          <w:szCs w:val="20"/>
        </w:rPr>
        <w:t>Fayzi</w:t>
      </w:r>
      <w:proofErr w:type="spellEnd"/>
      <w:r w:rsidR="00DA357C" w:rsidRPr="00F953E5">
        <w:rPr>
          <w:sz w:val="20"/>
          <w:szCs w:val="20"/>
        </w:rPr>
        <w:t>), which were incorrectly assigned to the intervention group due to duplication of school names (</w:t>
      </w:r>
      <w:proofErr w:type="spellStart"/>
      <w:r w:rsidR="00DA357C" w:rsidRPr="00F953E5">
        <w:rPr>
          <w:sz w:val="20"/>
          <w:szCs w:val="20"/>
        </w:rPr>
        <w:t>ie</w:t>
      </w:r>
      <w:proofErr w:type="spellEnd"/>
      <w:r w:rsidR="00DA357C" w:rsidRPr="00F953E5">
        <w:rPr>
          <w:sz w:val="20"/>
          <w:szCs w:val="20"/>
        </w:rPr>
        <w:t xml:space="preserve"> numbers) across different villages, randomisation of schools proceeded as planned. This resulted in 32 schools in the intervention group, and 28 schools in the control group. </w:t>
      </w:r>
    </w:p>
    <w:p w14:paraId="48163CA7" w14:textId="77777777" w:rsidR="00DA357C" w:rsidRPr="00F953E5" w:rsidRDefault="00DA357C" w:rsidP="00DA357C">
      <w:pPr>
        <w:rPr>
          <w:sz w:val="20"/>
        </w:rPr>
      </w:pPr>
    </w:p>
    <w:p w14:paraId="1821A850" w14:textId="77777777" w:rsidR="00DA357C" w:rsidRPr="00F953E5" w:rsidRDefault="00DA357C" w:rsidP="00DA357C">
      <w:pPr>
        <w:pStyle w:val="Body"/>
        <w:rPr>
          <w:sz w:val="20"/>
          <w:szCs w:val="20"/>
        </w:rPr>
      </w:pPr>
      <w:r w:rsidRPr="00F953E5">
        <w:rPr>
          <w:b/>
          <w:sz w:val="20"/>
          <w:szCs w:val="20"/>
        </w:rPr>
        <w:t>Screening</w:t>
      </w:r>
      <w:r w:rsidRPr="00F953E5">
        <w:rPr>
          <w:sz w:val="20"/>
          <w:szCs w:val="20"/>
        </w:rPr>
        <w:t xml:space="preserve"> According to the original </w:t>
      </w:r>
      <w:proofErr w:type="spellStart"/>
      <w:r w:rsidRPr="00F953E5">
        <w:rPr>
          <w:sz w:val="20"/>
          <w:szCs w:val="20"/>
        </w:rPr>
        <w:t>Aflateen</w:t>
      </w:r>
      <w:proofErr w:type="spellEnd"/>
      <w:r w:rsidRPr="00F953E5">
        <w:rPr>
          <w:sz w:val="20"/>
          <w:szCs w:val="20"/>
        </w:rPr>
        <w:t>+ evaluation plan,</w:t>
      </w:r>
      <w:r w:rsidRPr="00F953E5">
        <w:rPr>
          <w:rStyle w:val="EndnoteReference"/>
          <w:sz w:val="20"/>
          <w:szCs w:val="20"/>
        </w:rPr>
        <w:endnoteReference w:id="3"/>
      </w:r>
      <w:r w:rsidRPr="00F953E5">
        <w:rPr>
          <w:sz w:val="20"/>
          <w:szCs w:val="20"/>
        </w:rPr>
        <w:t xml:space="preserve"> the exclusion criteria for participation in the baseline survey included: 1) marital status of married, 2) pregnancy or having already had a first child, 3) not living with parents 4)</w:t>
      </w:r>
      <w:r w:rsidRPr="00F953E5">
        <w:rPr>
          <w:color w:val="222222"/>
          <w:sz w:val="20"/>
          <w:szCs w:val="20"/>
        </w:rPr>
        <w:t xml:space="preserve"> </w:t>
      </w:r>
      <w:r w:rsidRPr="00F953E5">
        <w:rPr>
          <w:sz w:val="20"/>
          <w:szCs w:val="20"/>
        </w:rPr>
        <w:t xml:space="preserve">date of birth before </w:t>
      </w:r>
      <w:r w:rsidRPr="00F953E5">
        <w:rPr>
          <w:color w:val="222222"/>
          <w:sz w:val="20"/>
          <w:szCs w:val="20"/>
        </w:rPr>
        <w:t xml:space="preserve">21/5/1994 or after 19/11/1998, and 5) not enrolled in school in the following September. </w:t>
      </w:r>
      <w:r w:rsidRPr="00F953E5">
        <w:rPr>
          <w:sz w:val="20"/>
          <w:szCs w:val="20"/>
        </w:rPr>
        <w:t>In practise, the first two screening criteria (</w:t>
      </w:r>
      <w:proofErr w:type="spellStart"/>
      <w:r w:rsidRPr="00F953E5">
        <w:rPr>
          <w:sz w:val="20"/>
          <w:szCs w:val="20"/>
        </w:rPr>
        <w:t>ie</w:t>
      </w:r>
      <w:proofErr w:type="spellEnd"/>
      <w:r w:rsidRPr="00F953E5">
        <w:rPr>
          <w:sz w:val="20"/>
          <w:szCs w:val="20"/>
        </w:rPr>
        <w:t xml:space="preserve"> already married, pregnant or having had first child) proved to be not simply impractical but threatened reduced participation of girls in the baseline survey,</w:t>
      </w:r>
      <w:r w:rsidRPr="00F953E5">
        <w:rPr>
          <w:rStyle w:val="FootnoteReference"/>
          <w:sz w:val="20"/>
          <w:szCs w:val="20"/>
        </w:rPr>
        <w:footnoteReference w:id="2"/>
      </w:r>
      <w:r w:rsidRPr="00F953E5">
        <w:rPr>
          <w:sz w:val="20"/>
          <w:szCs w:val="20"/>
        </w:rPr>
        <w:t xml:space="preserve"> so these screening questions were dropped. The three remaining criteria (not living with parents, not enrolled in school in following September, out of range date of birth) were provisionally included but can still be excluded in the final analysis. The team wished to include girls not living with their parents, as this was seen as putting such girls at a disadvantage. In addition, human error led to the inclusion of girls outside the targeted age range. Finally, the </w:t>
      </w:r>
      <w:proofErr w:type="spellStart"/>
      <w:r w:rsidRPr="00F953E5">
        <w:rPr>
          <w:sz w:val="20"/>
          <w:szCs w:val="20"/>
        </w:rPr>
        <w:t>Mastchoh</w:t>
      </w:r>
      <w:proofErr w:type="spellEnd"/>
      <w:r w:rsidRPr="00F953E5">
        <w:rPr>
          <w:sz w:val="20"/>
          <w:szCs w:val="20"/>
        </w:rPr>
        <w:t xml:space="preserve"> office decided to include girls that were not enrolled in school in September, so that 95% of cases (</w:t>
      </w:r>
      <w:proofErr w:type="spellStart"/>
      <w:r w:rsidRPr="00F953E5">
        <w:rPr>
          <w:sz w:val="20"/>
          <w:szCs w:val="20"/>
        </w:rPr>
        <w:t>ie</w:t>
      </w:r>
      <w:proofErr w:type="spellEnd"/>
      <w:r w:rsidRPr="00F953E5">
        <w:rPr>
          <w:sz w:val="20"/>
          <w:szCs w:val="20"/>
        </w:rPr>
        <w:t xml:space="preserve">. intervention group participants) and 79% of controls reported being enrolled. </w:t>
      </w:r>
    </w:p>
    <w:p w14:paraId="5E42D024" w14:textId="77777777" w:rsidR="00DA357C" w:rsidRPr="00F953E5" w:rsidRDefault="00DA357C" w:rsidP="00DA357C">
      <w:pPr>
        <w:pStyle w:val="Body"/>
        <w:rPr>
          <w:sz w:val="20"/>
          <w:szCs w:val="20"/>
        </w:rPr>
      </w:pPr>
    </w:p>
    <w:p w14:paraId="4437CF11" w14:textId="77777777" w:rsidR="00DA357C" w:rsidRPr="00F953E5" w:rsidRDefault="00DA357C" w:rsidP="00DA357C">
      <w:pPr>
        <w:pStyle w:val="Body"/>
        <w:rPr>
          <w:sz w:val="20"/>
          <w:szCs w:val="20"/>
        </w:rPr>
      </w:pPr>
      <w:r w:rsidRPr="00F953E5">
        <w:rPr>
          <w:sz w:val="20"/>
          <w:szCs w:val="20"/>
        </w:rPr>
        <w:t xml:space="preserve">Among the 144 girls who reported not being enrolled in school the following September, 90% were recruited in </w:t>
      </w:r>
      <w:proofErr w:type="spellStart"/>
      <w:r w:rsidRPr="00F953E5">
        <w:rPr>
          <w:sz w:val="20"/>
          <w:szCs w:val="20"/>
        </w:rPr>
        <w:t>Mastchoh</w:t>
      </w:r>
      <w:proofErr w:type="spellEnd"/>
      <w:r w:rsidRPr="00F953E5">
        <w:rPr>
          <w:sz w:val="20"/>
          <w:szCs w:val="20"/>
        </w:rPr>
        <w:t xml:space="preserve">. Among the 91 girls participating in </w:t>
      </w:r>
      <w:proofErr w:type="spellStart"/>
      <w:r w:rsidRPr="00F953E5">
        <w:rPr>
          <w:sz w:val="20"/>
          <w:szCs w:val="20"/>
        </w:rPr>
        <w:t>Aflateen</w:t>
      </w:r>
      <w:proofErr w:type="spellEnd"/>
      <w:r w:rsidRPr="00F953E5">
        <w:rPr>
          <w:sz w:val="20"/>
          <w:szCs w:val="20"/>
        </w:rPr>
        <w:t xml:space="preserve">+ who also reported not being enrolled in school, 97% were from </w:t>
      </w:r>
      <w:proofErr w:type="spellStart"/>
      <w:r w:rsidRPr="00F953E5">
        <w:rPr>
          <w:sz w:val="20"/>
          <w:szCs w:val="20"/>
        </w:rPr>
        <w:t>Mastchoh</w:t>
      </w:r>
      <w:proofErr w:type="spellEnd"/>
      <w:r w:rsidRPr="00F953E5">
        <w:rPr>
          <w:sz w:val="20"/>
          <w:szCs w:val="20"/>
        </w:rPr>
        <w:t xml:space="preserve">. Finally, due in part to discrepancies between girls’ reported ages and reported dates of birth, girls under and over the targeted age group were first included in the data collection. A desire to maximise the study sample size led to the inclusion of younger girls in this baseline study, as described in the results. The final date of birth inclusion range for the impact evaluation may still be adjusted before the endline survey. In short, no screening criteria were followed as originally planned. </w:t>
      </w:r>
    </w:p>
    <w:p w14:paraId="2C0F9EC9" w14:textId="77777777" w:rsidR="00DA357C" w:rsidRPr="00F953E5" w:rsidRDefault="00DA357C" w:rsidP="00DA357C">
      <w:pPr>
        <w:rPr>
          <w:rFonts w:cs="Times New Roman"/>
          <w:sz w:val="20"/>
        </w:rPr>
      </w:pPr>
    </w:p>
    <w:p w14:paraId="6E4B562A" w14:textId="77777777" w:rsidR="00DA357C" w:rsidRPr="00F953E5" w:rsidRDefault="00DA357C" w:rsidP="00DA357C">
      <w:pPr>
        <w:pStyle w:val="Body"/>
        <w:rPr>
          <w:sz w:val="20"/>
          <w:szCs w:val="20"/>
        </w:rPr>
      </w:pPr>
      <w:r w:rsidRPr="00F953E5">
        <w:rPr>
          <w:sz w:val="20"/>
          <w:szCs w:val="20"/>
        </w:rPr>
        <w:t>Interviewers completed questionnaires for 1225 girls, including 147 girls who reported that they would not be enrolled at the school in September, and 11 girls who did not respond to this question. With respect to the inclusion age range (21/5/1994 to 19/11/1998), four girls with dates of birth earlier than 21/5/1994 were excluded, for a final sample size of 1221 for this baseline survey. There were 40 girls who were born after 19/11/1998, which corresponds to girls under the age of 13.5. Due to sample size concerns, these girls have been included in this baseline survey analysis, though they may or may not be included in the final evaluation study that includes endline data.</w:t>
      </w:r>
    </w:p>
    <w:p w14:paraId="5B357E98" w14:textId="77777777" w:rsidR="00DA357C" w:rsidRPr="00F953E5" w:rsidRDefault="00DA357C" w:rsidP="00DA357C">
      <w:pPr>
        <w:rPr>
          <w:rFonts w:cs="Times New Roman"/>
          <w:sz w:val="20"/>
        </w:rPr>
      </w:pPr>
    </w:p>
    <w:p w14:paraId="2E467871" w14:textId="77777777" w:rsidR="00DA357C" w:rsidRPr="00F953E5" w:rsidRDefault="00DA357C" w:rsidP="00DA357C">
      <w:pPr>
        <w:pStyle w:val="Body"/>
        <w:rPr>
          <w:sz w:val="20"/>
          <w:szCs w:val="20"/>
        </w:rPr>
      </w:pPr>
      <w:r w:rsidRPr="00F953E5">
        <w:rPr>
          <w:b/>
          <w:sz w:val="20"/>
          <w:szCs w:val="20"/>
        </w:rPr>
        <w:t>Demographic characteristics</w:t>
      </w:r>
      <w:r w:rsidRPr="00F953E5">
        <w:rPr>
          <w:sz w:val="20"/>
          <w:szCs w:val="20"/>
        </w:rPr>
        <w:t xml:space="preserve"> </w:t>
      </w:r>
      <w:proofErr w:type="gramStart"/>
      <w:r w:rsidRPr="00F953E5">
        <w:rPr>
          <w:sz w:val="20"/>
          <w:szCs w:val="20"/>
        </w:rPr>
        <w:t>Of</w:t>
      </w:r>
      <w:proofErr w:type="gramEnd"/>
      <w:r w:rsidRPr="00F953E5">
        <w:rPr>
          <w:sz w:val="20"/>
          <w:szCs w:val="20"/>
        </w:rPr>
        <w:t xml:space="preserve"> the 1221 girls participating in the baseline survey, 662 girls were recruited through schools where the </w:t>
      </w:r>
      <w:proofErr w:type="spellStart"/>
      <w:r w:rsidRPr="00F953E5">
        <w:rPr>
          <w:sz w:val="20"/>
          <w:szCs w:val="20"/>
        </w:rPr>
        <w:t>Aflateen</w:t>
      </w:r>
      <w:proofErr w:type="spellEnd"/>
      <w:r w:rsidRPr="00F953E5">
        <w:rPr>
          <w:sz w:val="20"/>
          <w:szCs w:val="20"/>
        </w:rPr>
        <w:t xml:space="preserve">+ programme would take place, and 559 girls were drawn from control schools. This included 555 girls from Hisor and 666 from </w:t>
      </w:r>
      <w:proofErr w:type="spellStart"/>
      <w:r w:rsidRPr="00F953E5">
        <w:rPr>
          <w:sz w:val="20"/>
          <w:szCs w:val="20"/>
        </w:rPr>
        <w:t>Mastchoh</w:t>
      </w:r>
      <w:proofErr w:type="spellEnd"/>
      <w:r w:rsidRPr="00F953E5">
        <w:rPr>
          <w:sz w:val="20"/>
          <w:szCs w:val="20"/>
        </w:rPr>
        <w:t xml:space="preserve">. Sixty percent of the </w:t>
      </w:r>
      <w:proofErr w:type="spellStart"/>
      <w:r w:rsidRPr="00F953E5">
        <w:rPr>
          <w:sz w:val="20"/>
          <w:szCs w:val="20"/>
        </w:rPr>
        <w:t>Aflateen</w:t>
      </w:r>
      <w:proofErr w:type="spellEnd"/>
      <w:r w:rsidRPr="00F953E5">
        <w:rPr>
          <w:sz w:val="20"/>
          <w:szCs w:val="20"/>
        </w:rPr>
        <w:t xml:space="preserve">+ participants who participated in the baseline survey were from </w:t>
      </w:r>
      <w:proofErr w:type="spellStart"/>
      <w:r w:rsidRPr="00F953E5">
        <w:rPr>
          <w:sz w:val="20"/>
          <w:szCs w:val="20"/>
        </w:rPr>
        <w:t>Mastchoh</w:t>
      </w:r>
      <w:proofErr w:type="spellEnd"/>
      <w:r w:rsidRPr="00F953E5">
        <w:rPr>
          <w:sz w:val="20"/>
          <w:szCs w:val="20"/>
        </w:rPr>
        <w:t xml:space="preserve">. Among </w:t>
      </w:r>
      <w:proofErr w:type="spellStart"/>
      <w:r w:rsidRPr="00F953E5">
        <w:rPr>
          <w:sz w:val="20"/>
          <w:szCs w:val="20"/>
        </w:rPr>
        <w:t>Mastchoh</w:t>
      </w:r>
      <w:proofErr w:type="spellEnd"/>
      <w:r w:rsidRPr="00F953E5">
        <w:rPr>
          <w:sz w:val="20"/>
          <w:szCs w:val="20"/>
        </w:rPr>
        <w:t xml:space="preserve"> </w:t>
      </w:r>
      <w:proofErr w:type="spellStart"/>
      <w:r w:rsidRPr="00F953E5">
        <w:rPr>
          <w:sz w:val="20"/>
          <w:szCs w:val="20"/>
        </w:rPr>
        <w:t>Aflateen</w:t>
      </w:r>
      <w:proofErr w:type="spellEnd"/>
      <w:r w:rsidRPr="00F953E5">
        <w:rPr>
          <w:sz w:val="20"/>
          <w:szCs w:val="20"/>
        </w:rPr>
        <w:t>+ participants, 22% indicated they were not enrolled in school the following September. On average, girls were 15.1 years old, with 61% aged either 14 or 15. The highest grade completed of two-thirds of the girls was 7</w:t>
      </w:r>
      <w:r w:rsidRPr="00F953E5">
        <w:rPr>
          <w:sz w:val="20"/>
          <w:szCs w:val="20"/>
          <w:vertAlign w:val="superscript"/>
        </w:rPr>
        <w:t>th</w:t>
      </w:r>
      <w:r w:rsidRPr="00F953E5">
        <w:rPr>
          <w:sz w:val="20"/>
          <w:szCs w:val="20"/>
        </w:rPr>
        <w:t xml:space="preserve"> and 8</w:t>
      </w:r>
      <w:r w:rsidRPr="00F953E5">
        <w:rPr>
          <w:sz w:val="20"/>
          <w:szCs w:val="20"/>
          <w:vertAlign w:val="superscript"/>
        </w:rPr>
        <w:t>th</w:t>
      </w:r>
      <w:r w:rsidRPr="00F953E5">
        <w:rPr>
          <w:sz w:val="20"/>
          <w:szCs w:val="20"/>
        </w:rPr>
        <w:t xml:space="preserve"> grade. Over 98% self-identified as or spoke Tajik, and almost all lived with at least one parent (97%), in an average household of size 7.3 and a home with 2.6 sleeping rooms (average of 3 persons per room). Overall, about one out of three girls interviewed reported that their father was in Tajikistan at the time of the interview, compared to 23% who reported a father in Russia. A great majority of girls (94%) reported that their mother was in Tajikistan at the time of the interview. Table 1 presents demographic characteristics of girls who participated in the baseline survey. Cases and controls were not significantly different with </w:t>
      </w:r>
      <w:r w:rsidRPr="00F953E5">
        <w:rPr>
          <w:sz w:val="20"/>
          <w:szCs w:val="20"/>
        </w:rPr>
        <w:lastRenderedPageBreak/>
        <w:t>respect to age, highest grade completed, wealth index, father’s and mother’s education, father’s and mother’s occupation, self-identification as Tajik, location of father or mother at time of interview, whether girls lived with parents or whether they were enrolled in school the following September.</w:t>
      </w:r>
    </w:p>
    <w:p w14:paraId="60875E1E" w14:textId="77777777" w:rsidR="00DA357C" w:rsidRPr="00F953E5" w:rsidRDefault="00DA357C" w:rsidP="00DA357C">
      <w:pPr>
        <w:rPr>
          <w:rFonts w:cs="Times New Roman"/>
          <w:sz w:val="20"/>
        </w:rPr>
      </w:pPr>
    </w:p>
    <w:p w14:paraId="44328149" w14:textId="77777777" w:rsidR="00DA357C" w:rsidRPr="00F953E5" w:rsidRDefault="00DA357C" w:rsidP="00DA357C">
      <w:pPr>
        <w:pStyle w:val="Body"/>
        <w:rPr>
          <w:sz w:val="20"/>
          <w:szCs w:val="20"/>
        </w:rPr>
      </w:pPr>
      <w:r w:rsidRPr="00F953E5">
        <w:rPr>
          <w:b/>
          <w:sz w:val="20"/>
          <w:szCs w:val="20"/>
        </w:rPr>
        <w:t xml:space="preserve">Self-esteem, self-efficacy, locus of control (LOC) and other indicators. </w:t>
      </w:r>
      <w:r w:rsidRPr="00F953E5">
        <w:rPr>
          <w:sz w:val="20"/>
          <w:szCs w:val="20"/>
        </w:rPr>
        <w:t>Baseline levels of self-esteem, self-efficacy, internal locus of control and self-confidence appeared to be within normal range</w:t>
      </w:r>
      <w:r w:rsidRPr="00F953E5">
        <w:rPr>
          <w:b/>
          <w:sz w:val="20"/>
          <w:szCs w:val="20"/>
        </w:rPr>
        <w:t xml:space="preserve">. </w:t>
      </w:r>
      <w:r w:rsidRPr="00F953E5">
        <w:rPr>
          <w:sz w:val="20"/>
          <w:szCs w:val="20"/>
        </w:rPr>
        <w:t>The Rosenberg self-esteem scale ranges from 0 to 30, with various sources</w:t>
      </w:r>
      <w:r w:rsidRPr="00F953E5">
        <w:rPr>
          <w:rStyle w:val="EndnoteReference"/>
          <w:sz w:val="20"/>
          <w:szCs w:val="20"/>
        </w:rPr>
        <w:endnoteReference w:id="4"/>
      </w:r>
      <w:r w:rsidRPr="00F953E5">
        <w:rPr>
          <w:sz w:val="20"/>
          <w:szCs w:val="20"/>
        </w:rPr>
        <w:t xml:space="preserve"> suggesting that scores of 15 to 25 out of 30 correspond to a “normal range.” Accordingly, the mean and median self-esteem score of 18 (range: 10-27) for this baseline study was within this range. The General Self-Efficacy (GEE) scale’s composite score ranges from 10 to 40, and it has no defined range for classifying levels of self-efficacy. The baseline GEE scores’ mean and median of 30 (range: 18-40) for this population is consistent with norms for the Generalized Self Efficacy scale reported for adult populations in the US and Germany, and German high school students.</w:t>
      </w:r>
      <w:r w:rsidRPr="00F953E5">
        <w:rPr>
          <w:rStyle w:val="EndnoteReference"/>
          <w:sz w:val="20"/>
          <w:szCs w:val="20"/>
        </w:rPr>
        <w:endnoteReference w:id="5"/>
      </w:r>
      <w:r w:rsidRPr="00F953E5">
        <w:rPr>
          <w:sz w:val="20"/>
          <w:szCs w:val="20"/>
        </w:rPr>
        <w:t xml:space="preserve"> In addition, four out of five girls agreed or strongly agreed with statements affirming independence and self-confidence. </w:t>
      </w:r>
    </w:p>
    <w:p w14:paraId="6096A5EF" w14:textId="77777777" w:rsidR="00DA357C" w:rsidRPr="00F953E5" w:rsidRDefault="00DA357C" w:rsidP="00DA357C">
      <w:pPr>
        <w:pStyle w:val="Body"/>
        <w:rPr>
          <w:sz w:val="20"/>
          <w:szCs w:val="20"/>
        </w:rPr>
      </w:pPr>
    </w:p>
    <w:p w14:paraId="0E68A88E" w14:textId="77777777" w:rsidR="00DA357C" w:rsidRPr="00F953E5" w:rsidRDefault="00DA357C" w:rsidP="00DA357C">
      <w:pPr>
        <w:pStyle w:val="Body"/>
        <w:rPr>
          <w:sz w:val="20"/>
          <w:szCs w:val="20"/>
        </w:rPr>
      </w:pPr>
      <w:r w:rsidRPr="00F953E5">
        <w:rPr>
          <w:sz w:val="20"/>
          <w:szCs w:val="20"/>
        </w:rPr>
        <w:t xml:space="preserve">Locus of control refers to the extent to which an individual believes she has control over events that affect her. The Levenson LOC scale distinguishes between the relative belief that control of events affecting one is centred on the individual herself (LCI), on “powerful others” (LCO) or on chance (LCC). For the baseline study, the scale was adapted to exclude three questions (details explained in </w:t>
      </w:r>
      <w:r w:rsidRPr="00F953E5">
        <w:rPr>
          <w:sz w:val="20"/>
          <w:szCs w:val="20"/>
        </w:rPr>
        <w:fldChar w:fldCharType="begin"/>
      </w:r>
      <w:r w:rsidRPr="00F953E5">
        <w:rPr>
          <w:sz w:val="20"/>
          <w:szCs w:val="20"/>
        </w:rPr>
        <w:instrText xml:space="preserve"> REF _Ref356917563 \h </w:instrText>
      </w:r>
      <w:r w:rsidRPr="00F953E5">
        <w:rPr>
          <w:sz w:val="20"/>
          <w:szCs w:val="20"/>
        </w:rPr>
      </w:r>
      <w:r>
        <w:rPr>
          <w:sz w:val="20"/>
          <w:szCs w:val="20"/>
        </w:rPr>
        <w:instrText xml:space="preserve"> \* MERGEFORMAT </w:instrText>
      </w:r>
      <w:r w:rsidRPr="00F953E5">
        <w:rPr>
          <w:sz w:val="20"/>
          <w:szCs w:val="20"/>
        </w:rPr>
        <w:fldChar w:fldCharType="separate"/>
      </w:r>
      <w:r w:rsidRPr="00F953E5">
        <w:rPr>
          <w:sz w:val="20"/>
          <w:szCs w:val="20"/>
        </w:rPr>
        <w:t xml:space="preserve">Appendix </w:t>
      </w:r>
      <w:r w:rsidRPr="00F953E5">
        <w:rPr>
          <w:noProof/>
          <w:sz w:val="20"/>
          <w:szCs w:val="20"/>
        </w:rPr>
        <w:t>4</w:t>
      </w:r>
      <w:r w:rsidRPr="00F953E5">
        <w:rPr>
          <w:sz w:val="20"/>
          <w:szCs w:val="20"/>
        </w:rPr>
        <w:fldChar w:fldCharType="end"/>
      </w:r>
      <w:r w:rsidRPr="00F953E5">
        <w:rPr>
          <w:sz w:val="20"/>
          <w:szCs w:val="20"/>
        </w:rPr>
        <w:t>) resulting in a possible range from 0 to 42. LCI baseline scores ranged from 15 to 42, with a median of 33 and mean of 32.2. LCO scores ranged from 4 to 42, with a median of 29 and mean of 27.6. LCC scores ranged from 4 to 42, with a median of 28 and mean of 27.5.</w:t>
      </w:r>
    </w:p>
    <w:p w14:paraId="6017042F" w14:textId="77777777" w:rsidR="00DA357C" w:rsidRPr="00F953E5" w:rsidRDefault="00DA357C" w:rsidP="00DA357C">
      <w:pPr>
        <w:pStyle w:val="Body"/>
        <w:rPr>
          <w:sz w:val="20"/>
          <w:szCs w:val="20"/>
        </w:rPr>
      </w:pPr>
    </w:p>
    <w:p w14:paraId="6E086C8B" w14:textId="77777777" w:rsidR="00DA357C" w:rsidRPr="00F953E5" w:rsidRDefault="00DA357C" w:rsidP="00DA357C">
      <w:pPr>
        <w:rPr>
          <w:noProof/>
          <w:sz w:val="20"/>
        </w:rPr>
      </w:pPr>
      <w:r w:rsidRPr="00F953E5">
        <w:rPr>
          <w:sz w:val="20"/>
        </w:rPr>
        <w:t>There were no significant differences detected between cases and controls with respect to scores for self-esteem, self-efficacy, locus of control (</w:t>
      </w:r>
      <w:r w:rsidRPr="00F953E5">
        <w:rPr>
          <w:sz w:val="20"/>
        </w:rPr>
        <w:fldChar w:fldCharType="begin"/>
      </w:r>
      <w:r w:rsidRPr="00F953E5">
        <w:rPr>
          <w:sz w:val="20"/>
        </w:rPr>
        <w:instrText xml:space="preserve"> REF _Ref356564437 \h  \* MERGEFORMAT </w:instrText>
      </w:r>
      <w:r w:rsidRPr="00F953E5">
        <w:rPr>
          <w:sz w:val="20"/>
        </w:rPr>
      </w:r>
      <w:r w:rsidRPr="00F953E5">
        <w:rPr>
          <w:sz w:val="20"/>
        </w:rPr>
        <w:fldChar w:fldCharType="separate"/>
      </w:r>
      <w:r w:rsidRPr="00F953E5">
        <w:rPr>
          <w:sz w:val="20"/>
        </w:rPr>
        <w:t xml:space="preserve">Table </w:t>
      </w:r>
      <w:r w:rsidRPr="00F953E5">
        <w:rPr>
          <w:noProof/>
          <w:sz w:val="20"/>
        </w:rPr>
        <w:t>2</w:t>
      </w:r>
      <w:r w:rsidRPr="00F953E5">
        <w:rPr>
          <w:sz w:val="20"/>
        </w:rPr>
        <w:fldChar w:fldCharType="end"/>
      </w:r>
      <w:r w:rsidRPr="00F953E5">
        <w:rPr>
          <w:sz w:val="20"/>
        </w:rPr>
        <w:t>) or questions pertaining to independence and self-confidence (</w:t>
      </w:r>
      <w:r w:rsidRPr="00F953E5">
        <w:rPr>
          <w:sz w:val="20"/>
        </w:rPr>
        <w:fldChar w:fldCharType="begin"/>
      </w:r>
      <w:r w:rsidRPr="00F953E5">
        <w:rPr>
          <w:sz w:val="20"/>
        </w:rPr>
        <w:instrText xml:space="preserve"> REF _Ref357091206 \h </w:instrText>
      </w:r>
      <w:r w:rsidRPr="00F953E5">
        <w:rPr>
          <w:sz w:val="20"/>
        </w:rPr>
      </w:r>
      <w:r>
        <w:rPr>
          <w:sz w:val="20"/>
        </w:rPr>
        <w:instrText xml:space="preserve"> \* MERGEFORMAT </w:instrText>
      </w:r>
      <w:r w:rsidRPr="00F953E5">
        <w:rPr>
          <w:sz w:val="20"/>
        </w:rPr>
        <w:fldChar w:fldCharType="separate"/>
      </w:r>
      <w:r w:rsidRPr="00F953E5">
        <w:rPr>
          <w:sz w:val="20"/>
        </w:rPr>
        <w:t xml:space="preserve">Table </w:t>
      </w:r>
      <w:r w:rsidRPr="00F953E5">
        <w:rPr>
          <w:noProof/>
          <w:sz w:val="20"/>
        </w:rPr>
        <w:t>3</w:t>
      </w:r>
      <w:r w:rsidRPr="00F953E5">
        <w:rPr>
          <w:sz w:val="20"/>
        </w:rPr>
        <w:fldChar w:fldCharType="end"/>
      </w:r>
      <w:r w:rsidRPr="00F953E5">
        <w:rPr>
          <w:sz w:val="20"/>
        </w:rPr>
        <w:t>)</w:t>
      </w:r>
      <w:r w:rsidRPr="00F953E5">
        <w:rPr>
          <w:noProof/>
          <w:sz w:val="20"/>
        </w:rPr>
        <w:t>.</w:t>
      </w:r>
    </w:p>
    <w:p w14:paraId="5438F8CC" w14:textId="77777777" w:rsidR="00DA357C" w:rsidRPr="00F953E5" w:rsidRDefault="00DA357C" w:rsidP="00DA357C">
      <w:pPr>
        <w:rPr>
          <w:sz w:val="20"/>
        </w:rPr>
      </w:pPr>
    </w:p>
    <w:p w14:paraId="28AD7DF5" w14:textId="77777777" w:rsidR="00DA357C" w:rsidRPr="00DA357C" w:rsidRDefault="00DA357C" w:rsidP="00DA357C">
      <w:pPr>
        <w:pStyle w:val="Caption"/>
      </w:pPr>
      <w:r w:rsidRPr="00F953E5">
        <w:rPr>
          <w:sz w:val="20"/>
          <w:szCs w:val="20"/>
        </w:rPr>
        <w:fldChar w:fldCharType="begin"/>
      </w:r>
      <w:r w:rsidRPr="00F953E5">
        <w:rPr>
          <w:sz w:val="20"/>
          <w:szCs w:val="20"/>
        </w:rPr>
        <w:instrText xml:space="preserve"> REF _Ref354304944 \h </w:instrText>
      </w:r>
      <w:r w:rsidRPr="00F953E5">
        <w:rPr>
          <w:sz w:val="20"/>
          <w:szCs w:val="20"/>
        </w:rPr>
      </w:r>
      <w:r>
        <w:rPr>
          <w:sz w:val="20"/>
          <w:szCs w:val="20"/>
        </w:rPr>
        <w:instrText xml:space="preserve"> \* MERGEFORMAT </w:instrText>
      </w:r>
      <w:r w:rsidRPr="00F953E5">
        <w:rPr>
          <w:sz w:val="20"/>
          <w:szCs w:val="20"/>
        </w:rPr>
        <w:fldChar w:fldCharType="separate"/>
      </w:r>
      <w:r w:rsidRPr="00DA357C">
        <w:t xml:space="preserve">Table 2 Comparison of cases and controls: Wealth index, self-esteem, self-efficacy, and locus of control </w:t>
      </w:r>
    </w:p>
    <w:p w14:paraId="22C5DD4C" w14:textId="77777777" w:rsidR="00DA357C" w:rsidRPr="00F953E5" w:rsidRDefault="00DA357C" w:rsidP="00DA357C">
      <w:pPr>
        <w:rPr>
          <w:rFonts w:cs="Times New Roman"/>
          <w:sz w:val="20"/>
        </w:rPr>
      </w:pPr>
    </w:p>
    <w:tbl>
      <w:tblPr>
        <w:tblStyle w:val="TableGrid"/>
        <w:tblW w:w="10345" w:type="dxa"/>
        <w:tblLayout w:type="fixed"/>
        <w:tblLook w:val="04A0" w:firstRow="1" w:lastRow="0" w:firstColumn="1" w:lastColumn="0" w:noHBand="0" w:noVBand="1"/>
      </w:tblPr>
      <w:tblGrid>
        <w:gridCol w:w="895"/>
        <w:gridCol w:w="720"/>
        <w:gridCol w:w="810"/>
        <w:gridCol w:w="900"/>
        <w:gridCol w:w="1350"/>
        <w:gridCol w:w="810"/>
        <w:gridCol w:w="810"/>
        <w:gridCol w:w="990"/>
        <w:gridCol w:w="1350"/>
        <w:gridCol w:w="900"/>
        <w:gridCol w:w="810"/>
      </w:tblGrid>
      <w:tr w:rsidR="00DA357C" w:rsidRPr="00F953E5" w14:paraId="2B7DF37E" w14:textId="77777777" w:rsidTr="003837BA">
        <w:tc>
          <w:tcPr>
            <w:tcW w:w="895" w:type="dxa"/>
            <w:shd w:val="clear" w:color="auto" w:fill="000000" w:themeFill="text1"/>
          </w:tcPr>
          <w:p w14:paraId="1BC7766B" w14:textId="77777777" w:rsidR="00DA357C" w:rsidRPr="00F953E5" w:rsidRDefault="00DA357C" w:rsidP="00CA5245">
            <w:pPr>
              <w:spacing w:before="40" w:after="40"/>
              <w:jc w:val="center"/>
              <w:rPr>
                <w:color w:val="FFFFFF" w:themeColor="background1"/>
                <w:sz w:val="20"/>
              </w:rPr>
            </w:pPr>
          </w:p>
        </w:tc>
        <w:tc>
          <w:tcPr>
            <w:tcW w:w="3780" w:type="dxa"/>
            <w:gridSpan w:val="4"/>
            <w:shd w:val="clear" w:color="auto" w:fill="000000" w:themeFill="text1"/>
          </w:tcPr>
          <w:p w14:paraId="4E169720" w14:textId="77777777" w:rsidR="00DA357C" w:rsidRPr="00F953E5" w:rsidRDefault="00DA357C" w:rsidP="00CA5245">
            <w:pPr>
              <w:spacing w:before="40" w:after="40"/>
              <w:jc w:val="center"/>
              <w:rPr>
                <w:color w:val="FFFFFF" w:themeColor="background1"/>
                <w:sz w:val="20"/>
              </w:rPr>
            </w:pPr>
            <w:r w:rsidRPr="00F953E5">
              <w:rPr>
                <w:color w:val="FFFFFF" w:themeColor="background1"/>
                <w:sz w:val="20"/>
              </w:rPr>
              <w:t>Cases</w:t>
            </w:r>
          </w:p>
        </w:tc>
        <w:tc>
          <w:tcPr>
            <w:tcW w:w="810" w:type="dxa"/>
            <w:shd w:val="clear" w:color="auto" w:fill="000000" w:themeFill="text1"/>
          </w:tcPr>
          <w:p w14:paraId="53B07F90" w14:textId="77777777" w:rsidR="00DA357C" w:rsidRPr="00F953E5" w:rsidRDefault="00DA357C" w:rsidP="00CA5245">
            <w:pPr>
              <w:spacing w:before="40" w:after="40"/>
              <w:jc w:val="center"/>
              <w:rPr>
                <w:color w:val="FFFFFF" w:themeColor="background1"/>
                <w:sz w:val="20"/>
              </w:rPr>
            </w:pPr>
          </w:p>
        </w:tc>
        <w:tc>
          <w:tcPr>
            <w:tcW w:w="4050" w:type="dxa"/>
            <w:gridSpan w:val="4"/>
            <w:shd w:val="clear" w:color="auto" w:fill="000000" w:themeFill="text1"/>
          </w:tcPr>
          <w:p w14:paraId="351AA875" w14:textId="77777777" w:rsidR="00DA357C" w:rsidRPr="00F953E5" w:rsidRDefault="00DA357C" w:rsidP="00CA5245">
            <w:pPr>
              <w:spacing w:before="40" w:after="40"/>
              <w:jc w:val="center"/>
              <w:rPr>
                <w:color w:val="FFFFFF" w:themeColor="background1"/>
                <w:sz w:val="20"/>
              </w:rPr>
            </w:pPr>
            <w:r w:rsidRPr="00F953E5">
              <w:rPr>
                <w:color w:val="FFFFFF" w:themeColor="background1"/>
                <w:sz w:val="20"/>
              </w:rPr>
              <w:t>Control</w:t>
            </w:r>
          </w:p>
        </w:tc>
        <w:tc>
          <w:tcPr>
            <w:tcW w:w="810" w:type="dxa"/>
            <w:shd w:val="clear" w:color="auto" w:fill="000000" w:themeFill="text1"/>
          </w:tcPr>
          <w:p w14:paraId="5ABD4E9E" w14:textId="77777777" w:rsidR="00DA357C" w:rsidRPr="00F953E5" w:rsidRDefault="00DA357C" w:rsidP="00CA5245">
            <w:pPr>
              <w:spacing w:before="40" w:after="40"/>
              <w:jc w:val="center"/>
              <w:rPr>
                <w:color w:val="FFFFFF" w:themeColor="background1"/>
                <w:sz w:val="20"/>
              </w:rPr>
            </w:pPr>
          </w:p>
        </w:tc>
      </w:tr>
      <w:tr w:rsidR="00DA357C" w:rsidRPr="00F953E5" w14:paraId="1C34E86A" w14:textId="77777777" w:rsidTr="003837BA">
        <w:tc>
          <w:tcPr>
            <w:tcW w:w="895" w:type="dxa"/>
            <w:shd w:val="clear" w:color="auto" w:fill="000000" w:themeFill="text1"/>
          </w:tcPr>
          <w:p w14:paraId="19F2F86D" w14:textId="77777777" w:rsidR="00DA357C" w:rsidRPr="00F953E5" w:rsidRDefault="00DA357C" w:rsidP="00CA5245">
            <w:pPr>
              <w:jc w:val="center"/>
              <w:rPr>
                <w:rFonts w:cs="Times New Roman"/>
                <w:color w:val="FFFFFF" w:themeColor="background1"/>
                <w:sz w:val="20"/>
              </w:rPr>
            </w:pPr>
          </w:p>
        </w:tc>
        <w:tc>
          <w:tcPr>
            <w:tcW w:w="720" w:type="dxa"/>
            <w:shd w:val="clear" w:color="auto" w:fill="000000" w:themeFill="text1"/>
          </w:tcPr>
          <w:p w14:paraId="1931244C"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N</w:t>
            </w:r>
          </w:p>
        </w:tc>
        <w:tc>
          <w:tcPr>
            <w:tcW w:w="810" w:type="dxa"/>
            <w:shd w:val="clear" w:color="auto" w:fill="000000" w:themeFill="text1"/>
          </w:tcPr>
          <w:p w14:paraId="0D4A4204"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Mean</w:t>
            </w:r>
          </w:p>
        </w:tc>
        <w:tc>
          <w:tcPr>
            <w:tcW w:w="900" w:type="dxa"/>
            <w:shd w:val="clear" w:color="auto" w:fill="000000" w:themeFill="text1"/>
          </w:tcPr>
          <w:p w14:paraId="74D35516"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SE</w:t>
            </w:r>
          </w:p>
        </w:tc>
        <w:tc>
          <w:tcPr>
            <w:tcW w:w="1350" w:type="dxa"/>
            <w:shd w:val="clear" w:color="auto" w:fill="000000" w:themeFill="text1"/>
          </w:tcPr>
          <w:p w14:paraId="6A7431B0"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Median/</w:t>
            </w:r>
          </w:p>
          <w:p w14:paraId="06A32128"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[Range]</w:t>
            </w:r>
          </w:p>
        </w:tc>
        <w:tc>
          <w:tcPr>
            <w:tcW w:w="810" w:type="dxa"/>
            <w:shd w:val="clear" w:color="auto" w:fill="000000" w:themeFill="text1"/>
          </w:tcPr>
          <w:p w14:paraId="3B3BA471"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N</w:t>
            </w:r>
          </w:p>
        </w:tc>
        <w:tc>
          <w:tcPr>
            <w:tcW w:w="810" w:type="dxa"/>
            <w:shd w:val="clear" w:color="auto" w:fill="000000" w:themeFill="text1"/>
          </w:tcPr>
          <w:p w14:paraId="7A2063A1"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Mean</w:t>
            </w:r>
          </w:p>
        </w:tc>
        <w:tc>
          <w:tcPr>
            <w:tcW w:w="990" w:type="dxa"/>
            <w:shd w:val="clear" w:color="auto" w:fill="000000" w:themeFill="text1"/>
          </w:tcPr>
          <w:p w14:paraId="479B1CDC"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SE</w:t>
            </w:r>
          </w:p>
        </w:tc>
        <w:tc>
          <w:tcPr>
            <w:tcW w:w="1350" w:type="dxa"/>
            <w:shd w:val="clear" w:color="auto" w:fill="000000" w:themeFill="text1"/>
          </w:tcPr>
          <w:p w14:paraId="24AF0A0D"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Median/</w:t>
            </w:r>
          </w:p>
          <w:p w14:paraId="6A215E4D"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[Range]</w:t>
            </w:r>
          </w:p>
        </w:tc>
        <w:tc>
          <w:tcPr>
            <w:tcW w:w="900" w:type="dxa"/>
            <w:shd w:val="clear" w:color="auto" w:fill="000000" w:themeFill="text1"/>
          </w:tcPr>
          <w:p w14:paraId="1D2B980D"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p-value</w:t>
            </w:r>
          </w:p>
        </w:tc>
        <w:tc>
          <w:tcPr>
            <w:tcW w:w="810" w:type="dxa"/>
            <w:shd w:val="clear" w:color="auto" w:fill="000000" w:themeFill="text1"/>
          </w:tcPr>
          <w:p w14:paraId="2C74E9AA" w14:textId="77777777" w:rsidR="00DA357C" w:rsidRPr="00F953E5" w:rsidRDefault="00DA357C" w:rsidP="00CA5245">
            <w:pPr>
              <w:jc w:val="center"/>
              <w:rPr>
                <w:rFonts w:cs="Times New Roman"/>
                <w:color w:val="FFFFFF" w:themeColor="background1"/>
                <w:sz w:val="20"/>
              </w:rPr>
            </w:pPr>
            <w:r w:rsidRPr="00F953E5">
              <w:rPr>
                <w:rFonts w:cs="Times New Roman"/>
                <w:color w:val="FFFFFF" w:themeColor="background1"/>
                <w:sz w:val="20"/>
              </w:rPr>
              <w:t>ICC</w:t>
            </w:r>
          </w:p>
        </w:tc>
      </w:tr>
      <w:tr w:rsidR="00DA357C" w:rsidRPr="00F953E5" w14:paraId="2E2DDB82" w14:textId="77777777" w:rsidTr="003837BA">
        <w:tc>
          <w:tcPr>
            <w:tcW w:w="895" w:type="dxa"/>
          </w:tcPr>
          <w:p w14:paraId="34C4F330" w14:textId="77777777" w:rsidR="00DA357C" w:rsidRPr="00DA357C" w:rsidRDefault="00DA357C" w:rsidP="00CA5245">
            <w:pPr>
              <w:rPr>
                <w:sz w:val="18"/>
                <w:szCs w:val="18"/>
              </w:rPr>
            </w:pPr>
            <w:r w:rsidRPr="00DA357C">
              <w:rPr>
                <w:sz w:val="18"/>
                <w:szCs w:val="18"/>
              </w:rPr>
              <w:t>Wealth index</w:t>
            </w:r>
          </w:p>
        </w:tc>
        <w:tc>
          <w:tcPr>
            <w:tcW w:w="720" w:type="dxa"/>
          </w:tcPr>
          <w:p w14:paraId="02B259A0" w14:textId="77777777" w:rsidR="00DA357C" w:rsidRPr="00DA357C" w:rsidRDefault="00DA357C" w:rsidP="00CA5245">
            <w:pPr>
              <w:rPr>
                <w:sz w:val="18"/>
                <w:szCs w:val="18"/>
              </w:rPr>
            </w:pPr>
            <w:r w:rsidRPr="00DA357C">
              <w:rPr>
                <w:sz w:val="18"/>
                <w:szCs w:val="18"/>
              </w:rPr>
              <w:t>662</w:t>
            </w:r>
          </w:p>
        </w:tc>
        <w:tc>
          <w:tcPr>
            <w:tcW w:w="810" w:type="dxa"/>
          </w:tcPr>
          <w:p w14:paraId="0F24F2CB" w14:textId="77777777" w:rsidR="00DA357C" w:rsidRPr="00DA357C" w:rsidRDefault="00DA357C" w:rsidP="00CA5245">
            <w:pPr>
              <w:rPr>
                <w:sz w:val="18"/>
                <w:szCs w:val="18"/>
              </w:rPr>
            </w:pPr>
            <w:r w:rsidRPr="00DA357C">
              <w:rPr>
                <w:sz w:val="18"/>
                <w:szCs w:val="18"/>
              </w:rPr>
              <w:t>0.0041</w:t>
            </w:r>
          </w:p>
        </w:tc>
        <w:tc>
          <w:tcPr>
            <w:tcW w:w="900" w:type="dxa"/>
          </w:tcPr>
          <w:p w14:paraId="17831AE9" w14:textId="77777777" w:rsidR="00DA357C" w:rsidRPr="00DA357C" w:rsidRDefault="00DA357C" w:rsidP="00CA5245">
            <w:pPr>
              <w:rPr>
                <w:sz w:val="18"/>
                <w:szCs w:val="18"/>
              </w:rPr>
            </w:pPr>
            <w:r w:rsidRPr="00DA357C">
              <w:rPr>
                <w:sz w:val="18"/>
                <w:szCs w:val="18"/>
              </w:rPr>
              <w:t>0.1259</w:t>
            </w:r>
          </w:p>
        </w:tc>
        <w:tc>
          <w:tcPr>
            <w:tcW w:w="1350" w:type="dxa"/>
          </w:tcPr>
          <w:p w14:paraId="1BAC19DD" w14:textId="77777777" w:rsidR="00DA357C" w:rsidRPr="00DA357C" w:rsidRDefault="00DA357C" w:rsidP="00CA5245">
            <w:pPr>
              <w:rPr>
                <w:sz w:val="18"/>
                <w:szCs w:val="18"/>
              </w:rPr>
            </w:pPr>
            <w:r w:rsidRPr="00DA357C">
              <w:rPr>
                <w:sz w:val="18"/>
                <w:szCs w:val="18"/>
              </w:rPr>
              <w:t>-.1098269/</w:t>
            </w:r>
          </w:p>
          <w:p w14:paraId="3468F61F" w14:textId="77777777" w:rsidR="00DA357C" w:rsidRPr="00DA357C" w:rsidRDefault="00DA357C" w:rsidP="00CA5245">
            <w:pPr>
              <w:rPr>
                <w:sz w:val="18"/>
                <w:szCs w:val="18"/>
              </w:rPr>
            </w:pPr>
            <w:r w:rsidRPr="00DA357C">
              <w:rPr>
                <w:sz w:val="18"/>
                <w:szCs w:val="18"/>
              </w:rPr>
              <w:t>[-3.774677, 4.772555]</w:t>
            </w:r>
          </w:p>
        </w:tc>
        <w:tc>
          <w:tcPr>
            <w:tcW w:w="810" w:type="dxa"/>
          </w:tcPr>
          <w:p w14:paraId="39B6DE00" w14:textId="77777777" w:rsidR="00DA357C" w:rsidRPr="00DA357C" w:rsidRDefault="00DA357C" w:rsidP="00CA5245">
            <w:pPr>
              <w:rPr>
                <w:sz w:val="18"/>
                <w:szCs w:val="18"/>
              </w:rPr>
            </w:pPr>
            <w:r w:rsidRPr="00DA357C">
              <w:rPr>
                <w:sz w:val="18"/>
                <w:szCs w:val="18"/>
              </w:rPr>
              <w:t>559</w:t>
            </w:r>
          </w:p>
        </w:tc>
        <w:tc>
          <w:tcPr>
            <w:tcW w:w="810" w:type="dxa"/>
          </w:tcPr>
          <w:p w14:paraId="376F7E91" w14:textId="77777777" w:rsidR="00DA357C" w:rsidRPr="00DA357C" w:rsidRDefault="00DA357C" w:rsidP="00CA5245">
            <w:pPr>
              <w:rPr>
                <w:sz w:val="18"/>
                <w:szCs w:val="18"/>
              </w:rPr>
            </w:pPr>
            <w:r w:rsidRPr="00DA357C">
              <w:rPr>
                <w:sz w:val="18"/>
                <w:szCs w:val="18"/>
              </w:rPr>
              <w:t xml:space="preserve">-0.0130  </w:t>
            </w:r>
          </w:p>
        </w:tc>
        <w:tc>
          <w:tcPr>
            <w:tcW w:w="990" w:type="dxa"/>
          </w:tcPr>
          <w:p w14:paraId="4B574EFA" w14:textId="77777777" w:rsidR="00DA357C" w:rsidRPr="00DA357C" w:rsidRDefault="00DA357C" w:rsidP="00CA5245">
            <w:pPr>
              <w:rPr>
                <w:sz w:val="18"/>
                <w:szCs w:val="18"/>
              </w:rPr>
            </w:pPr>
            <w:r w:rsidRPr="00DA357C">
              <w:rPr>
                <w:sz w:val="18"/>
                <w:szCs w:val="18"/>
              </w:rPr>
              <w:t>0.1348</w:t>
            </w:r>
          </w:p>
        </w:tc>
        <w:tc>
          <w:tcPr>
            <w:tcW w:w="1350" w:type="dxa"/>
          </w:tcPr>
          <w:p w14:paraId="6F7D9F8A" w14:textId="77777777" w:rsidR="00DA357C" w:rsidRPr="00DA357C" w:rsidRDefault="00DA357C" w:rsidP="00CA5245">
            <w:pPr>
              <w:rPr>
                <w:sz w:val="18"/>
                <w:szCs w:val="18"/>
              </w:rPr>
            </w:pPr>
            <w:r w:rsidRPr="00DA357C">
              <w:rPr>
                <w:sz w:val="18"/>
                <w:szCs w:val="18"/>
              </w:rPr>
              <w:t>-.0914621/</w:t>
            </w:r>
          </w:p>
          <w:p w14:paraId="415E5F5A" w14:textId="77777777" w:rsidR="00DA357C" w:rsidRPr="00DA357C" w:rsidRDefault="00DA357C" w:rsidP="00CA5245">
            <w:pPr>
              <w:rPr>
                <w:sz w:val="18"/>
                <w:szCs w:val="18"/>
              </w:rPr>
            </w:pPr>
            <w:r w:rsidRPr="00DA357C">
              <w:rPr>
                <w:sz w:val="18"/>
                <w:szCs w:val="18"/>
              </w:rPr>
              <w:t>[-3.768226, 4.675269]</w:t>
            </w:r>
          </w:p>
        </w:tc>
        <w:tc>
          <w:tcPr>
            <w:tcW w:w="900" w:type="dxa"/>
          </w:tcPr>
          <w:p w14:paraId="5C7CE107" w14:textId="77777777" w:rsidR="00DA357C" w:rsidRPr="00DA357C" w:rsidRDefault="00DA357C" w:rsidP="00CA5245">
            <w:pPr>
              <w:rPr>
                <w:sz w:val="18"/>
                <w:szCs w:val="18"/>
              </w:rPr>
            </w:pPr>
            <w:r w:rsidRPr="00DA357C">
              <w:rPr>
                <w:sz w:val="18"/>
                <w:szCs w:val="18"/>
              </w:rPr>
              <w:t xml:space="preserve">0.9265 </w:t>
            </w:r>
          </w:p>
        </w:tc>
        <w:tc>
          <w:tcPr>
            <w:tcW w:w="810" w:type="dxa"/>
          </w:tcPr>
          <w:p w14:paraId="3DD1A182" w14:textId="77777777" w:rsidR="00DA357C" w:rsidRPr="00DA357C" w:rsidRDefault="00DA357C" w:rsidP="00CA5245">
            <w:pPr>
              <w:rPr>
                <w:sz w:val="18"/>
                <w:szCs w:val="18"/>
              </w:rPr>
            </w:pPr>
          </w:p>
        </w:tc>
      </w:tr>
      <w:tr w:rsidR="00DA357C" w:rsidRPr="00F953E5" w14:paraId="6F411435" w14:textId="77777777" w:rsidTr="003837BA">
        <w:tc>
          <w:tcPr>
            <w:tcW w:w="895" w:type="dxa"/>
          </w:tcPr>
          <w:p w14:paraId="304AD78E" w14:textId="77777777" w:rsidR="00DA357C" w:rsidRPr="00DA357C" w:rsidRDefault="00DA357C" w:rsidP="00CA5245">
            <w:pPr>
              <w:rPr>
                <w:sz w:val="18"/>
                <w:szCs w:val="18"/>
              </w:rPr>
            </w:pPr>
            <w:r w:rsidRPr="00DA357C">
              <w:rPr>
                <w:sz w:val="18"/>
                <w:szCs w:val="18"/>
              </w:rPr>
              <w:t xml:space="preserve">Self esteem </w:t>
            </w:r>
          </w:p>
        </w:tc>
        <w:tc>
          <w:tcPr>
            <w:tcW w:w="720" w:type="dxa"/>
          </w:tcPr>
          <w:p w14:paraId="423C2772" w14:textId="77777777" w:rsidR="00DA357C" w:rsidRPr="00DA357C" w:rsidRDefault="00DA357C" w:rsidP="00CA5245">
            <w:pPr>
              <w:rPr>
                <w:sz w:val="18"/>
                <w:szCs w:val="18"/>
              </w:rPr>
            </w:pPr>
            <w:r w:rsidRPr="00DA357C">
              <w:rPr>
                <w:sz w:val="18"/>
                <w:szCs w:val="18"/>
              </w:rPr>
              <w:t>641</w:t>
            </w:r>
          </w:p>
        </w:tc>
        <w:tc>
          <w:tcPr>
            <w:tcW w:w="810" w:type="dxa"/>
          </w:tcPr>
          <w:p w14:paraId="18C2177C" w14:textId="77777777" w:rsidR="00DA357C" w:rsidRPr="00DA357C" w:rsidRDefault="00DA357C" w:rsidP="00CA5245">
            <w:pPr>
              <w:rPr>
                <w:sz w:val="18"/>
                <w:szCs w:val="18"/>
              </w:rPr>
            </w:pPr>
            <w:r w:rsidRPr="00DA357C">
              <w:rPr>
                <w:sz w:val="18"/>
                <w:szCs w:val="18"/>
              </w:rPr>
              <w:t>18.2</w:t>
            </w:r>
          </w:p>
        </w:tc>
        <w:tc>
          <w:tcPr>
            <w:tcW w:w="900" w:type="dxa"/>
          </w:tcPr>
          <w:p w14:paraId="690BA611" w14:textId="77777777" w:rsidR="00DA357C" w:rsidRPr="00DA357C" w:rsidRDefault="00DA357C" w:rsidP="00CA5245">
            <w:pPr>
              <w:rPr>
                <w:sz w:val="18"/>
                <w:szCs w:val="18"/>
              </w:rPr>
            </w:pPr>
            <w:r w:rsidRPr="00DA357C">
              <w:rPr>
                <w:sz w:val="18"/>
                <w:szCs w:val="18"/>
              </w:rPr>
              <w:t>0.1167</w:t>
            </w:r>
          </w:p>
        </w:tc>
        <w:tc>
          <w:tcPr>
            <w:tcW w:w="1350" w:type="dxa"/>
          </w:tcPr>
          <w:p w14:paraId="7EEED8F3" w14:textId="77777777" w:rsidR="00DA357C" w:rsidRPr="00DA357C" w:rsidRDefault="00DA357C" w:rsidP="00CA5245">
            <w:pPr>
              <w:rPr>
                <w:sz w:val="18"/>
                <w:szCs w:val="18"/>
              </w:rPr>
            </w:pPr>
            <w:r w:rsidRPr="00DA357C">
              <w:rPr>
                <w:sz w:val="18"/>
                <w:szCs w:val="18"/>
              </w:rPr>
              <w:t>18</w:t>
            </w:r>
            <w:proofErr w:type="gramStart"/>
            <w:r w:rsidRPr="00DA357C">
              <w:rPr>
                <w:sz w:val="18"/>
                <w:szCs w:val="18"/>
              </w:rPr>
              <w:t>/[</w:t>
            </w:r>
            <w:proofErr w:type="gramEnd"/>
            <w:r w:rsidRPr="00DA357C">
              <w:rPr>
                <w:sz w:val="18"/>
                <w:szCs w:val="18"/>
              </w:rPr>
              <w:t>11, 25]</w:t>
            </w:r>
          </w:p>
        </w:tc>
        <w:tc>
          <w:tcPr>
            <w:tcW w:w="810" w:type="dxa"/>
          </w:tcPr>
          <w:p w14:paraId="2C05EF5E" w14:textId="77777777" w:rsidR="00DA357C" w:rsidRPr="00DA357C" w:rsidRDefault="00DA357C" w:rsidP="00CA5245">
            <w:pPr>
              <w:rPr>
                <w:sz w:val="18"/>
                <w:szCs w:val="18"/>
              </w:rPr>
            </w:pPr>
            <w:r w:rsidRPr="00DA357C">
              <w:rPr>
                <w:sz w:val="18"/>
                <w:szCs w:val="18"/>
              </w:rPr>
              <w:t>528</w:t>
            </w:r>
          </w:p>
        </w:tc>
        <w:tc>
          <w:tcPr>
            <w:tcW w:w="810" w:type="dxa"/>
          </w:tcPr>
          <w:p w14:paraId="7ABCC42F" w14:textId="77777777" w:rsidR="00DA357C" w:rsidRPr="00DA357C" w:rsidRDefault="00DA357C" w:rsidP="00CA5245">
            <w:pPr>
              <w:rPr>
                <w:sz w:val="18"/>
                <w:szCs w:val="18"/>
              </w:rPr>
            </w:pPr>
            <w:r w:rsidRPr="00DA357C">
              <w:rPr>
                <w:sz w:val="18"/>
                <w:szCs w:val="18"/>
              </w:rPr>
              <w:t>18.2</w:t>
            </w:r>
          </w:p>
        </w:tc>
        <w:tc>
          <w:tcPr>
            <w:tcW w:w="990" w:type="dxa"/>
          </w:tcPr>
          <w:p w14:paraId="36BF3384" w14:textId="77777777" w:rsidR="00DA357C" w:rsidRPr="00DA357C" w:rsidRDefault="00DA357C" w:rsidP="00CA5245">
            <w:pPr>
              <w:rPr>
                <w:sz w:val="18"/>
                <w:szCs w:val="18"/>
              </w:rPr>
            </w:pPr>
            <w:r w:rsidRPr="00DA357C">
              <w:rPr>
                <w:sz w:val="18"/>
                <w:szCs w:val="18"/>
              </w:rPr>
              <w:t>0.1266</w:t>
            </w:r>
          </w:p>
        </w:tc>
        <w:tc>
          <w:tcPr>
            <w:tcW w:w="1350" w:type="dxa"/>
          </w:tcPr>
          <w:p w14:paraId="60280CEB" w14:textId="77777777" w:rsidR="00DA357C" w:rsidRPr="00DA357C" w:rsidRDefault="00DA357C" w:rsidP="00CA5245">
            <w:pPr>
              <w:rPr>
                <w:sz w:val="18"/>
                <w:szCs w:val="18"/>
              </w:rPr>
            </w:pPr>
            <w:r w:rsidRPr="00DA357C">
              <w:rPr>
                <w:sz w:val="18"/>
                <w:szCs w:val="18"/>
              </w:rPr>
              <w:t>18</w:t>
            </w:r>
            <w:proofErr w:type="gramStart"/>
            <w:r w:rsidRPr="00DA357C">
              <w:rPr>
                <w:sz w:val="18"/>
                <w:szCs w:val="18"/>
              </w:rPr>
              <w:t>/[</w:t>
            </w:r>
            <w:proofErr w:type="gramEnd"/>
            <w:r w:rsidRPr="00DA357C">
              <w:rPr>
                <w:sz w:val="18"/>
                <w:szCs w:val="18"/>
              </w:rPr>
              <w:t>10, 27]</w:t>
            </w:r>
          </w:p>
        </w:tc>
        <w:tc>
          <w:tcPr>
            <w:tcW w:w="900" w:type="dxa"/>
          </w:tcPr>
          <w:p w14:paraId="7B847586" w14:textId="77777777" w:rsidR="00DA357C" w:rsidRPr="00DA357C" w:rsidRDefault="00DA357C" w:rsidP="00CA5245">
            <w:pPr>
              <w:rPr>
                <w:sz w:val="18"/>
                <w:szCs w:val="18"/>
              </w:rPr>
            </w:pPr>
            <w:r w:rsidRPr="00DA357C">
              <w:rPr>
                <w:sz w:val="18"/>
                <w:szCs w:val="18"/>
              </w:rPr>
              <w:t>0.7969</w:t>
            </w:r>
          </w:p>
        </w:tc>
        <w:tc>
          <w:tcPr>
            <w:tcW w:w="810" w:type="dxa"/>
          </w:tcPr>
          <w:p w14:paraId="239D93F0" w14:textId="77777777" w:rsidR="00DA357C" w:rsidRPr="00DA357C" w:rsidRDefault="00DA357C" w:rsidP="00CA5245">
            <w:pPr>
              <w:rPr>
                <w:sz w:val="18"/>
                <w:szCs w:val="18"/>
              </w:rPr>
            </w:pPr>
            <w:r w:rsidRPr="00DA357C">
              <w:rPr>
                <w:sz w:val="18"/>
                <w:szCs w:val="18"/>
              </w:rPr>
              <w:t>0.0526</w:t>
            </w:r>
          </w:p>
        </w:tc>
      </w:tr>
      <w:tr w:rsidR="00DA357C" w:rsidRPr="00F953E5" w14:paraId="00066638" w14:textId="77777777" w:rsidTr="003837BA">
        <w:tc>
          <w:tcPr>
            <w:tcW w:w="895" w:type="dxa"/>
          </w:tcPr>
          <w:p w14:paraId="2EB13409" w14:textId="77777777" w:rsidR="00DA357C" w:rsidRPr="00DA357C" w:rsidRDefault="00DA357C" w:rsidP="00CA5245">
            <w:pPr>
              <w:rPr>
                <w:sz w:val="18"/>
                <w:szCs w:val="18"/>
              </w:rPr>
            </w:pPr>
            <w:r w:rsidRPr="00DA357C">
              <w:rPr>
                <w:sz w:val="18"/>
                <w:szCs w:val="18"/>
              </w:rPr>
              <w:t xml:space="preserve">Self-efficacy </w:t>
            </w:r>
          </w:p>
        </w:tc>
        <w:tc>
          <w:tcPr>
            <w:tcW w:w="720" w:type="dxa"/>
          </w:tcPr>
          <w:p w14:paraId="5F25FDA2" w14:textId="77777777" w:rsidR="00DA357C" w:rsidRPr="00DA357C" w:rsidRDefault="00DA357C" w:rsidP="00CA5245">
            <w:pPr>
              <w:rPr>
                <w:sz w:val="18"/>
                <w:szCs w:val="18"/>
              </w:rPr>
            </w:pPr>
            <w:r w:rsidRPr="00DA357C">
              <w:rPr>
                <w:sz w:val="18"/>
                <w:szCs w:val="18"/>
              </w:rPr>
              <w:t>644</w:t>
            </w:r>
          </w:p>
        </w:tc>
        <w:tc>
          <w:tcPr>
            <w:tcW w:w="810" w:type="dxa"/>
          </w:tcPr>
          <w:p w14:paraId="4F800AD0" w14:textId="77777777" w:rsidR="00DA357C" w:rsidRPr="00DA357C" w:rsidRDefault="00DA357C" w:rsidP="00CA5245">
            <w:pPr>
              <w:rPr>
                <w:sz w:val="18"/>
                <w:szCs w:val="18"/>
              </w:rPr>
            </w:pPr>
            <w:r w:rsidRPr="00DA357C">
              <w:rPr>
                <w:sz w:val="18"/>
                <w:szCs w:val="18"/>
              </w:rPr>
              <w:t>30.2</w:t>
            </w:r>
          </w:p>
        </w:tc>
        <w:tc>
          <w:tcPr>
            <w:tcW w:w="900" w:type="dxa"/>
          </w:tcPr>
          <w:p w14:paraId="7E2BBB07" w14:textId="77777777" w:rsidR="00DA357C" w:rsidRPr="00DA357C" w:rsidRDefault="00DA357C" w:rsidP="00CA5245">
            <w:pPr>
              <w:rPr>
                <w:sz w:val="18"/>
                <w:szCs w:val="18"/>
              </w:rPr>
            </w:pPr>
            <w:r w:rsidRPr="00DA357C">
              <w:rPr>
                <w:sz w:val="18"/>
                <w:szCs w:val="18"/>
              </w:rPr>
              <w:t xml:space="preserve">0.2521 </w:t>
            </w:r>
          </w:p>
        </w:tc>
        <w:tc>
          <w:tcPr>
            <w:tcW w:w="1350" w:type="dxa"/>
          </w:tcPr>
          <w:p w14:paraId="6EB30A34" w14:textId="77777777" w:rsidR="00DA357C" w:rsidRPr="00DA357C" w:rsidRDefault="00DA357C" w:rsidP="00CA5245">
            <w:pPr>
              <w:rPr>
                <w:sz w:val="18"/>
                <w:szCs w:val="18"/>
              </w:rPr>
            </w:pPr>
            <w:r w:rsidRPr="00DA357C">
              <w:rPr>
                <w:sz w:val="18"/>
                <w:szCs w:val="18"/>
              </w:rPr>
              <w:t>30</w:t>
            </w:r>
            <w:proofErr w:type="gramStart"/>
            <w:r w:rsidRPr="00DA357C">
              <w:rPr>
                <w:sz w:val="18"/>
                <w:szCs w:val="18"/>
              </w:rPr>
              <w:t>/[</w:t>
            </w:r>
            <w:proofErr w:type="gramEnd"/>
            <w:r w:rsidRPr="00DA357C">
              <w:rPr>
                <w:sz w:val="18"/>
                <w:szCs w:val="18"/>
              </w:rPr>
              <w:t>18, 40]</w:t>
            </w:r>
          </w:p>
        </w:tc>
        <w:tc>
          <w:tcPr>
            <w:tcW w:w="810" w:type="dxa"/>
          </w:tcPr>
          <w:p w14:paraId="659B6719" w14:textId="77777777" w:rsidR="00DA357C" w:rsidRPr="00DA357C" w:rsidRDefault="00DA357C" w:rsidP="00CA5245">
            <w:pPr>
              <w:rPr>
                <w:sz w:val="18"/>
                <w:szCs w:val="18"/>
              </w:rPr>
            </w:pPr>
            <w:r w:rsidRPr="00DA357C">
              <w:rPr>
                <w:sz w:val="18"/>
                <w:szCs w:val="18"/>
              </w:rPr>
              <w:t>533</w:t>
            </w:r>
          </w:p>
        </w:tc>
        <w:tc>
          <w:tcPr>
            <w:tcW w:w="810" w:type="dxa"/>
          </w:tcPr>
          <w:p w14:paraId="15CF0DD1" w14:textId="77777777" w:rsidR="00DA357C" w:rsidRPr="00DA357C" w:rsidRDefault="00DA357C" w:rsidP="00CA5245">
            <w:pPr>
              <w:rPr>
                <w:sz w:val="18"/>
                <w:szCs w:val="18"/>
              </w:rPr>
            </w:pPr>
            <w:r w:rsidRPr="00DA357C">
              <w:rPr>
                <w:sz w:val="18"/>
                <w:szCs w:val="18"/>
              </w:rPr>
              <w:t>30.1</w:t>
            </w:r>
          </w:p>
        </w:tc>
        <w:tc>
          <w:tcPr>
            <w:tcW w:w="990" w:type="dxa"/>
          </w:tcPr>
          <w:p w14:paraId="4351B556" w14:textId="77777777" w:rsidR="00DA357C" w:rsidRPr="00DA357C" w:rsidRDefault="00DA357C" w:rsidP="00CA5245">
            <w:pPr>
              <w:rPr>
                <w:sz w:val="18"/>
                <w:szCs w:val="18"/>
              </w:rPr>
            </w:pPr>
            <w:r w:rsidRPr="00DA357C">
              <w:rPr>
                <w:sz w:val="18"/>
                <w:szCs w:val="18"/>
              </w:rPr>
              <w:t>0.2711</w:t>
            </w:r>
          </w:p>
        </w:tc>
        <w:tc>
          <w:tcPr>
            <w:tcW w:w="1350" w:type="dxa"/>
          </w:tcPr>
          <w:p w14:paraId="30A676BD" w14:textId="77777777" w:rsidR="00DA357C" w:rsidRPr="00DA357C" w:rsidRDefault="00DA357C" w:rsidP="00CA5245">
            <w:pPr>
              <w:rPr>
                <w:sz w:val="18"/>
                <w:szCs w:val="18"/>
              </w:rPr>
            </w:pPr>
            <w:r w:rsidRPr="00DA357C">
              <w:rPr>
                <w:sz w:val="18"/>
                <w:szCs w:val="18"/>
              </w:rPr>
              <w:t>30</w:t>
            </w:r>
            <w:proofErr w:type="gramStart"/>
            <w:r w:rsidRPr="00DA357C">
              <w:rPr>
                <w:sz w:val="18"/>
                <w:szCs w:val="18"/>
              </w:rPr>
              <w:t>/[</w:t>
            </w:r>
            <w:proofErr w:type="gramEnd"/>
            <w:r w:rsidRPr="00DA357C">
              <w:rPr>
                <w:sz w:val="18"/>
                <w:szCs w:val="18"/>
              </w:rPr>
              <w:t>21, 38]</w:t>
            </w:r>
          </w:p>
        </w:tc>
        <w:tc>
          <w:tcPr>
            <w:tcW w:w="900" w:type="dxa"/>
          </w:tcPr>
          <w:p w14:paraId="7D2609F9" w14:textId="77777777" w:rsidR="00DA357C" w:rsidRPr="00DA357C" w:rsidRDefault="00DA357C" w:rsidP="00CA5245">
            <w:pPr>
              <w:rPr>
                <w:sz w:val="18"/>
                <w:szCs w:val="18"/>
              </w:rPr>
            </w:pPr>
            <w:r w:rsidRPr="00DA357C">
              <w:rPr>
                <w:sz w:val="18"/>
                <w:szCs w:val="18"/>
              </w:rPr>
              <w:t>0.7391</w:t>
            </w:r>
          </w:p>
        </w:tc>
        <w:tc>
          <w:tcPr>
            <w:tcW w:w="810" w:type="dxa"/>
          </w:tcPr>
          <w:p w14:paraId="37598314" w14:textId="77777777" w:rsidR="00DA357C" w:rsidRPr="00DA357C" w:rsidRDefault="00DA357C" w:rsidP="00CA5245">
            <w:pPr>
              <w:rPr>
                <w:sz w:val="18"/>
                <w:szCs w:val="18"/>
              </w:rPr>
            </w:pPr>
            <w:r w:rsidRPr="00DA357C">
              <w:rPr>
                <w:sz w:val="18"/>
                <w:szCs w:val="18"/>
              </w:rPr>
              <w:t>0.1364</w:t>
            </w:r>
          </w:p>
        </w:tc>
      </w:tr>
      <w:tr w:rsidR="00DA357C" w:rsidRPr="00F953E5" w14:paraId="6C758946" w14:textId="77777777" w:rsidTr="003837BA">
        <w:tc>
          <w:tcPr>
            <w:tcW w:w="895" w:type="dxa"/>
          </w:tcPr>
          <w:p w14:paraId="108C1E8E" w14:textId="77777777" w:rsidR="00DA357C" w:rsidRPr="00DA357C" w:rsidRDefault="00DA357C" w:rsidP="00CA5245">
            <w:pPr>
              <w:rPr>
                <w:sz w:val="18"/>
                <w:szCs w:val="18"/>
              </w:rPr>
            </w:pPr>
            <w:r w:rsidRPr="00DA357C">
              <w:rPr>
                <w:sz w:val="18"/>
                <w:szCs w:val="18"/>
              </w:rPr>
              <w:t xml:space="preserve">Locus of control: Internal </w:t>
            </w:r>
          </w:p>
        </w:tc>
        <w:tc>
          <w:tcPr>
            <w:tcW w:w="720" w:type="dxa"/>
          </w:tcPr>
          <w:p w14:paraId="6A7CE781" w14:textId="77777777" w:rsidR="00DA357C" w:rsidRPr="00DA357C" w:rsidRDefault="00DA357C" w:rsidP="00CA5245">
            <w:pPr>
              <w:rPr>
                <w:sz w:val="18"/>
                <w:szCs w:val="18"/>
              </w:rPr>
            </w:pPr>
            <w:r w:rsidRPr="00DA357C">
              <w:rPr>
                <w:sz w:val="18"/>
                <w:szCs w:val="18"/>
              </w:rPr>
              <w:t>659</w:t>
            </w:r>
          </w:p>
        </w:tc>
        <w:tc>
          <w:tcPr>
            <w:tcW w:w="810" w:type="dxa"/>
          </w:tcPr>
          <w:p w14:paraId="54CA3704" w14:textId="77777777" w:rsidR="00DA357C" w:rsidRPr="00DA357C" w:rsidRDefault="00DA357C" w:rsidP="00CA5245">
            <w:pPr>
              <w:rPr>
                <w:sz w:val="18"/>
                <w:szCs w:val="18"/>
              </w:rPr>
            </w:pPr>
            <w:r w:rsidRPr="00DA357C">
              <w:rPr>
                <w:sz w:val="18"/>
                <w:szCs w:val="18"/>
              </w:rPr>
              <w:t>32.2</w:t>
            </w:r>
          </w:p>
        </w:tc>
        <w:tc>
          <w:tcPr>
            <w:tcW w:w="900" w:type="dxa"/>
          </w:tcPr>
          <w:p w14:paraId="6CAD8571" w14:textId="77777777" w:rsidR="00DA357C" w:rsidRPr="00DA357C" w:rsidRDefault="00DA357C" w:rsidP="00CA5245">
            <w:pPr>
              <w:rPr>
                <w:sz w:val="18"/>
                <w:szCs w:val="18"/>
              </w:rPr>
            </w:pPr>
            <w:r w:rsidRPr="00DA357C">
              <w:rPr>
                <w:sz w:val="18"/>
                <w:szCs w:val="18"/>
              </w:rPr>
              <w:t>0.1846</w:t>
            </w:r>
          </w:p>
        </w:tc>
        <w:tc>
          <w:tcPr>
            <w:tcW w:w="1350" w:type="dxa"/>
          </w:tcPr>
          <w:p w14:paraId="57E53CF5" w14:textId="77777777" w:rsidR="00DA357C" w:rsidRPr="00DA357C" w:rsidRDefault="00DA357C" w:rsidP="00CA5245">
            <w:pPr>
              <w:rPr>
                <w:sz w:val="18"/>
                <w:szCs w:val="18"/>
              </w:rPr>
            </w:pPr>
            <w:r w:rsidRPr="00DA357C">
              <w:rPr>
                <w:sz w:val="18"/>
                <w:szCs w:val="18"/>
              </w:rPr>
              <w:t>32</w:t>
            </w:r>
            <w:proofErr w:type="gramStart"/>
            <w:r w:rsidRPr="00DA357C">
              <w:rPr>
                <w:sz w:val="18"/>
                <w:szCs w:val="18"/>
              </w:rPr>
              <w:t>/[</w:t>
            </w:r>
            <w:proofErr w:type="gramEnd"/>
            <w:r w:rsidRPr="00DA357C">
              <w:rPr>
                <w:sz w:val="18"/>
                <w:szCs w:val="18"/>
              </w:rPr>
              <w:t>19, 42]</w:t>
            </w:r>
          </w:p>
        </w:tc>
        <w:tc>
          <w:tcPr>
            <w:tcW w:w="810" w:type="dxa"/>
          </w:tcPr>
          <w:p w14:paraId="1060550E" w14:textId="77777777" w:rsidR="00DA357C" w:rsidRPr="00DA357C" w:rsidRDefault="00DA357C" w:rsidP="00CA5245">
            <w:pPr>
              <w:rPr>
                <w:sz w:val="18"/>
                <w:szCs w:val="18"/>
              </w:rPr>
            </w:pPr>
            <w:r w:rsidRPr="00DA357C">
              <w:rPr>
                <w:sz w:val="18"/>
                <w:szCs w:val="18"/>
              </w:rPr>
              <w:t>542</w:t>
            </w:r>
          </w:p>
        </w:tc>
        <w:tc>
          <w:tcPr>
            <w:tcW w:w="810" w:type="dxa"/>
          </w:tcPr>
          <w:p w14:paraId="5AABA997" w14:textId="77777777" w:rsidR="00DA357C" w:rsidRPr="00DA357C" w:rsidRDefault="00DA357C" w:rsidP="00CA5245">
            <w:pPr>
              <w:rPr>
                <w:sz w:val="18"/>
                <w:szCs w:val="18"/>
              </w:rPr>
            </w:pPr>
            <w:r w:rsidRPr="00DA357C">
              <w:rPr>
                <w:sz w:val="18"/>
                <w:szCs w:val="18"/>
              </w:rPr>
              <w:t>32.3</w:t>
            </w:r>
          </w:p>
        </w:tc>
        <w:tc>
          <w:tcPr>
            <w:tcW w:w="990" w:type="dxa"/>
          </w:tcPr>
          <w:p w14:paraId="0695E5D8" w14:textId="77777777" w:rsidR="00DA357C" w:rsidRPr="00DA357C" w:rsidRDefault="00DA357C" w:rsidP="00CA5245">
            <w:pPr>
              <w:rPr>
                <w:sz w:val="18"/>
                <w:szCs w:val="18"/>
              </w:rPr>
            </w:pPr>
            <w:r w:rsidRPr="00DA357C">
              <w:rPr>
                <w:sz w:val="18"/>
                <w:szCs w:val="18"/>
              </w:rPr>
              <w:t>0.2015</w:t>
            </w:r>
          </w:p>
        </w:tc>
        <w:tc>
          <w:tcPr>
            <w:tcW w:w="1350" w:type="dxa"/>
          </w:tcPr>
          <w:p w14:paraId="3F9F36BB" w14:textId="77777777" w:rsidR="00DA357C" w:rsidRPr="00DA357C" w:rsidRDefault="00DA357C" w:rsidP="00CA5245">
            <w:pPr>
              <w:rPr>
                <w:sz w:val="18"/>
                <w:szCs w:val="18"/>
              </w:rPr>
            </w:pPr>
            <w:r w:rsidRPr="00DA357C">
              <w:rPr>
                <w:sz w:val="18"/>
                <w:szCs w:val="18"/>
              </w:rPr>
              <w:t>33</w:t>
            </w:r>
            <w:proofErr w:type="gramStart"/>
            <w:r w:rsidRPr="00DA357C">
              <w:rPr>
                <w:sz w:val="18"/>
                <w:szCs w:val="18"/>
              </w:rPr>
              <w:t>/[</w:t>
            </w:r>
            <w:proofErr w:type="gramEnd"/>
            <w:r w:rsidRPr="00DA357C">
              <w:rPr>
                <w:sz w:val="18"/>
                <w:szCs w:val="18"/>
              </w:rPr>
              <w:t>15, 41]</w:t>
            </w:r>
          </w:p>
        </w:tc>
        <w:tc>
          <w:tcPr>
            <w:tcW w:w="900" w:type="dxa"/>
          </w:tcPr>
          <w:p w14:paraId="5A0384AA" w14:textId="77777777" w:rsidR="00DA357C" w:rsidRPr="00DA357C" w:rsidRDefault="00DA357C" w:rsidP="00CA5245">
            <w:pPr>
              <w:rPr>
                <w:sz w:val="18"/>
                <w:szCs w:val="18"/>
              </w:rPr>
            </w:pPr>
            <w:r w:rsidRPr="00DA357C">
              <w:rPr>
                <w:sz w:val="18"/>
                <w:szCs w:val="18"/>
              </w:rPr>
              <w:t>0.6955</w:t>
            </w:r>
          </w:p>
        </w:tc>
        <w:tc>
          <w:tcPr>
            <w:tcW w:w="810" w:type="dxa"/>
          </w:tcPr>
          <w:p w14:paraId="54055AB4" w14:textId="77777777" w:rsidR="00DA357C" w:rsidRPr="00DA357C" w:rsidRDefault="00DA357C" w:rsidP="00CA5245">
            <w:pPr>
              <w:rPr>
                <w:sz w:val="18"/>
                <w:szCs w:val="18"/>
              </w:rPr>
            </w:pPr>
            <w:r w:rsidRPr="00DA357C">
              <w:rPr>
                <w:sz w:val="18"/>
                <w:szCs w:val="18"/>
              </w:rPr>
              <w:t>0.0229</w:t>
            </w:r>
          </w:p>
        </w:tc>
      </w:tr>
      <w:tr w:rsidR="00DA357C" w:rsidRPr="00F953E5" w14:paraId="2030CE24" w14:textId="77777777" w:rsidTr="003837BA">
        <w:tc>
          <w:tcPr>
            <w:tcW w:w="895" w:type="dxa"/>
          </w:tcPr>
          <w:p w14:paraId="7420331E" w14:textId="77777777" w:rsidR="00DA357C" w:rsidRPr="00DA357C" w:rsidRDefault="00DA357C" w:rsidP="00CA5245">
            <w:pPr>
              <w:rPr>
                <w:sz w:val="18"/>
                <w:szCs w:val="18"/>
              </w:rPr>
            </w:pPr>
            <w:r w:rsidRPr="00DA357C">
              <w:rPr>
                <w:sz w:val="18"/>
                <w:szCs w:val="18"/>
              </w:rPr>
              <w:t>Locus of control: Powerful Others</w:t>
            </w:r>
          </w:p>
        </w:tc>
        <w:tc>
          <w:tcPr>
            <w:tcW w:w="720" w:type="dxa"/>
          </w:tcPr>
          <w:p w14:paraId="12560D4C" w14:textId="77777777" w:rsidR="00DA357C" w:rsidRPr="00DA357C" w:rsidRDefault="00DA357C" w:rsidP="00CA5245">
            <w:pPr>
              <w:rPr>
                <w:sz w:val="18"/>
                <w:szCs w:val="18"/>
              </w:rPr>
            </w:pPr>
            <w:r w:rsidRPr="00DA357C">
              <w:rPr>
                <w:sz w:val="18"/>
                <w:szCs w:val="18"/>
              </w:rPr>
              <w:t>654</w:t>
            </w:r>
          </w:p>
        </w:tc>
        <w:tc>
          <w:tcPr>
            <w:tcW w:w="810" w:type="dxa"/>
          </w:tcPr>
          <w:p w14:paraId="0A48D8C8" w14:textId="77777777" w:rsidR="00DA357C" w:rsidRPr="00DA357C" w:rsidRDefault="00DA357C" w:rsidP="00CA5245">
            <w:pPr>
              <w:rPr>
                <w:sz w:val="18"/>
                <w:szCs w:val="18"/>
              </w:rPr>
            </w:pPr>
            <w:r w:rsidRPr="00DA357C">
              <w:rPr>
                <w:sz w:val="18"/>
                <w:szCs w:val="18"/>
              </w:rPr>
              <w:t>27.5</w:t>
            </w:r>
          </w:p>
        </w:tc>
        <w:tc>
          <w:tcPr>
            <w:tcW w:w="900" w:type="dxa"/>
          </w:tcPr>
          <w:p w14:paraId="27B11EAA" w14:textId="77777777" w:rsidR="00DA357C" w:rsidRPr="00DA357C" w:rsidRDefault="00DA357C" w:rsidP="00CA5245">
            <w:pPr>
              <w:rPr>
                <w:sz w:val="18"/>
                <w:szCs w:val="18"/>
              </w:rPr>
            </w:pPr>
            <w:r w:rsidRPr="00DA357C">
              <w:rPr>
                <w:sz w:val="18"/>
                <w:szCs w:val="18"/>
              </w:rPr>
              <w:t>0.5521</w:t>
            </w:r>
          </w:p>
        </w:tc>
        <w:tc>
          <w:tcPr>
            <w:tcW w:w="1350" w:type="dxa"/>
          </w:tcPr>
          <w:p w14:paraId="50F22777" w14:textId="77777777" w:rsidR="00DA357C" w:rsidRPr="00DA357C" w:rsidRDefault="00DA357C" w:rsidP="00CA5245">
            <w:pPr>
              <w:rPr>
                <w:sz w:val="18"/>
                <w:szCs w:val="18"/>
              </w:rPr>
            </w:pPr>
            <w:r w:rsidRPr="00DA357C">
              <w:rPr>
                <w:sz w:val="18"/>
                <w:szCs w:val="18"/>
              </w:rPr>
              <w:t>28</w:t>
            </w:r>
            <w:proofErr w:type="gramStart"/>
            <w:r w:rsidRPr="00DA357C">
              <w:rPr>
                <w:sz w:val="18"/>
                <w:szCs w:val="18"/>
              </w:rPr>
              <w:t>/[</w:t>
            </w:r>
            <w:proofErr w:type="gramEnd"/>
            <w:r w:rsidRPr="00DA357C">
              <w:rPr>
                <w:sz w:val="18"/>
                <w:szCs w:val="18"/>
              </w:rPr>
              <w:t>6, 42]</w:t>
            </w:r>
          </w:p>
        </w:tc>
        <w:tc>
          <w:tcPr>
            <w:tcW w:w="810" w:type="dxa"/>
          </w:tcPr>
          <w:p w14:paraId="74E0D38C" w14:textId="77777777" w:rsidR="00DA357C" w:rsidRPr="00DA357C" w:rsidRDefault="00DA357C" w:rsidP="00CA5245">
            <w:pPr>
              <w:rPr>
                <w:sz w:val="18"/>
                <w:szCs w:val="18"/>
              </w:rPr>
            </w:pPr>
            <w:r w:rsidRPr="00DA357C">
              <w:rPr>
                <w:sz w:val="18"/>
                <w:szCs w:val="18"/>
              </w:rPr>
              <w:t>544</w:t>
            </w:r>
          </w:p>
        </w:tc>
        <w:tc>
          <w:tcPr>
            <w:tcW w:w="810" w:type="dxa"/>
          </w:tcPr>
          <w:p w14:paraId="7020A176" w14:textId="77777777" w:rsidR="00DA357C" w:rsidRPr="00DA357C" w:rsidRDefault="00DA357C" w:rsidP="00CA5245">
            <w:pPr>
              <w:rPr>
                <w:sz w:val="18"/>
                <w:szCs w:val="18"/>
              </w:rPr>
            </w:pPr>
            <w:r w:rsidRPr="00DA357C">
              <w:rPr>
                <w:sz w:val="18"/>
                <w:szCs w:val="18"/>
              </w:rPr>
              <w:t>27.7</w:t>
            </w:r>
          </w:p>
        </w:tc>
        <w:tc>
          <w:tcPr>
            <w:tcW w:w="990" w:type="dxa"/>
          </w:tcPr>
          <w:p w14:paraId="2EDF1298" w14:textId="77777777" w:rsidR="00DA357C" w:rsidRPr="00DA357C" w:rsidRDefault="00DA357C" w:rsidP="00CA5245">
            <w:pPr>
              <w:rPr>
                <w:sz w:val="18"/>
                <w:szCs w:val="18"/>
              </w:rPr>
            </w:pPr>
            <w:r w:rsidRPr="00DA357C">
              <w:rPr>
                <w:sz w:val="18"/>
                <w:szCs w:val="18"/>
              </w:rPr>
              <w:t>0.5927</w:t>
            </w:r>
          </w:p>
        </w:tc>
        <w:tc>
          <w:tcPr>
            <w:tcW w:w="1350" w:type="dxa"/>
          </w:tcPr>
          <w:p w14:paraId="3ED92C42" w14:textId="77777777" w:rsidR="00DA357C" w:rsidRPr="00DA357C" w:rsidRDefault="00DA357C" w:rsidP="00CA5245">
            <w:pPr>
              <w:rPr>
                <w:sz w:val="18"/>
                <w:szCs w:val="18"/>
              </w:rPr>
            </w:pPr>
            <w:r w:rsidRPr="00DA357C">
              <w:rPr>
                <w:sz w:val="18"/>
                <w:szCs w:val="18"/>
              </w:rPr>
              <w:t>29</w:t>
            </w:r>
            <w:proofErr w:type="gramStart"/>
            <w:r w:rsidRPr="00DA357C">
              <w:rPr>
                <w:sz w:val="18"/>
                <w:szCs w:val="18"/>
              </w:rPr>
              <w:t>/[</w:t>
            </w:r>
            <w:proofErr w:type="gramEnd"/>
            <w:r w:rsidRPr="00DA357C">
              <w:rPr>
                <w:sz w:val="18"/>
                <w:szCs w:val="18"/>
              </w:rPr>
              <w:t>4, 42]</w:t>
            </w:r>
          </w:p>
        </w:tc>
        <w:tc>
          <w:tcPr>
            <w:tcW w:w="900" w:type="dxa"/>
          </w:tcPr>
          <w:p w14:paraId="2C83AE0E" w14:textId="77777777" w:rsidR="00DA357C" w:rsidRPr="00DA357C" w:rsidRDefault="00DA357C" w:rsidP="00CA5245">
            <w:pPr>
              <w:rPr>
                <w:sz w:val="18"/>
                <w:szCs w:val="18"/>
              </w:rPr>
            </w:pPr>
            <w:r w:rsidRPr="00DA357C">
              <w:rPr>
                <w:sz w:val="18"/>
                <w:szCs w:val="18"/>
              </w:rPr>
              <w:t>0.7939</w:t>
            </w:r>
          </w:p>
        </w:tc>
        <w:tc>
          <w:tcPr>
            <w:tcW w:w="810" w:type="dxa"/>
          </w:tcPr>
          <w:p w14:paraId="52B90CE7" w14:textId="77777777" w:rsidR="00DA357C" w:rsidRPr="00DA357C" w:rsidRDefault="00DA357C" w:rsidP="00CA5245">
            <w:pPr>
              <w:rPr>
                <w:sz w:val="18"/>
                <w:szCs w:val="18"/>
              </w:rPr>
            </w:pPr>
            <w:r w:rsidRPr="00DA357C">
              <w:rPr>
                <w:sz w:val="18"/>
                <w:szCs w:val="18"/>
              </w:rPr>
              <w:t>0.1759</w:t>
            </w:r>
          </w:p>
        </w:tc>
      </w:tr>
      <w:tr w:rsidR="00DA357C" w:rsidRPr="00F953E5" w14:paraId="43852C56" w14:textId="77777777" w:rsidTr="003837BA">
        <w:tc>
          <w:tcPr>
            <w:tcW w:w="895" w:type="dxa"/>
          </w:tcPr>
          <w:p w14:paraId="0B60F4DA" w14:textId="77777777" w:rsidR="00DA357C" w:rsidRPr="00F953E5" w:rsidRDefault="00DA357C" w:rsidP="00CA5245">
            <w:pPr>
              <w:rPr>
                <w:sz w:val="20"/>
              </w:rPr>
            </w:pPr>
            <w:r w:rsidRPr="00F953E5">
              <w:rPr>
                <w:sz w:val="20"/>
              </w:rPr>
              <w:t>Locus of control: Chance</w:t>
            </w:r>
          </w:p>
        </w:tc>
        <w:tc>
          <w:tcPr>
            <w:tcW w:w="720" w:type="dxa"/>
          </w:tcPr>
          <w:p w14:paraId="219E0466" w14:textId="77777777" w:rsidR="00DA357C" w:rsidRPr="00DA357C" w:rsidRDefault="00DA357C" w:rsidP="00CA5245">
            <w:pPr>
              <w:rPr>
                <w:sz w:val="18"/>
                <w:szCs w:val="18"/>
              </w:rPr>
            </w:pPr>
            <w:r w:rsidRPr="00DA357C">
              <w:rPr>
                <w:sz w:val="18"/>
                <w:szCs w:val="18"/>
              </w:rPr>
              <w:t>650</w:t>
            </w:r>
          </w:p>
        </w:tc>
        <w:tc>
          <w:tcPr>
            <w:tcW w:w="810" w:type="dxa"/>
          </w:tcPr>
          <w:p w14:paraId="461B6F2F" w14:textId="77777777" w:rsidR="00DA357C" w:rsidRPr="00DA357C" w:rsidRDefault="00DA357C" w:rsidP="00CA5245">
            <w:pPr>
              <w:rPr>
                <w:sz w:val="18"/>
                <w:szCs w:val="18"/>
              </w:rPr>
            </w:pPr>
            <w:r w:rsidRPr="00DA357C">
              <w:rPr>
                <w:sz w:val="18"/>
                <w:szCs w:val="18"/>
              </w:rPr>
              <w:t>27.5</w:t>
            </w:r>
          </w:p>
        </w:tc>
        <w:tc>
          <w:tcPr>
            <w:tcW w:w="900" w:type="dxa"/>
          </w:tcPr>
          <w:p w14:paraId="25852568" w14:textId="77777777" w:rsidR="00DA357C" w:rsidRPr="00DA357C" w:rsidRDefault="00DA357C" w:rsidP="00CA5245">
            <w:pPr>
              <w:rPr>
                <w:sz w:val="18"/>
                <w:szCs w:val="18"/>
              </w:rPr>
            </w:pPr>
            <w:r w:rsidRPr="00DA357C">
              <w:rPr>
                <w:sz w:val="18"/>
                <w:szCs w:val="18"/>
              </w:rPr>
              <w:t>0.3823</w:t>
            </w:r>
          </w:p>
        </w:tc>
        <w:tc>
          <w:tcPr>
            <w:tcW w:w="1350" w:type="dxa"/>
          </w:tcPr>
          <w:p w14:paraId="7FF8DD9F" w14:textId="77777777" w:rsidR="00DA357C" w:rsidRPr="00DA357C" w:rsidRDefault="00DA357C" w:rsidP="00CA5245">
            <w:pPr>
              <w:rPr>
                <w:sz w:val="18"/>
                <w:szCs w:val="18"/>
              </w:rPr>
            </w:pPr>
            <w:r w:rsidRPr="00DA357C">
              <w:rPr>
                <w:sz w:val="18"/>
                <w:szCs w:val="18"/>
              </w:rPr>
              <w:t>28</w:t>
            </w:r>
            <w:proofErr w:type="gramStart"/>
            <w:r w:rsidRPr="00DA357C">
              <w:rPr>
                <w:sz w:val="18"/>
                <w:szCs w:val="18"/>
              </w:rPr>
              <w:t>/[</w:t>
            </w:r>
            <w:proofErr w:type="gramEnd"/>
            <w:r w:rsidRPr="00DA357C">
              <w:rPr>
                <w:sz w:val="18"/>
                <w:szCs w:val="18"/>
              </w:rPr>
              <w:t>11, 40]</w:t>
            </w:r>
          </w:p>
        </w:tc>
        <w:tc>
          <w:tcPr>
            <w:tcW w:w="810" w:type="dxa"/>
          </w:tcPr>
          <w:p w14:paraId="095B0A9C" w14:textId="77777777" w:rsidR="00DA357C" w:rsidRPr="00DA357C" w:rsidRDefault="00DA357C" w:rsidP="00CA5245">
            <w:pPr>
              <w:rPr>
                <w:sz w:val="18"/>
                <w:szCs w:val="18"/>
              </w:rPr>
            </w:pPr>
            <w:r w:rsidRPr="00DA357C">
              <w:rPr>
                <w:sz w:val="18"/>
                <w:szCs w:val="18"/>
              </w:rPr>
              <w:t>539</w:t>
            </w:r>
          </w:p>
        </w:tc>
        <w:tc>
          <w:tcPr>
            <w:tcW w:w="810" w:type="dxa"/>
          </w:tcPr>
          <w:p w14:paraId="04B2C13E" w14:textId="77777777" w:rsidR="00DA357C" w:rsidRPr="00DA357C" w:rsidRDefault="00DA357C" w:rsidP="00CA5245">
            <w:pPr>
              <w:rPr>
                <w:sz w:val="18"/>
                <w:szCs w:val="18"/>
              </w:rPr>
            </w:pPr>
            <w:r w:rsidRPr="00DA357C">
              <w:rPr>
                <w:sz w:val="18"/>
                <w:szCs w:val="18"/>
              </w:rPr>
              <w:t>27.6</w:t>
            </w:r>
          </w:p>
        </w:tc>
        <w:tc>
          <w:tcPr>
            <w:tcW w:w="990" w:type="dxa"/>
          </w:tcPr>
          <w:p w14:paraId="58AC0E56" w14:textId="77777777" w:rsidR="00DA357C" w:rsidRPr="00DA357C" w:rsidRDefault="00DA357C" w:rsidP="00CA5245">
            <w:pPr>
              <w:rPr>
                <w:sz w:val="18"/>
                <w:szCs w:val="18"/>
              </w:rPr>
            </w:pPr>
            <w:r w:rsidRPr="00DA357C">
              <w:rPr>
                <w:sz w:val="18"/>
                <w:szCs w:val="18"/>
              </w:rPr>
              <w:t xml:space="preserve">0.4125  </w:t>
            </w:r>
          </w:p>
        </w:tc>
        <w:tc>
          <w:tcPr>
            <w:tcW w:w="1350" w:type="dxa"/>
          </w:tcPr>
          <w:p w14:paraId="5BAED687" w14:textId="77777777" w:rsidR="00DA357C" w:rsidRPr="00DA357C" w:rsidRDefault="00DA357C" w:rsidP="00CA5245">
            <w:pPr>
              <w:rPr>
                <w:sz w:val="18"/>
                <w:szCs w:val="18"/>
              </w:rPr>
            </w:pPr>
            <w:r w:rsidRPr="00DA357C">
              <w:rPr>
                <w:sz w:val="18"/>
                <w:szCs w:val="18"/>
              </w:rPr>
              <w:t>28</w:t>
            </w:r>
            <w:proofErr w:type="gramStart"/>
            <w:r w:rsidRPr="00DA357C">
              <w:rPr>
                <w:sz w:val="18"/>
                <w:szCs w:val="18"/>
              </w:rPr>
              <w:t>/[</w:t>
            </w:r>
            <w:proofErr w:type="gramEnd"/>
            <w:r w:rsidRPr="00DA357C">
              <w:rPr>
                <w:sz w:val="18"/>
                <w:szCs w:val="18"/>
              </w:rPr>
              <w:t>7, 42]</w:t>
            </w:r>
          </w:p>
        </w:tc>
        <w:tc>
          <w:tcPr>
            <w:tcW w:w="900" w:type="dxa"/>
          </w:tcPr>
          <w:p w14:paraId="5D68D85A" w14:textId="77777777" w:rsidR="00DA357C" w:rsidRPr="00DA357C" w:rsidRDefault="00DA357C" w:rsidP="00CA5245">
            <w:pPr>
              <w:rPr>
                <w:sz w:val="18"/>
                <w:szCs w:val="18"/>
              </w:rPr>
            </w:pPr>
            <w:r w:rsidRPr="00DA357C">
              <w:rPr>
                <w:sz w:val="18"/>
                <w:szCs w:val="18"/>
              </w:rPr>
              <w:t>0.865</w:t>
            </w:r>
          </w:p>
        </w:tc>
        <w:tc>
          <w:tcPr>
            <w:tcW w:w="810" w:type="dxa"/>
          </w:tcPr>
          <w:p w14:paraId="1A40D056" w14:textId="77777777" w:rsidR="00DA357C" w:rsidRPr="00DA357C" w:rsidRDefault="00DA357C" w:rsidP="00CA5245">
            <w:pPr>
              <w:rPr>
                <w:sz w:val="18"/>
                <w:szCs w:val="18"/>
              </w:rPr>
            </w:pPr>
            <w:r w:rsidRPr="00DA357C">
              <w:rPr>
                <w:sz w:val="18"/>
                <w:szCs w:val="18"/>
              </w:rPr>
              <w:t>0.1112</w:t>
            </w:r>
          </w:p>
        </w:tc>
      </w:tr>
    </w:tbl>
    <w:p w14:paraId="126BFB5A" w14:textId="4D2636EF" w:rsidR="004D1024" w:rsidRDefault="004D1024" w:rsidP="00DA357C">
      <w:pPr>
        <w:pStyle w:val="Caption"/>
      </w:pPr>
    </w:p>
    <w:p w14:paraId="70DED124" w14:textId="269738D5" w:rsidR="00DA357C" w:rsidRPr="00B57E74" w:rsidRDefault="00DA357C" w:rsidP="00DA357C">
      <w:pPr>
        <w:pStyle w:val="Caption"/>
      </w:pPr>
      <w:r w:rsidRPr="00F953E5">
        <w:t xml:space="preserve">Table </w:t>
      </w:r>
      <w:r w:rsidRPr="00F953E5">
        <w:rPr>
          <w:noProof/>
        </w:rPr>
        <w:t>3</w:t>
      </w:r>
      <w:r w:rsidRPr="00F953E5">
        <w:fldChar w:fldCharType="end"/>
      </w:r>
      <w:r>
        <w:t xml:space="preserve"> </w:t>
      </w:r>
      <w:r w:rsidR="00CF0E5E" w:rsidRPr="00B57E74">
        <w:rPr>
          <w:rFonts w:cs="Times New Roman"/>
        </w:rPr>
        <w:t>Comparison of cases and controls: Independence and self-confidence</w:t>
      </w:r>
    </w:p>
    <w:p w14:paraId="5914F30C" w14:textId="77777777" w:rsidR="00DA357C" w:rsidRDefault="00DA357C" w:rsidP="00DA357C">
      <w:pPr>
        <w:pStyle w:val="Body"/>
        <w:rPr>
          <w:b/>
          <w:sz w:val="20"/>
          <w:szCs w:val="20"/>
        </w:rPr>
      </w:pPr>
    </w:p>
    <w:tbl>
      <w:tblPr>
        <w:tblStyle w:val="TableGrid"/>
        <w:tblW w:w="0" w:type="auto"/>
        <w:tblLook w:val="04A0" w:firstRow="1" w:lastRow="0" w:firstColumn="1" w:lastColumn="0" w:noHBand="0" w:noVBand="1"/>
      </w:tblPr>
      <w:tblGrid>
        <w:gridCol w:w="3770"/>
        <w:gridCol w:w="1827"/>
        <w:gridCol w:w="1626"/>
        <w:gridCol w:w="1037"/>
        <w:gridCol w:w="1037"/>
      </w:tblGrid>
      <w:tr w:rsidR="00CF0E5E" w:rsidRPr="00B57E74" w14:paraId="0399621C" w14:textId="77777777" w:rsidTr="00CA5245">
        <w:tc>
          <w:tcPr>
            <w:tcW w:w="3770" w:type="dxa"/>
            <w:shd w:val="clear" w:color="auto" w:fill="262626" w:themeFill="text1" w:themeFillTint="D9"/>
          </w:tcPr>
          <w:p w14:paraId="37E629EB" w14:textId="77777777" w:rsidR="00CF0E5E" w:rsidRPr="00B57E74" w:rsidRDefault="00CF0E5E" w:rsidP="00CA5245">
            <w:pPr>
              <w:rPr>
                <w:rFonts w:cs="Times New Roman"/>
                <w:b/>
                <w:color w:val="FFFFFF" w:themeColor="background1"/>
                <w:sz w:val="18"/>
                <w:szCs w:val="18"/>
              </w:rPr>
            </w:pPr>
          </w:p>
        </w:tc>
        <w:tc>
          <w:tcPr>
            <w:tcW w:w="1827" w:type="dxa"/>
            <w:shd w:val="clear" w:color="auto" w:fill="262626" w:themeFill="text1" w:themeFillTint="D9"/>
          </w:tcPr>
          <w:p w14:paraId="13E2E8E0" w14:textId="77777777" w:rsidR="00CF0E5E" w:rsidRPr="00B57E74" w:rsidRDefault="00CF0E5E" w:rsidP="00CA5245">
            <w:pPr>
              <w:jc w:val="right"/>
              <w:rPr>
                <w:rFonts w:cs="Times New Roman"/>
                <w:b/>
                <w:color w:val="FFFFFF" w:themeColor="background1"/>
                <w:sz w:val="18"/>
                <w:szCs w:val="18"/>
              </w:rPr>
            </w:pPr>
            <w:r w:rsidRPr="00B57E74">
              <w:rPr>
                <w:rFonts w:cs="Times New Roman"/>
                <w:b/>
                <w:color w:val="FFFFFF" w:themeColor="background1"/>
                <w:sz w:val="18"/>
                <w:szCs w:val="18"/>
              </w:rPr>
              <w:t>Cases</w:t>
            </w:r>
          </w:p>
        </w:tc>
        <w:tc>
          <w:tcPr>
            <w:tcW w:w="1626" w:type="dxa"/>
            <w:shd w:val="clear" w:color="auto" w:fill="262626" w:themeFill="text1" w:themeFillTint="D9"/>
          </w:tcPr>
          <w:p w14:paraId="030C9E50" w14:textId="77777777" w:rsidR="00CF0E5E" w:rsidRPr="00B57E74" w:rsidRDefault="00CF0E5E" w:rsidP="00CA5245">
            <w:pPr>
              <w:jc w:val="right"/>
              <w:rPr>
                <w:rFonts w:cs="Times New Roman"/>
                <w:b/>
                <w:color w:val="FFFFFF" w:themeColor="background1"/>
                <w:sz w:val="18"/>
                <w:szCs w:val="18"/>
              </w:rPr>
            </w:pPr>
            <w:r w:rsidRPr="00B57E74">
              <w:rPr>
                <w:rFonts w:cs="Times New Roman"/>
                <w:b/>
                <w:color w:val="FFFFFF" w:themeColor="background1"/>
                <w:sz w:val="18"/>
                <w:szCs w:val="18"/>
              </w:rPr>
              <w:t>Controls</w:t>
            </w:r>
          </w:p>
        </w:tc>
        <w:tc>
          <w:tcPr>
            <w:tcW w:w="1037" w:type="dxa"/>
            <w:shd w:val="clear" w:color="auto" w:fill="262626" w:themeFill="text1" w:themeFillTint="D9"/>
          </w:tcPr>
          <w:p w14:paraId="16221ABD" w14:textId="77777777" w:rsidR="00CF0E5E" w:rsidRPr="00B57E74" w:rsidRDefault="00CF0E5E" w:rsidP="00CA5245">
            <w:pPr>
              <w:jc w:val="right"/>
              <w:rPr>
                <w:rFonts w:cs="Times New Roman"/>
                <w:b/>
                <w:color w:val="FFFFFF" w:themeColor="background1"/>
                <w:sz w:val="18"/>
                <w:szCs w:val="18"/>
              </w:rPr>
            </w:pPr>
            <w:r w:rsidRPr="00B57E74">
              <w:rPr>
                <w:rFonts w:cs="Times New Roman"/>
                <w:b/>
                <w:color w:val="FFFFFF" w:themeColor="background1"/>
                <w:sz w:val="18"/>
                <w:szCs w:val="18"/>
              </w:rPr>
              <w:t>P-value</w:t>
            </w:r>
          </w:p>
        </w:tc>
        <w:tc>
          <w:tcPr>
            <w:tcW w:w="1037" w:type="dxa"/>
            <w:shd w:val="clear" w:color="auto" w:fill="262626" w:themeFill="text1" w:themeFillTint="D9"/>
          </w:tcPr>
          <w:p w14:paraId="35687691" w14:textId="77777777" w:rsidR="00CF0E5E" w:rsidRPr="00B57E74" w:rsidRDefault="00CF0E5E" w:rsidP="00CA5245">
            <w:pPr>
              <w:jc w:val="right"/>
              <w:rPr>
                <w:rFonts w:cs="Times New Roman"/>
                <w:b/>
                <w:color w:val="FFFFFF" w:themeColor="background1"/>
                <w:sz w:val="18"/>
                <w:szCs w:val="18"/>
              </w:rPr>
            </w:pPr>
            <w:r w:rsidRPr="00B57E74">
              <w:rPr>
                <w:rFonts w:cs="Times New Roman"/>
                <w:b/>
                <w:color w:val="FFFFFF" w:themeColor="background1"/>
                <w:sz w:val="18"/>
                <w:szCs w:val="18"/>
              </w:rPr>
              <w:t>ICC</w:t>
            </w:r>
          </w:p>
        </w:tc>
      </w:tr>
      <w:tr w:rsidR="00CF0E5E" w:rsidRPr="00B57E74" w14:paraId="16AE1550" w14:textId="77777777" w:rsidTr="00CA5245">
        <w:tc>
          <w:tcPr>
            <w:tcW w:w="3770" w:type="dxa"/>
          </w:tcPr>
          <w:p w14:paraId="2E557FF3" w14:textId="77777777" w:rsidR="00CF0E5E" w:rsidRPr="00B57E74" w:rsidRDefault="00CF0E5E" w:rsidP="00CA5245">
            <w:pPr>
              <w:rPr>
                <w:rFonts w:cs="Times New Roman"/>
                <w:b/>
                <w:sz w:val="18"/>
                <w:szCs w:val="18"/>
              </w:rPr>
            </w:pPr>
            <w:r w:rsidRPr="00B57E74">
              <w:rPr>
                <w:rFonts w:cs="Times New Roman"/>
                <w:b/>
                <w:sz w:val="18"/>
                <w:szCs w:val="18"/>
              </w:rPr>
              <w:t>“Independence”</w:t>
            </w:r>
          </w:p>
        </w:tc>
        <w:tc>
          <w:tcPr>
            <w:tcW w:w="1827" w:type="dxa"/>
          </w:tcPr>
          <w:p w14:paraId="211A5476" w14:textId="77777777" w:rsidR="00CF0E5E" w:rsidRPr="00B57E74" w:rsidRDefault="00CF0E5E" w:rsidP="00CA5245">
            <w:pPr>
              <w:jc w:val="right"/>
              <w:rPr>
                <w:rFonts w:cs="Times New Roman"/>
                <w:sz w:val="18"/>
                <w:szCs w:val="18"/>
              </w:rPr>
            </w:pPr>
          </w:p>
        </w:tc>
        <w:tc>
          <w:tcPr>
            <w:tcW w:w="1626" w:type="dxa"/>
          </w:tcPr>
          <w:p w14:paraId="0A26FBC7" w14:textId="77777777" w:rsidR="00CF0E5E" w:rsidRPr="00B57E74" w:rsidRDefault="00CF0E5E" w:rsidP="00CA5245">
            <w:pPr>
              <w:jc w:val="right"/>
              <w:rPr>
                <w:rFonts w:cs="Times New Roman"/>
                <w:sz w:val="18"/>
                <w:szCs w:val="18"/>
              </w:rPr>
            </w:pPr>
          </w:p>
        </w:tc>
        <w:tc>
          <w:tcPr>
            <w:tcW w:w="1037" w:type="dxa"/>
          </w:tcPr>
          <w:p w14:paraId="1495AAA8" w14:textId="77777777" w:rsidR="00CF0E5E" w:rsidRPr="00B57E74" w:rsidRDefault="00CF0E5E" w:rsidP="00CA5245">
            <w:pPr>
              <w:jc w:val="right"/>
              <w:rPr>
                <w:rFonts w:cs="Times New Roman"/>
                <w:sz w:val="18"/>
                <w:szCs w:val="18"/>
              </w:rPr>
            </w:pPr>
          </w:p>
        </w:tc>
        <w:tc>
          <w:tcPr>
            <w:tcW w:w="1037" w:type="dxa"/>
          </w:tcPr>
          <w:p w14:paraId="4CC0ACB2" w14:textId="77777777" w:rsidR="00CF0E5E" w:rsidRPr="00B57E74" w:rsidRDefault="00CF0E5E" w:rsidP="00CA5245">
            <w:pPr>
              <w:jc w:val="right"/>
              <w:rPr>
                <w:rFonts w:cs="Times New Roman"/>
                <w:sz w:val="18"/>
                <w:szCs w:val="18"/>
              </w:rPr>
            </w:pPr>
          </w:p>
        </w:tc>
      </w:tr>
      <w:tr w:rsidR="00CF0E5E" w:rsidRPr="00B57E74" w14:paraId="4FB96AA2" w14:textId="77777777" w:rsidTr="00CA5245">
        <w:tc>
          <w:tcPr>
            <w:tcW w:w="7223" w:type="dxa"/>
            <w:gridSpan w:val="3"/>
          </w:tcPr>
          <w:p w14:paraId="2F746013" w14:textId="77777777" w:rsidR="00CF0E5E" w:rsidRPr="00B57E74" w:rsidRDefault="00CF0E5E" w:rsidP="00CA5245">
            <w:pPr>
              <w:rPr>
                <w:rFonts w:cs="Times New Roman"/>
                <w:sz w:val="18"/>
                <w:szCs w:val="18"/>
              </w:rPr>
            </w:pPr>
            <w:r w:rsidRPr="00B57E74">
              <w:rPr>
                <w:rFonts w:cs="Times New Roman"/>
                <w:i/>
                <w:sz w:val="18"/>
                <w:szCs w:val="18"/>
              </w:rPr>
              <w:t>It is sometimes better for me to follow my own ideas than to take suggestions from my family</w:t>
            </w:r>
          </w:p>
        </w:tc>
        <w:tc>
          <w:tcPr>
            <w:tcW w:w="1037" w:type="dxa"/>
          </w:tcPr>
          <w:p w14:paraId="1E9693B8" w14:textId="77777777" w:rsidR="00CF0E5E" w:rsidRPr="00B57E74" w:rsidRDefault="00CF0E5E" w:rsidP="00CA5245">
            <w:pPr>
              <w:jc w:val="right"/>
              <w:rPr>
                <w:rFonts w:cs="Times New Roman"/>
                <w:sz w:val="18"/>
                <w:szCs w:val="18"/>
              </w:rPr>
            </w:pPr>
            <w:r w:rsidRPr="00B57E74">
              <w:rPr>
                <w:rFonts w:ascii="Courier New" w:hAnsi="Courier New" w:cs="Courier New"/>
                <w:sz w:val="18"/>
                <w:szCs w:val="18"/>
              </w:rPr>
              <w:t>0.3481</w:t>
            </w:r>
          </w:p>
        </w:tc>
        <w:tc>
          <w:tcPr>
            <w:tcW w:w="1037" w:type="dxa"/>
          </w:tcPr>
          <w:p w14:paraId="11ADB304" w14:textId="77777777" w:rsidR="00CF0E5E" w:rsidRPr="00B57E74" w:rsidRDefault="00CF0E5E" w:rsidP="00CA5245">
            <w:pPr>
              <w:jc w:val="right"/>
              <w:rPr>
                <w:rFonts w:ascii="Courier New" w:hAnsi="Courier New" w:cs="Courier New"/>
                <w:sz w:val="18"/>
                <w:szCs w:val="18"/>
              </w:rPr>
            </w:pPr>
            <w:r w:rsidRPr="00B57E74">
              <w:rPr>
                <w:rFonts w:ascii="Courier New" w:hAnsi="Courier New" w:cs="Courier New"/>
                <w:sz w:val="18"/>
                <w:szCs w:val="18"/>
              </w:rPr>
              <w:t>0.0734</w:t>
            </w:r>
          </w:p>
        </w:tc>
      </w:tr>
      <w:tr w:rsidR="00CF0E5E" w:rsidRPr="00B57E74" w14:paraId="7958C907" w14:textId="77777777" w:rsidTr="00CA5245">
        <w:tc>
          <w:tcPr>
            <w:tcW w:w="3770" w:type="dxa"/>
          </w:tcPr>
          <w:p w14:paraId="173C9BF3" w14:textId="77777777" w:rsidR="00CF0E5E" w:rsidRPr="00B57E74" w:rsidRDefault="00CF0E5E" w:rsidP="00CA5245">
            <w:pPr>
              <w:ind w:left="142"/>
              <w:rPr>
                <w:sz w:val="18"/>
                <w:szCs w:val="18"/>
                <w:lang w:val="en-US"/>
              </w:rPr>
            </w:pPr>
            <w:r w:rsidRPr="00B57E74">
              <w:rPr>
                <w:sz w:val="18"/>
                <w:szCs w:val="18"/>
                <w:lang w:val="en-US"/>
              </w:rPr>
              <w:t>Strongly Disagree</w:t>
            </w:r>
          </w:p>
        </w:tc>
        <w:tc>
          <w:tcPr>
            <w:tcW w:w="1827" w:type="dxa"/>
            <w:vAlign w:val="center"/>
          </w:tcPr>
          <w:p w14:paraId="0B377D9E"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20</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3.0</w:t>
            </w:r>
            <w:r w:rsidRPr="00B57E74">
              <w:rPr>
                <w:rFonts w:ascii="Calibri" w:eastAsia="Times New Roman" w:hAnsi="Calibri" w:cs="Times New Roman"/>
                <w:color w:val="000000"/>
                <w:sz w:val="18"/>
                <w:szCs w:val="18"/>
                <w:lang w:eastAsia="en-GB"/>
              </w:rPr>
              <w:t>%)</w:t>
            </w:r>
          </w:p>
        </w:tc>
        <w:tc>
          <w:tcPr>
            <w:tcW w:w="1626" w:type="dxa"/>
            <w:vAlign w:val="center"/>
          </w:tcPr>
          <w:p w14:paraId="6ADABCAF"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8</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1.4</w:t>
            </w:r>
            <w:r w:rsidRPr="00B57E74">
              <w:rPr>
                <w:rFonts w:ascii="Calibri" w:eastAsia="Times New Roman" w:hAnsi="Calibri" w:cs="Times New Roman"/>
                <w:color w:val="000000"/>
                <w:sz w:val="18"/>
                <w:szCs w:val="18"/>
                <w:lang w:eastAsia="en-GB"/>
              </w:rPr>
              <w:t>%)</w:t>
            </w:r>
          </w:p>
        </w:tc>
        <w:tc>
          <w:tcPr>
            <w:tcW w:w="1037" w:type="dxa"/>
          </w:tcPr>
          <w:p w14:paraId="64857ECE" w14:textId="77777777" w:rsidR="00CF0E5E" w:rsidRPr="00B57E74" w:rsidRDefault="00CF0E5E" w:rsidP="00CA5245">
            <w:pPr>
              <w:jc w:val="right"/>
              <w:rPr>
                <w:rFonts w:cs="Times New Roman"/>
                <w:sz w:val="18"/>
                <w:szCs w:val="18"/>
              </w:rPr>
            </w:pPr>
          </w:p>
        </w:tc>
        <w:tc>
          <w:tcPr>
            <w:tcW w:w="1037" w:type="dxa"/>
          </w:tcPr>
          <w:p w14:paraId="705EA124" w14:textId="77777777" w:rsidR="00CF0E5E" w:rsidRPr="00B57E74" w:rsidRDefault="00CF0E5E" w:rsidP="00CA5245">
            <w:pPr>
              <w:jc w:val="right"/>
              <w:rPr>
                <w:rFonts w:cs="Times New Roman"/>
                <w:sz w:val="18"/>
                <w:szCs w:val="18"/>
              </w:rPr>
            </w:pPr>
          </w:p>
        </w:tc>
      </w:tr>
      <w:tr w:rsidR="00CF0E5E" w:rsidRPr="00B57E74" w14:paraId="3DE00A68" w14:textId="77777777" w:rsidTr="00CA5245">
        <w:tc>
          <w:tcPr>
            <w:tcW w:w="3770" w:type="dxa"/>
          </w:tcPr>
          <w:p w14:paraId="5E25018F" w14:textId="77777777" w:rsidR="00CF0E5E" w:rsidRPr="00B57E74" w:rsidRDefault="00CF0E5E" w:rsidP="00CA5245">
            <w:pPr>
              <w:ind w:left="142"/>
              <w:rPr>
                <w:sz w:val="18"/>
                <w:szCs w:val="18"/>
                <w:lang w:val="en-US"/>
              </w:rPr>
            </w:pPr>
            <w:r w:rsidRPr="00B57E74">
              <w:rPr>
                <w:sz w:val="18"/>
                <w:szCs w:val="18"/>
                <w:lang w:val="en-US"/>
              </w:rPr>
              <w:t>Disagree</w:t>
            </w:r>
          </w:p>
        </w:tc>
        <w:tc>
          <w:tcPr>
            <w:tcW w:w="1827" w:type="dxa"/>
            <w:vAlign w:val="center"/>
          </w:tcPr>
          <w:p w14:paraId="4CB9BA11"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102</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15.4</w:t>
            </w:r>
            <w:r w:rsidRPr="00B57E74">
              <w:rPr>
                <w:rFonts w:ascii="Calibri" w:eastAsia="Times New Roman" w:hAnsi="Calibri" w:cs="Times New Roman"/>
                <w:color w:val="000000"/>
                <w:sz w:val="18"/>
                <w:szCs w:val="18"/>
                <w:lang w:eastAsia="en-GB"/>
              </w:rPr>
              <w:t>%)</w:t>
            </w:r>
          </w:p>
        </w:tc>
        <w:tc>
          <w:tcPr>
            <w:tcW w:w="1626" w:type="dxa"/>
            <w:vAlign w:val="center"/>
          </w:tcPr>
          <w:p w14:paraId="0C240654"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74</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13.2</w:t>
            </w:r>
            <w:r w:rsidRPr="00B57E74">
              <w:rPr>
                <w:rFonts w:ascii="Calibri" w:eastAsia="Times New Roman" w:hAnsi="Calibri" w:cs="Times New Roman"/>
                <w:color w:val="000000"/>
                <w:sz w:val="18"/>
                <w:szCs w:val="18"/>
                <w:lang w:eastAsia="en-GB"/>
              </w:rPr>
              <w:t>%)</w:t>
            </w:r>
          </w:p>
        </w:tc>
        <w:tc>
          <w:tcPr>
            <w:tcW w:w="1037" w:type="dxa"/>
          </w:tcPr>
          <w:p w14:paraId="5D138A6C" w14:textId="77777777" w:rsidR="00CF0E5E" w:rsidRPr="00B57E74" w:rsidRDefault="00CF0E5E" w:rsidP="00CA5245">
            <w:pPr>
              <w:jc w:val="right"/>
              <w:rPr>
                <w:rFonts w:cs="Times New Roman"/>
                <w:sz w:val="18"/>
                <w:szCs w:val="18"/>
              </w:rPr>
            </w:pPr>
          </w:p>
        </w:tc>
        <w:tc>
          <w:tcPr>
            <w:tcW w:w="1037" w:type="dxa"/>
          </w:tcPr>
          <w:p w14:paraId="51B23D21" w14:textId="77777777" w:rsidR="00CF0E5E" w:rsidRPr="00B57E74" w:rsidRDefault="00CF0E5E" w:rsidP="00CA5245">
            <w:pPr>
              <w:jc w:val="right"/>
              <w:rPr>
                <w:rFonts w:cs="Times New Roman"/>
                <w:sz w:val="18"/>
                <w:szCs w:val="18"/>
              </w:rPr>
            </w:pPr>
          </w:p>
        </w:tc>
      </w:tr>
      <w:tr w:rsidR="00CF0E5E" w:rsidRPr="00B57E74" w14:paraId="471D3D4E" w14:textId="77777777" w:rsidTr="00CA5245">
        <w:tc>
          <w:tcPr>
            <w:tcW w:w="3770" w:type="dxa"/>
          </w:tcPr>
          <w:p w14:paraId="56FC1571" w14:textId="77777777" w:rsidR="00CF0E5E" w:rsidRPr="00B57E74" w:rsidRDefault="00CF0E5E" w:rsidP="00CA5245">
            <w:pPr>
              <w:ind w:left="142"/>
              <w:rPr>
                <w:sz w:val="18"/>
                <w:szCs w:val="18"/>
                <w:lang w:val="en-US"/>
              </w:rPr>
            </w:pPr>
            <w:r w:rsidRPr="00B57E74">
              <w:rPr>
                <w:sz w:val="18"/>
                <w:szCs w:val="18"/>
                <w:lang w:val="en-US"/>
              </w:rPr>
              <w:t>Agree</w:t>
            </w:r>
          </w:p>
        </w:tc>
        <w:tc>
          <w:tcPr>
            <w:tcW w:w="1827" w:type="dxa"/>
            <w:vAlign w:val="center"/>
          </w:tcPr>
          <w:p w14:paraId="1FCF6BD7"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409</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61.8</w:t>
            </w:r>
            <w:r w:rsidRPr="00B57E74">
              <w:rPr>
                <w:rFonts w:ascii="Calibri" w:eastAsia="Times New Roman" w:hAnsi="Calibri" w:cs="Times New Roman"/>
                <w:color w:val="000000"/>
                <w:sz w:val="18"/>
                <w:szCs w:val="18"/>
                <w:lang w:eastAsia="en-GB"/>
              </w:rPr>
              <w:t>%)</w:t>
            </w:r>
          </w:p>
        </w:tc>
        <w:tc>
          <w:tcPr>
            <w:tcW w:w="1626" w:type="dxa"/>
            <w:vAlign w:val="center"/>
          </w:tcPr>
          <w:p w14:paraId="7368DE22"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333</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59.6</w:t>
            </w:r>
            <w:r w:rsidRPr="00B57E74">
              <w:rPr>
                <w:rFonts w:ascii="Calibri" w:eastAsia="Times New Roman" w:hAnsi="Calibri" w:cs="Times New Roman"/>
                <w:color w:val="000000"/>
                <w:sz w:val="18"/>
                <w:szCs w:val="18"/>
                <w:lang w:eastAsia="en-GB"/>
              </w:rPr>
              <w:t>%)</w:t>
            </w:r>
          </w:p>
        </w:tc>
        <w:tc>
          <w:tcPr>
            <w:tcW w:w="1037" w:type="dxa"/>
          </w:tcPr>
          <w:p w14:paraId="191EC60D" w14:textId="77777777" w:rsidR="00CF0E5E" w:rsidRPr="00B57E74" w:rsidRDefault="00CF0E5E" w:rsidP="00CA5245">
            <w:pPr>
              <w:jc w:val="right"/>
              <w:rPr>
                <w:rFonts w:cs="Times New Roman"/>
                <w:sz w:val="18"/>
                <w:szCs w:val="18"/>
              </w:rPr>
            </w:pPr>
          </w:p>
        </w:tc>
        <w:tc>
          <w:tcPr>
            <w:tcW w:w="1037" w:type="dxa"/>
          </w:tcPr>
          <w:p w14:paraId="4CA09266" w14:textId="77777777" w:rsidR="00CF0E5E" w:rsidRPr="00B57E74" w:rsidRDefault="00CF0E5E" w:rsidP="00CA5245">
            <w:pPr>
              <w:jc w:val="right"/>
              <w:rPr>
                <w:rFonts w:cs="Times New Roman"/>
                <w:sz w:val="18"/>
                <w:szCs w:val="18"/>
              </w:rPr>
            </w:pPr>
          </w:p>
        </w:tc>
      </w:tr>
      <w:tr w:rsidR="00CF0E5E" w:rsidRPr="00B57E74" w14:paraId="6BDFDC6F" w14:textId="77777777" w:rsidTr="00CA5245">
        <w:tc>
          <w:tcPr>
            <w:tcW w:w="3770" w:type="dxa"/>
          </w:tcPr>
          <w:p w14:paraId="47C5A28A" w14:textId="77777777" w:rsidR="00CF0E5E" w:rsidRPr="00B57E74" w:rsidRDefault="00CF0E5E" w:rsidP="00CA5245">
            <w:pPr>
              <w:ind w:left="142"/>
              <w:rPr>
                <w:sz w:val="18"/>
                <w:szCs w:val="18"/>
                <w:lang w:val="en-US"/>
              </w:rPr>
            </w:pPr>
            <w:r w:rsidRPr="00B57E74">
              <w:rPr>
                <w:sz w:val="18"/>
                <w:szCs w:val="18"/>
                <w:lang w:val="en-US"/>
              </w:rPr>
              <w:t>Strongly Agree</w:t>
            </w:r>
          </w:p>
        </w:tc>
        <w:tc>
          <w:tcPr>
            <w:tcW w:w="1827" w:type="dxa"/>
            <w:vAlign w:val="center"/>
          </w:tcPr>
          <w:p w14:paraId="03F973BC"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131</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19.8</w:t>
            </w:r>
            <w:r w:rsidRPr="00B57E74">
              <w:rPr>
                <w:rFonts w:ascii="Calibri" w:eastAsia="Times New Roman" w:hAnsi="Calibri" w:cs="Times New Roman"/>
                <w:color w:val="000000"/>
                <w:sz w:val="18"/>
                <w:szCs w:val="18"/>
                <w:lang w:eastAsia="en-GB"/>
              </w:rPr>
              <w:t>%)</w:t>
            </w:r>
          </w:p>
        </w:tc>
        <w:tc>
          <w:tcPr>
            <w:tcW w:w="1626" w:type="dxa"/>
            <w:vAlign w:val="center"/>
          </w:tcPr>
          <w:p w14:paraId="13D9A07B" w14:textId="77777777" w:rsidR="00CF0E5E" w:rsidRPr="00B57E74" w:rsidRDefault="00CF0E5E" w:rsidP="00CA5245">
            <w:pPr>
              <w:jc w:val="right"/>
              <w:rPr>
                <w:rFonts w:ascii="Calibri" w:eastAsia="Times New Roman" w:hAnsi="Calibri" w:cs="Times New Roman"/>
                <w:color w:val="000000"/>
                <w:sz w:val="18"/>
                <w:szCs w:val="18"/>
                <w:lang w:eastAsia="en-GB"/>
              </w:rPr>
            </w:pPr>
            <w:r w:rsidRPr="00B57E74">
              <w:rPr>
                <w:rFonts w:eastAsia="Times New Roman" w:cs="Times New Roman"/>
                <w:color w:val="000000"/>
                <w:sz w:val="18"/>
                <w:szCs w:val="18"/>
                <w:lang w:val="en-US" w:eastAsia="en-GB"/>
              </w:rPr>
              <w:t>139</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24.9</w:t>
            </w:r>
            <w:r w:rsidRPr="00B57E74">
              <w:rPr>
                <w:rFonts w:ascii="Calibri" w:eastAsia="Times New Roman" w:hAnsi="Calibri" w:cs="Times New Roman"/>
                <w:color w:val="000000"/>
                <w:sz w:val="18"/>
                <w:szCs w:val="18"/>
                <w:lang w:eastAsia="en-GB"/>
              </w:rPr>
              <w:t>%)</w:t>
            </w:r>
          </w:p>
        </w:tc>
        <w:tc>
          <w:tcPr>
            <w:tcW w:w="1037" w:type="dxa"/>
          </w:tcPr>
          <w:p w14:paraId="1EEE5678" w14:textId="77777777" w:rsidR="00CF0E5E" w:rsidRPr="00B57E74" w:rsidRDefault="00CF0E5E" w:rsidP="00CA5245">
            <w:pPr>
              <w:jc w:val="right"/>
              <w:rPr>
                <w:rFonts w:cs="Times New Roman"/>
                <w:sz w:val="18"/>
                <w:szCs w:val="18"/>
              </w:rPr>
            </w:pPr>
          </w:p>
        </w:tc>
        <w:tc>
          <w:tcPr>
            <w:tcW w:w="1037" w:type="dxa"/>
          </w:tcPr>
          <w:p w14:paraId="3877ED85" w14:textId="77777777" w:rsidR="00CF0E5E" w:rsidRPr="00B57E74" w:rsidRDefault="00CF0E5E" w:rsidP="00CA5245">
            <w:pPr>
              <w:jc w:val="right"/>
              <w:rPr>
                <w:rFonts w:cs="Times New Roman"/>
                <w:sz w:val="18"/>
                <w:szCs w:val="18"/>
              </w:rPr>
            </w:pPr>
          </w:p>
        </w:tc>
      </w:tr>
      <w:tr w:rsidR="00CF0E5E" w:rsidRPr="00B57E74" w14:paraId="0E7DC672" w14:textId="77777777" w:rsidTr="00CA5245">
        <w:tc>
          <w:tcPr>
            <w:tcW w:w="3770" w:type="dxa"/>
          </w:tcPr>
          <w:p w14:paraId="0618755B" w14:textId="77777777" w:rsidR="00CF0E5E" w:rsidRPr="00B57E74" w:rsidRDefault="00CF0E5E" w:rsidP="00CA5245">
            <w:pPr>
              <w:ind w:left="142"/>
              <w:rPr>
                <w:sz w:val="18"/>
                <w:szCs w:val="18"/>
                <w:lang w:val="en-US"/>
              </w:rPr>
            </w:pPr>
            <w:r w:rsidRPr="00B57E74">
              <w:rPr>
                <w:sz w:val="18"/>
                <w:szCs w:val="18"/>
                <w:lang w:val="en-US"/>
              </w:rPr>
              <w:t>No answer</w:t>
            </w:r>
          </w:p>
        </w:tc>
        <w:tc>
          <w:tcPr>
            <w:tcW w:w="1827" w:type="dxa"/>
            <w:vAlign w:val="center"/>
          </w:tcPr>
          <w:p w14:paraId="735ACE3E" w14:textId="77777777" w:rsidR="00CF0E5E" w:rsidRPr="00B57E74" w:rsidRDefault="00CF0E5E" w:rsidP="00CA5245">
            <w:pPr>
              <w:jc w:val="right"/>
              <w:rPr>
                <w:rFonts w:eastAsia="Times New Roman" w:cs="Times New Roman"/>
                <w:color w:val="000000"/>
                <w:sz w:val="18"/>
                <w:szCs w:val="18"/>
                <w:lang w:val="en-US" w:eastAsia="en-GB"/>
              </w:rPr>
            </w:pPr>
          </w:p>
        </w:tc>
        <w:tc>
          <w:tcPr>
            <w:tcW w:w="1626" w:type="dxa"/>
            <w:vAlign w:val="center"/>
          </w:tcPr>
          <w:p w14:paraId="7DA70479" w14:textId="77777777" w:rsidR="00CF0E5E" w:rsidRPr="00B57E74" w:rsidRDefault="00CF0E5E" w:rsidP="00CA5245">
            <w:pPr>
              <w:jc w:val="right"/>
              <w:rPr>
                <w:rFonts w:eastAsia="Times New Roman" w:cs="Times New Roman"/>
                <w:color w:val="000000"/>
                <w:sz w:val="18"/>
                <w:szCs w:val="18"/>
                <w:lang w:val="en-US" w:eastAsia="en-GB"/>
              </w:rPr>
            </w:pPr>
            <w:r w:rsidRPr="00B57E74">
              <w:rPr>
                <w:rFonts w:eastAsia="Times New Roman" w:cs="Times New Roman"/>
                <w:color w:val="000000"/>
                <w:sz w:val="18"/>
                <w:szCs w:val="18"/>
                <w:lang w:val="en-US" w:eastAsia="en-GB"/>
              </w:rPr>
              <w:t>5 (0.9%)</w:t>
            </w:r>
          </w:p>
        </w:tc>
        <w:tc>
          <w:tcPr>
            <w:tcW w:w="1037" w:type="dxa"/>
          </w:tcPr>
          <w:p w14:paraId="0B63A227" w14:textId="77777777" w:rsidR="00CF0E5E" w:rsidRPr="00B57E74" w:rsidRDefault="00CF0E5E" w:rsidP="00CA5245">
            <w:pPr>
              <w:jc w:val="right"/>
              <w:rPr>
                <w:rFonts w:cs="Times New Roman"/>
                <w:sz w:val="18"/>
                <w:szCs w:val="18"/>
              </w:rPr>
            </w:pPr>
          </w:p>
        </w:tc>
        <w:tc>
          <w:tcPr>
            <w:tcW w:w="1037" w:type="dxa"/>
          </w:tcPr>
          <w:p w14:paraId="08505FF4" w14:textId="77777777" w:rsidR="00CF0E5E" w:rsidRPr="00B57E74" w:rsidRDefault="00CF0E5E" w:rsidP="00CA5245">
            <w:pPr>
              <w:jc w:val="right"/>
              <w:rPr>
                <w:rFonts w:cs="Times New Roman"/>
                <w:sz w:val="18"/>
                <w:szCs w:val="18"/>
              </w:rPr>
            </w:pPr>
          </w:p>
        </w:tc>
      </w:tr>
      <w:tr w:rsidR="00CF0E5E" w:rsidRPr="00B57E74" w14:paraId="17395DDF" w14:textId="77777777" w:rsidTr="00CA5245">
        <w:tc>
          <w:tcPr>
            <w:tcW w:w="7223" w:type="dxa"/>
            <w:gridSpan w:val="3"/>
          </w:tcPr>
          <w:p w14:paraId="0A32BCBD" w14:textId="77777777" w:rsidR="00CF0E5E" w:rsidRPr="00B57E74" w:rsidRDefault="00CF0E5E" w:rsidP="00CA5245">
            <w:pPr>
              <w:rPr>
                <w:rFonts w:cs="Times New Roman"/>
                <w:sz w:val="18"/>
                <w:szCs w:val="18"/>
              </w:rPr>
            </w:pPr>
            <w:r w:rsidRPr="00B57E74">
              <w:rPr>
                <w:rFonts w:cs="Times New Roman"/>
                <w:i/>
                <w:sz w:val="18"/>
                <w:szCs w:val="18"/>
              </w:rPr>
              <w:lastRenderedPageBreak/>
              <w:t xml:space="preserve">If I make my own </w:t>
            </w:r>
            <w:proofErr w:type="gramStart"/>
            <w:r w:rsidRPr="00B57E74">
              <w:rPr>
                <w:rFonts w:cs="Times New Roman"/>
                <w:i/>
                <w:sz w:val="18"/>
                <w:szCs w:val="18"/>
              </w:rPr>
              <w:t>choices</w:t>
            </w:r>
            <w:proofErr w:type="gramEnd"/>
            <w:r w:rsidRPr="00B57E74">
              <w:rPr>
                <w:rFonts w:cs="Times New Roman"/>
                <w:i/>
                <w:sz w:val="18"/>
                <w:szCs w:val="18"/>
              </w:rPr>
              <w:t xml:space="preserve"> I will be more happy than if I listen to others</w:t>
            </w:r>
          </w:p>
        </w:tc>
        <w:tc>
          <w:tcPr>
            <w:tcW w:w="1037" w:type="dxa"/>
          </w:tcPr>
          <w:p w14:paraId="577F5069" w14:textId="77777777" w:rsidR="00CF0E5E" w:rsidRPr="00B57E74" w:rsidRDefault="00CF0E5E" w:rsidP="00CA5245">
            <w:pPr>
              <w:jc w:val="right"/>
              <w:rPr>
                <w:rFonts w:cs="Times New Roman"/>
                <w:sz w:val="18"/>
                <w:szCs w:val="18"/>
                <w:highlight w:val="yellow"/>
              </w:rPr>
            </w:pPr>
            <w:r w:rsidRPr="00B57E74">
              <w:rPr>
                <w:rFonts w:ascii="Courier New" w:hAnsi="Courier New" w:cs="Courier New"/>
                <w:sz w:val="18"/>
                <w:szCs w:val="18"/>
              </w:rPr>
              <w:t>0.1745</w:t>
            </w:r>
          </w:p>
        </w:tc>
        <w:tc>
          <w:tcPr>
            <w:tcW w:w="1037" w:type="dxa"/>
          </w:tcPr>
          <w:p w14:paraId="4A3CBD5C" w14:textId="77777777" w:rsidR="00CF0E5E" w:rsidRPr="00B57E74" w:rsidRDefault="00CF0E5E" w:rsidP="00CA5245">
            <w:pPr>
              <w:jc w:val="right"/>
              <w:rPr>
                <w:rFonts w:ascii="Courier New" w:hAnsi="Courier New" w:cs="Courier New"/>
                <w:sz w:val="18"/>
                <w:szCs w:val="18"/>
              </w:rPr>
            </w:pPr>
            <w:r w:rsidRPr="00B57E74">
              <w:rPr>
                <w:rFonts w:ascii="Courier New" w:hAnsi="Courier New" w:cs="Courier New"/>
                <w:sz w:val="18"/>
                <w:szCs w:val="18"/>
              </w:rPr>
              <w:t>0.0325</w:t>
            </w:r>
          </w:p>
        </w:tc>
      </w:tr>
      <w:tr w:rsidR="00CF0E5E" w:rsidRPr="00B57E74" w14:paraId="7D3D4F15" w14:textId="77777777" w:rsidTr="00CA5245">
        <w:tc>
          <w:tcPr>
            <w:tcW w:w="3770" w:type="dxa"/>
          </w:tcPr>
          <w:p w14:paraId="0ED2F9A0" w14:textId="77777777" w:rsidR="00CF0E5E" w:rsidRPr="00B57E74" w:rsidRDefault="00CF0E5E" w:rsidP="00CA5245">
            <w:pPr>
              <w:ind w:left="142"/>
              <w:rPr>
                <w:sz w:val="18"/>
                <w:szCs w:val="18"/>
                <w:lang w:val="en-US"/>
              </w:rPr>
            </w:pPr>
            <w:r w:rsidRPr="00B57E74">
              <w:rPr>
                <w:sz w:val="18"/>
                <w:szCs w:val="18"/>
                <w:lang w:val="en-US"/>
              </w:rPr>
              <w:t>Strongly Disagree</w:t>
            </w:r>
          </w:p>
        </w:tc>
        <w:tc>
          <w:tcPr>
            <w:tcW w:w="1827" w:type="dxa"/>
            <w:vAlign w:val="center"/>
          </w:tcPr>
          <w:p w14:paraId="4EBF18C9"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16 (2.4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1426B090"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3 (0.5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2B503A1D" w14:textId="77777777" w:rsidR="00CF0E5E" w:rsidRPr="00B57E74" w:rsidRDefault="00CF0E5E" w:rsidP="00CA5245">
            <w:pPr>
              <w:jc w:val="right"/>
              <w:rPr>
                <w:rFonts w:cs="Times New Roman"/>
                <w:sz w:val="18"/>
                <w:szCs w:val="18"/>
              </w:rPr>
            </w:pPr>
          </w:p>
        </w:tc>
        <w:tc>
          <w:tcPr>
            <w:tcW w:w="1037" w:type="dxa"/>
          </w:tcPr>
          <w:p w14:paraId="3FD22E0C" w14:textId="77777777" w:rsidR="00CF0E5E" w:rsidRPr="00B57E74" w:rsidRDefault="00CF0E5E" w:rsidP="00CA5245">
            <w:pPr>
              <w:jc w:val="right"/>
              <w:rPr>
                <w:rFonts w:cs="Times New Roman"/>
                <w:sz w:val="18"/>
                <w:szCs w:val="18"/>
              </w:rPr>
            </w:pPr>
          </w:p>
        </w:tc>
      </w:tr>
      <w:tr w:rsidR="00CF0E5E" w:rsidRPr="00B57E74" w14:paraId="2FAAF591" w14:textId="77777777" w:rsidTr="00CA5245">
        <w:tc>
          <w:tcPr>
            <w:tcW w:w="3770" w:type="dxa"/>
          </w:tcPr>
          <w:p w14:paraId="340FD8D5" w14:textId="77777777" w:rsidR="00CF0E5E" w:rsidRPr="00B57E74" w:rsidRDefault="00CF0E5E" w:rsidP="00CA5245">
            <w:pPr>
              <w:ind w:left="142"/>
              <w:rPr>
                <w:sz w:val="18"/>
                <w:szCs w:val="18"/>
                <w:lang w:val="en-US"/>
              </w:rPr>
            </w:pPr>
            <w:r w:rsidRPr="00B57E74">
              <w:rPr>
                <w:sz w:val="18"/>
                <w:szCs w:val="18"/>
                <w:lang w:val="en-US"/>
              </w:rPr>
              <w:t>Disagree</w:t>
            </w:r>
          </w:p>
        </w:tc>
        <w:tc>
          <w:tcPr>
            <w:tcW w:w="1827" w:type="dxa"/>
            <w:vAlign w:val="center"/>
          </w:tcPr>
          <w:p w14:paraId="5EFE3520"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110 (16.6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5948ECFB"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100 (17.9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5DB849A6" w14:textId="77777777" w:rsidR="00CF0E5E" w:rsidRPr="00B57E74" w:rsidRDefault="00CF0E5E" w:rsidP="00CA5245">
            <w:pPr>
              <w:jc w:val="right"/>
              <w:rPr>
                <w:rFonts w:cs="Times New Roman"/>
                <w:sz w:val="18"/>
                <w:szCs w:val="18"/>
              </w:rPr>
            </w:pPr>
          </w:p>
        </w:tc>
        <w:tc>
          <w:tcPr>
            <w:tcW w:w="1037" w:type="dxa"/>
          </w:tcPr>
          <w:p w14:paraId="01EE57CD" w14:textId="77777777" w:rsidR="00CF0E5E" w:rsidRPr="00B57E74" w:rsidRDefault="00CF0E5E" w:rsidP="00CA5245">
            <w:pPr>
              <w:jc w:val="right"/>
              <w:rPr>
                <w:rFonts w:cs="Times New Roman"/>
                <w:sz w:val="18"/>
                <w:szCs w:val="18"/>
              </w:rPr>
            </w:pPr>
          </w:p>
        </w:tc>
      </w:tr>
      <w:tr w:rsidR="00CF0E5E" w:rsidRPr="00B57E74" w14:paraId="717F486C" w14:textId="77777777" w:rsidTr="00CA5245">
        <w:tc>
          <w:tcPr>
            <w:tcW w:w="3770" w:type="dxa"/>
          </w:tcPr>
          <w:p w14:paraId="4C9B87F4" w14:textId="77777777" w:rsidR="00CF0E5E" w:rsidRPr="00B57E74" w:rsidRDefault="00CF0E5E" w:rsidP="00CA5245">
            <w:pPr>
              <w:ind w:left="142"/>
              <w:rPr>
                <w:sz w:val="18"/>
                <w:szCs w:val="18"/>
                <w:lang w:val="en-US"/>
              </w:rPr>
            </w:pPr>
            <w:r w:rsidRPr="00B57E74">
              <w:rPr>
                <w:sz w:val="18"/>
                <w:szCs w:val="18"/>
                <w:lang w:val="en-US"/>
              </w:rPr>
              <w:t>Agree</w:t>
            </w:r>
          </w:p>
        </w:tc>
        <w:tc>
          <w:tcPr>
            <w:tcW w:w="1827" w:type="dxa"/>
            <w:vAlign w:val="center"/>
          </w:tcPr>
          <w:p w14:paraId="05BB890A"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411 (62.1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0684FF9B"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357 (63.9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374E8EE9" w14:textId="77777777" w:rsidR="00CF0E5E" w:rsidRPr="00B57E74" w:rsidRDefault="00CF0E5E" w:rsidP="00CA5245">
            <w:pPr>
              <w:jc w:val="right"/>
              <w:rPr>
                <w:rFonts w:cs="Times New Roman"/>
                <w:sz w:val="18"/>
                <w:szCs w:val="18"/>
              </w:rPr>
            </w:pPr>
          </w:p>
        </w:tc>
        <w:tc>
          <w:tcPr>
            <w:tcW w:w="1037" w:type="dxa"/>
          </w:tcPr>
          <w:p w14:paraId="5BCD63EC" w14:textId="77777777" w:rsidR="00CF0E5E" w:rsidRPr="00B57E74" w:rsidRDefault="00CF0E5E" w:rsidP="00CA5245">
            <w:pPr>
              <w:jc w:val="right"/>
              <w:rPr>
                <w:rFonts w:cs="Times New Roman"/>
                <w:sz w:val="18"/>
                <w:szCs w:val="18"/>
              </w:rPr>
            </w:pPr>
          </w:p>
        </w:tc>
      </w:tr>
      <w:tr w:rsidR="00CF0E5E" w:rsidRPr="00B57E74" w14:paraId="530CD142" w14:textId="77777777" w:rsidTr="00CA5245">
        <w:tc>
          <w:tcPr>
            <w:tcW w:w="3770" w:type="dxa"/>
          </w:tcPr>
          <w:p w14:paraId="3B0A4275" w14:textId="77777777" w:rsidR="00CF0E5E" w:rsidRPr="00B57E74" w:rsidRDefault="00CF0E5E" w:rsidP="00CA5245">
            <w:pPr>
              <w:ind w:left="142"/>
              <w:rPr>
                <w:sz w:val="18"/>
                <w:szCs w:val="18"/>
                <w:lang w:val="en-US"/>
              </w:rPr>
            </w:pPr>
            <w:r w:rsidRPr="00B57E74">
              <w:rPr>
                <w:sz w:val="18"/>
                <w:szCs w:val="18"/>
                <w:lang w:val="en-US"/>
              </w:rPr>
              <w:t>Strongly Agree</w:t>
            </w:r>
          </w:p>
        </w:tc>
        <w:tc>
          <w:tcPr>
            <w:tcW w:w="1827" w:type="dxa"/>
            <w:vAlign w:val="center"/>
          </w:tcPr>
          <w:p w14:paraId="13A459A6"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125 (18.9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230FF24C"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93 (16.6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35CF21E8" w14:textId="77777777" w:rsidR="00CF0E5E" w:rsidRPr="00B57E74" w:rsidRDefault="00CF0E5E" w:rsidP="00CA5245">
            <w:pPr>
              <w:jc w:val="right"/>
              <w:rPr>
                <w:rFonts w:cs="Times New Roman"/>
                <w:sz w:val="18"/>
                <w:szCs w:val="18"/>
              </w:rPr>
            </w:pPr>
          </w:p>
        </w:tc>
        <w:tc>
          <w:tcPr>
            <w:tcW w:w="1037" w:type="dxa"/>
          </w:tcPr>
          <w:p w14:paraId="66548204" w14:textId="77777777" w:rsidR="00CF0E5E" w:rsidRPr="00B57E74" w:rsidRDefault="00CF0E5E" w:rsidP="00CA5245">
            <w:pPr>
              <w:jc w:val="right"/>
              <w:rPr>
                <w:rFonts w:cs="Times New Roman"/>
                <w:sz w:val="18"/>
                <w:szCs w:val="18"/>
              </w:rPr>
            </w:pPr>
          </w:p>
        </w:tc>
      </w:tr>
      <w:tr w:rsidR="00CF0E5E" w:rsidRPr="00B57E74" w14:paraId="27BC2EB6" w14:textId="77777777" w:rsidTr="00CA5245">
        <w:tc>
          <w:tcPr>
            <w:tcW w:w="3770" w:type="dxa"/>
          </w:tcPr>
          <w:p w14:paraId="2DC4A9D8" w14:textId="77777777" w:rsidR="00CF0E5E" w:rsidRPr="00B57E74" w:rsidRDefault="00CF0E5E" w:rsidP="00CA5245">
            <w:pPr>
              <w:ind w:left="142"/>
              <w:rPr>
                <w:sz w:val="18"/>
                <w:szCs w:val="18"/>
                <w:lang w:val="en-US"/>
              </w:rPr>
            </w:pPr>
            <w:r w:rsidRPr="00B57E74">
              <w:rPr>
                <w:sz w:val="18"/>
                <w:szCs w:val="18"/>
                <w:lang w:val="en-US"/>
              </w:rPr>
              <w:t>No answer</w:t>
            </w:r>
          </w:p>
        </w:tc>
        <w:tc>
          <w:tcPr>
            <w:tcW w:w="1827" w:type="dxa"/>
          </w:tcPr>
          <w:p w14:paraId="6CB48747" w14:textId="77777777" w:rsidR="00CF0E5E" w:rsidRPr="00B57E74" w:rsidRDefault="00CF0E5E" w:rsidP="00CA5245">
            <w:pPr>
              <w:jc w:val="right"/>
              <w:rPr>
                <w:sz w:val="18"/>
                <w:szCs w:val="18"/>
                <w:lang w:val="en-US"/>
              </w:rPr>
            </w:pPr>
          </w:p>
        </w:tc>
        <w:tc>
          <w:tcPr>
            <w:tcW w:w="1626" w:type="dxa"/>
            <w:vAlign w:val="center"/>
          </w:tcPr>
          <w:p w14:paraId="64B69764" w14:textId="77777777" w:rsidR="00CF0E5E" w:rsidRPr="00B57E74" w:rsidRDefault="00CF0E5E" w:rsidP="00CA5245">
            <w:pPr>
              <w:jc w:val="right"/>
              <w:rPr>
                <w:rFonts w:eastAsia="Times New Roman" w:cs="Times New Roman"/>
                <w:color w:val="000000"/>
                <w:sz w:val="18"/>
                <w:szCs w:val="18"/>
                <w:lang w:eastAsia="en-GB"/>
              </w:rPr>
            </w:pPr>
            <w:proofErr w:type="gramStart"/>
            <w:r w:rsidRPr="00B57E74">
              <w:rPr>
                <w:rFonts w:eastAsia="Times New Roman" w:cs="Times New Roman"/>
                <w:color w:val="000000"/>
                <w:sz w:val="18"/>
                <w:szCs w:val="18"/>
                <w:lang w:val="en-US" w:eastAsia="en-GB"/>
              </w:rPr>
              <w:t>6</w:t>
            </w:r>
            <w:r w:rsidRPr="00B57E74">
              <w:rPr>
                <w:rFonts w:eastAsia="Times New Roman" w:cs="Times New Roman"/>
                <w:color w:val="000000"/>
                <w:sz w:val="18"/>
                <w:szCs w:val="18"/>
                <w:lang w:eastAsia="en-GB"/>
              </w:rPr>
              <w:t xml:space="preserve"> </w:t>
            </w:r>
            <w:r w:rsidRPr="00B57E74">
              <w:rPr>
                <w:rFonts w:eastAsia="Times New Roman" w:cs="Times New Roman"/>
                <w:color w:val="000000"/>
                <w:sz w:val="18"/>
                <w:szCs w:val="18"/>
                <w:lang w:val="en-US" w:eastAsia="en-GB"/>
              </w:rPr>
              <w:t xml:space="preserve"> (</w:t>
            </w:r>
            <w:proofErr w:type="gramEnd"/>
            <w:r w:rsidRPr="00B57E74">
              <w:rPr>
                <w:rFonts w:eastAsia="Times New Roman" w:cs="Times New Roman"/>
                <w:color w:val="000000"/>
                <w:sz w:val="18"/>
                <w:szCs w:val="18"/>
                <w:lang w:val="en-US" w:eastAsia="en-GB"/>
              </w:rPr>
              <w:t xml:space="preserve">1.1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4BDAC70C" w14:textId="77777777" w:rsidR="00CF0E5E" w:rsidRPr="00B57E74" w:rsidRDefault="00CF0E5E" w:rsidP="00CA5245">
            <w:pPr>
              <w:jc w:val="right"/>
              <w:rPr>
                <w:rFonts w:cs="Times New Roman"/>
                <w:sz w:val="18"/>
                <w:szCs w:val="18"/>
              </w:rPr>
            </w:pPr>
          </w:p>
        </w:tc>
        <w:tc>
          <w:tcPr>
            <w:tcW w:w="1037" w:type="dxa"/>
          </w:tcPr>
          <w:p w14:paraId="2312EA88" w14:textId="77777777" w:rsidR="00CF0E5E" w:rsidRPr="00B57E74" w:rsidRDefault="00CF0E5E" w:rsidP="00CA5245">
            <w:pPr>
              <w:jc w:val="right"/>
              <w:rPr>
                <w:rFonts w:cs="Times New Roman"/>
                <w:sz w:val="18"/>
                <w:szCs w:val="18"/>
              </w:rPr>
            </w:pPr>
          </w:p>
        </w:tc>
      </w:tr>
      <w:tr w:rsidR="00CF0E5E" w:rsidRPr="00B57E74" w14:paraId="4245E5B6" w14:textId="77777777" w:rsidTr="00CA5245">
        <w:tc>
          <w:tcPr>
            <w:tcW w:w="3770" w:type="dxa"/>
          </w:tcPr>
          <w:p w14:paraId="7958C4A5" w14:textId="77777777" w:rsidR="00CF0E5E" w:rsidRPr="00B57E74" w:rsidRDefault="00CF0E5E" w:rsidP="00CA5245">
            <w:pPr>
              <w:rPr>
                <w:rFonts w:cs="Times New Roman"/>
                <w:b/>
                <w:sz w:val="18"/>
                <w:szCs w:val="18"/>
              </w:rPr>
            </w:pPr>
            <w:r w:rsidRPr="00B57E74">
              <w:rPr>
                <w:rFonts w:cs="Times New Roman"/>
                <w:b/>
                <w:sz w:val="18"/>
                <w:szCs w:val="18"/>
              </w:rPr>
              <w:t>“Self confidence”</w:t>
            </w:r>
          </w:p>
        </w:tc>
        <w:tc>
          <w:tcPr>
            <w:tcW w:w="1827" w:type="dxa"/>
          </w:tcPr>
          <w:p w14:paraId="5D7CE78C" w14:textId="77777777" w:rsidR="00CF0E5E" w:rsidRPr="00B57E74" w:rsidRDefault="00CF0E5E" w:rsidP="00CA5245">
            <w:pPr>
              <w:jc w:val="right"/>
              <w:rPr>
                <w:rFonts w:cs="Times New Roman"/>
                <w:sz w:val="18"/>
                <w:szCs w:val="18"/>
              </w:rPr>
            </w:pPr>
          </w:p>
        </w:tc>
        <w:tc>
          <w:tcPr>
            <w:tcW w:w="1626" w:type="dxa"/>
          </w:tcPr>
          <w:p w14:paraId="1BCBDE92" w14:textId="77777777" w:rsidR="00CF0E5E" w:rsidRPr="00B57E74" w:rsidRDefault="00CF0E5E" w:rsidP="00CA5245">
            <w:pPr>
              <w:jc w:val="right"/>
              <w:rPr>
                <w:rFonts w:cs="Times New Roman"/>
                <w:sz w:val="18"/>
                <w:szCs w:val="18"/>
              </w:rPr>
            </w:pPr>
          </w:p>
        </w:tc>
        <w:tc>
          <w:tcPr>
            <w:tcW w:w="1037" w:type="dxa"/>
          </w:tcPr>
          <w:p w14:paraId="7726526A" w14:textId="77777777" w:rsidR="00CF0E5E" w:rsidRPr="00B57E74" w:rsidRDefault="00CF0E5E" w:rsidP="00CA5245">
            <w:pPr>
              <w:jc w:val="right"/>
              <w:rPr>
                <w:rFonts w:cs="Times New Roman"/>
                <w:sz w:val="18"/>
                <w:szCs w:val="18"/>
              </w:rPr>
            </w:pPr>
          </w:p>
        </w:tc>
        <w:tc>
          <w:tcPr>
            <w:tcW w:w="1037" w:type="dxa"/>
          </w:tcPr>
          <w:p w14:paraId="1434A25F" w14:textId="77777777" w:rsidR="00CF0E5E" w:rsidRPr="00B57E74" w:rsidRDefault="00CF0E5E" w:rsidP="00CA5245">
            <w:pPr>
              <w:jc w:val="right"/>
              <w:rPr>
                <w:rFonts w:cs="Times New Roman"/>
                <w:sz w:val="18"/>
                <w:szCs w:val="18"/>
              </w:rPr>
            </w:pPr>
          </w:p>
        </w:tc>
      </w:tr>
      <w:tr w:rsidR="00CF0E5E" w:rsidRPr="00B57E74" w14:paraId="5A2A47ED" w14:textId="77777777" w:rsidTr="00CA5245">
        <w:tc>
          <w:tcPr>
            <w:tcW w:w="7223" w:type="dxa"/>
            <w:gridSpan w:val="3"/>
            <w:shd w:val="clear" w:color="auto" w:fill="auto"/>
          </w:tcPr>
          <w:p w14:paraId="0E8A50BC" w14:textId="77777777" w:rsidR="00CF0E5E" w:rsidRPr="004D1024" w:rsidRDefault="00CF0E5E" w:rsidP="00CA5245">
            <w:pPr>
              <w:rPr>
                <w:rFonts w:cs="Times New Roman"/>
                <w:sz w:val="18"/>
                <w:szCs w:val="18"/>
              </w:rPr>
            </w:pPr>
            <w:r w:rsidRPr="004D1024">
              <w:rPr>
                <w:rFonts w:cs="Times New Roman"/>
                <w:i/>
                <w:sz w:val="18"/>
                <w:szCs w:val="18"/>
              </w:rPr>
              <w:t>I am able to do things as well as most other people my age</w:t>
            </w:r>
          </w:p>
        </w:tc>
        <w:tc>
          <w:tcPr>
            <w:tcW w:w="1037" w:type="dxa"/>
          </w:tcPr>
          <w:p w14:paraId="6B47F910" w14:textId="77777777" w:rsidR="00CF0E5E" w:rsidRPr="00B57E74" w:rsidRDefault="00CF0E5E" w:rsidP="00CA5245">
            <w:pPr>
              <w:jc w:val="right"/>
              <w:rPr>
                <w:rFonts w:cs="Times New Roman"/>
                <w:sz w:val="18"/>
                <w:szCs w:val="18"/>
              </w:rPr>
            </w:pPr>
            <w:r w:rsidRPr="00B57E74">
              <w:rPr>
                <w:rFonts w:ascii="Courier New" w:hAnsi="Courier New" w:cs="Courier New"/>
                <w:sz w:val="18"/>
                <w:szCs w:val="18"/>
              </w:rPr>
              <w:t>0.6949</w:t>
            </w:r>
          </w:p>
        </w:tc>
        <w:tc>
          <w:tcPr>
            <w:tcW w:w="1037" w:type="dxa"/>
          </w:tcPr>
          <w:p w14:paraId="432AC091" w14:textId="77777777" w:rsidR="00CF0E5E" w:rsidRPr="00B57E74" w:rsidRDefault="00CF0E5E" w:rsidP="00CA5245">
            <w:pPr>
              <w:jc w:val="right"/>
              <w:rPr>
                <w:rFonts w:ascii="Courier New" w:hAnsi="Courier New" w:cs="Courier New"/>
                <w:sz w:val="18"/>
                <w:szCs w:val="18"/>
              </w:rPr>
            </w:pPr>
            <w:r w:rsidRPr="00B57E74">
              <w:rPr>
                <w:rFonts w:ascii="Courier New" w:hAnsi="Courier New" w:cs="Courier New"/>
                <w:sz w:val="18"/>
                <w:szCs w:val="18"/>
              </w:rPr>
              <w:t>0.0564</w:t>
            </w:r>
          </w:p>
        </w:tc>
      </w:tr>
      <w:tr w:rsidR="00CF0E5E" w:rsidRPr="00B57E74" w14:paraId="31966F30" w14:textId="77777777" w:rsidTr="00CA5245">
        <w:tc>
          <w:tcPr>
            <w:tcW w:w="3770" w:type="dxa"/>
            <w:shd w:val="clear" w:color="auto" w:fill="auto"/>
          </w:tcPr>
          <w:p w14:paraId="2316335B" w14:textId="77777777" w:rsidR="00CF0E5E" w:rsidRPr="004D1024" w:rsidRDefault="00CF0E5E" w:rsidP="00CA5245">
            <w:pPr>
              <w:ind w:left="142"/>
              <w:rPr>
                <w:sz w:val="18"/>
                <w:szCs w:val="18"/>
                <w:lang w:val="en-US"/>
              </w:rPr>
            </w:pPr>
            <w:r w:rsidRPr="004D1024">
              <w:rPr>
                <w:sz w:val="18"/>
                <w:szCs w:val="18"/>
                <w:lang w:val="en-US"/>
              </w:rPr>
              <w:t>Strongly Disagree</w:t>
            </w:r>
          </w:p>
        </w:tc>
        <w:tc>
          <w:tcPr>
            <w:tcW w:w="1827" w:type="dxa"/>
            <w:vAlign w:val="center"/>
          </w:tcPr>
          <w:p w14:paraId="25BCDEE3"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 (0.6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59BF601D"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 (0.5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1DD71479" w14:textId="77777777" w:rsidR="00CF0E5E" w:rsidRPr="00B57E74" w:rsidRDefault="00CF0E5E" w:rsidP="00CA5245">
            <w:pPr>
              <w:jc w:val="right"/>
              <w:rPr>
                <w:rFonts w:cs="Times New Roman"/>
                <w:sz w:val="18"/>
                <w:szCs w:val="18"/>
              </w:rPr>
            </w:pPr>
          </w:p>
        </w:tc>
        <w:tc>
          <w:tcPr>
            <w:tcW w:w="1037" w:type="dxa"/>
          </w:tcPr>
          <w:p w14:paraId="5F393AED" w14:textId="77777777" w:rsidR="00CF0E5E" w:rsidRPr="00B57E74" w:rsidRDefault="00CF0E5E" w:rsidP="00CA5245">
            <w:pPr>
              <w:jc w:val="right"/>
              <w:rPr>
                <w:rFonts w:cs="Times New Roman"/>
                <w:sz w:val="18"/>
                <w:szCs w:val="18"/>
              </w:rPr>
            </w:pPr>
          </w:p>
        </w:tc>
      </w:tr>
      <w:tr w:rsidR="00CF0E5E" w:rsidRPr="00B57E74" w14:paraId="5AA3C557" w14:textId="77777777" w:rsidTr="00CA5245">
        <w:tc>
          <w:tcPr>
            <w:tcW w:w="3770" w:type="dxa"/>
            <w:shd w:val="clear" w:color="auto" w:fill="auto"/>
          </w:tcPr>
          <w:p w14:paraId="73345D26" w14:textId="77777777" w:rsidR="00CF0E5E" w:rsidRPr="004D1024" w:rsidRDefault="00CF0E5E" w:rsidP="00CA5245">
            <w:pPr>
              <w:ind w:left="142"/>
              <w:rPr>
                <w:sz w:val="18"/>
                <w:szCs w:val="18"/>
                <w:lang w:val="en-US"/>
              </w:rPr>
            </w:pPr>
            <w:r w:rsidRPr="004D1024">
              <w:rPr>
                <w:sz w:val="18"/>
                <w:szCs w:val="18"/>
                <w:lang w:val="en-US"/>
              </w:rPr>
              <w:t>Disagree</w:t>
            </w:r>
          </w:p>
        </w:tc>
        <w:tc>
          <w:tcPr>
            <w:tcW w:w="1827" w:type="dxa"/>
            <w:vAlign w:val="center"/>
          </w:tcPr>
          <w:p w14:paraId="3AE67D68"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37 (5.6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3765C956"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37 (6.6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56E9B7D1" w14:textId="77777777" w:rsidR="00CF0E5E" w:rsidRPr="00B57E74" w:rsidRDefault="00CF0E5E" w:rsidP="00CA5245">
            <w:pPr>
              <w:jc w:val="right"/>
              <w:rPr>
                <w:rFonts w:cs="Times New Roman"/>
                <w:sz w:val="18"/>
                <w:szCs w:val="18"/>
              </w:rPr>
            </w:pPr>
          </w:p>
        </w:tc>
        <w:tc>
          <w:tcPr>
            <w:tcW w:w="1037" w:type="dxa"/>
          </w:tcPr>
          <w:p w14:paraId="5F3DA304" w14:textId="77777777" w:rsidR="00CF0E5E" w:rsidRPr="00B57E74" w:rsidRDefault="00CF0E5E" w:rsidP="00CA5245">
            <w:pPr>
              <w:jc w:val="right"/>
              <w:rPr>
                <w:rFonts w:cs="Times New Roman"/>
                <w:sz w:val="18"/>
                <w:szCs w:val="18"/>
              </w:rPr>
            </w:pPr>
          </w:p>
        </w:tc>
      </w:tr>
      <w:tr w:rsidR="00CF0E5E" w:rsidRPr="00B57E74" w14:paraId="4D659154" w14:textId="77777777" w:rsidTr="00CA5245">
        <w:tc>
          <w:tcPr>
            <w:tcW w:w="3770" w:type="dxa"/>
            <w:shd w:val="clear" w:color="auto" w:fill="auto"/>
          </w:tcPr>
          <w:p w14:paraId="57D6823B" w14:textId="77777777" w:rsidR="00CF0E5E" w:rsidRPr="004D1024" w:rsidRDefault="00CF0E5E" w:rsidP="00CA5245">
            <w:pPr>
              <w:ind w:left="142"/>
              <w:rPr>
                <w:sz w:val="18"/>
                <w:szCs w:val="18"/>
                <w:lang w:val="en-US"/>
              </w:rPr>
            </w:pPr>
            <w:r w:rsidRPr="004D1024">
              <w:rPr>
                <w:sz w:val="18"/>
                <w:szCs w:val="18"/>
                <w:lang w:val="en-US"/>
              </w:rPr>
              <w:t>Agree</w:t>
            </w:r>
          </w:p>
        </w:tc>
        <w:tc>
          <w:tcPr>
            <w:tcW w:w="1827" w:type="dxa"/>
            <w:vAlign w:val="center"/>
          </w:tcPr>
          <w:p w14:paraId="5B4EF34A"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446 (67.4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7ED84043"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392 (70.1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49263723" w14:textId="77777777" w:rsidR="00CF0E5E" w:rsidRPr="00B57E74" w:rsidRDefault="00CF0E5E" w:rsidP="00CA5245">
            <w:pPr>
              <w:jc w:val="right"/>
              <w:rPr>
                <w:rFonts w:cs="Times New Roman"/>
                <w:sz w:val="18"/>
                <w:szCs w:val="18"/>
              </w:rPr>
            </w:pPr>
          </w:p>
        </w:tc>
        <w:tc>
          <w:tcPr>
            <w:tcW w:w="1037" w:type="dxa"/>
          </w:tcPr>
          <w:p w14:paraId="5A1E09A9" w14:textId="77777777" w:rsidR="00CF0E5E" w:rsidRPr="00B57E74" w:rsidRDefault="00CF0E5E" w:rsidP="00CA5245">
            <w:pPr>
              <w:jc w:val="right"/>
              <w:rPr>
                <w:rFonts w:cs="Times New Roman"/>
                <w:sz w:val="18"/>
                <w:szCs w:val="18"/>
              </w:rPr>
            </w:pPr>
          </w:p>
        </w:tc>
      </w:tr>
      <w:tr w:rsidR="00CF0E5E" w:rsidRPr="00B57E74" w14:paraId="575B7034" w14:textId="77777777" w:rsidTr="00CA5245">
        <w:tc>
          <w:tcPr>
            <w:tcW w:w="3770" w:type="dxa"/>
            <w:shd w:val="clear" w:color="auto" w:fill="auto"/>
          </w:tcPr>
          <w:p w14:paraId="4C8523CC" w14:textId="77777777" w:rsidR="00CF0E5E" w:rsidRPr="004D1024" w:rsidRDefault="00CF0E5E" w:rsidP="00CA5245">
            <w:pPr>
              <w:ind w:left="142"/>
              <w:rPr>
                <w:sz w:val="18"/>
                <w:szCs w:val="18"/>
                <w:lang w:val="en-US"/>
              </w:rPr>
            </w:pPr>
            <w:r w:rsidRPr="004D1024">
              <w:rPr>
                <w:sz w:val="18"/>
                <w:szCs w:val="18"/>
                <w:lang w:val="en-US"/>
              </w:rPr>
              <w:t>Strongly Agree</w:t>
            </w:r>
          </w:p>
        </w:tc>
        <w:tc>
          <w:tcPr>
            <w:tcW w:w="1827" w:type="dxa"/>
            <w:vAlign w:val="center"/>
          </w:tcPr>
          <w:p w14:paraId="2ABB329C"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172 (26.0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6A915AEB"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122 (21.8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6559D7D0" w14:textId="77777777" w:rsidR="00CF0E5E" w:rsidRPr="00B57E74" w:rsidRDefault="00CF0E5E" w:rsidP="00CA5245">
            <w:pPr>
              <w:jc w:val="right"/>
              <w:rPr>
                <w:rFonts w:cs="Times New Roman"/>
                <w:sz w:val="18"/>
                <w:szCs w:val="18"/>
              </w:rPr>
            </w:pPr>
          </w:p>
        </w:tc>
        <w:tc>
          <w:tcPr>
            <w:tcW w:w="1037" w:type="dxa"/>
          </w:tcPr>
          <w:p w14:paraId="42B93CB9" w14:textId="77777777" w:rsidR="00CF0E5E" w:rsidRPr="00B57E74" w:rsidRDefault="00CF0E5E" w:rsidP="00CA5245">
            <w:pPr>
              <w:jc w:val="right"/>
              <w:rPr>
                <w:rFonts w:cs="Times New Roman"/>
                <w:sz w:val="18"/>
                <w:szCs w:val="18"/>
              </w:rPr>
            </w:pPr>
          </w:p>
        </w:tc>
      </w:tr>
      <w:tr w:rsidR="00CF0E5E" w:rsidRPr="00B57E74" w14:paraId="7BC4F3C9" w14:textId="77777777" w:rsidTr="00CA5245">
        <w:tc>
          <w:tcPr>
            <w:tcW w:w="3770" w:type="dxa"/>
            <w:shd w:val="clear" w:color="auto" w:fill="auto"/>
          </w:tcPr>
          <w:p w14:paraId="69EC636A" w14:textId="77777777" w:rsidR="00CF0E5E" w:rsidRPr="004D1024" w:rsidRDefault="00CF0E5E" w:rsidP="00CA5245">
            <w:pPr>
              <w:ind w:left="142"/>
              <w:rPr>
                <w:sz w:val="18"/>
                <w:szCs w:val="18"/>
                <w:lang w:val="en-US"/>
              </w:rPr>
            </w:pPr>
            <w:r w:rsidRPr="004D1024">
              <w:rPr>
                <w:sz w:val="18"/>
                <w:szCs w:val="18"/>
                <w:lang w:val="en-US"/>
              </w:rPr>
              <w:t>No answer</w:t>
            </w:r>
          </w:p>
        </w:tc>
        <w:tc>
          <w:tcPr>
            <w:tcW w:w="1827" w:type="dxa"/>
            <w:vAlign w:val="center"/>
          </w:tcPr>
          <w:p w14:paraId="2CAEC242"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 (0.5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tcPr>
          <w:p w14:paraId="475F3545" w14:textId="77777777" w:rsidR="00CF0E5E" w:rsidRPr="004D1024" w:rsidRDefault="00CF0E5E" w:rsidP="00CA5245">
            <w:pPr>
              <w:jc w:val="right"/>
              <w:rPr>
                <w:rFonts w:cs="Times New Roman"/>
                <w:sz w:val="18"/>
                <w:szCs w:val="18"/>
              </w:rPr>
            </w:pPr>
            <w:r w:rsidRPr="004D1024">
              <w:rPr>
                <w:rFonts w:eastAsia="Times New Roman" w:cs="Times New Roman"/>
                <w:color w:val="000000"/>
                <w:sz w:val="18"/>
                <w:szCs w:val="18"/>
                <w:lang w:val="en-US" w:eastAsia="en-GB"/>
              </w:rPr>
              <w:t xml:space="preserve">5 (0.9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2A8B62FF" w14:textId="77777777" w:rsidR="00CF0E5E" w:rsidRPr="00B57E74" w:rsidRDefault="00CF0E5E" w:rsidP="00CA5245">
            <w:pPr>
              <w:jc w:val="right"/>
              <w:rPr>
                <w:rFonts w:cs="Times New Roman"/>
                <w:sz w:val="18"/>
                <w:szCs w:val="18"/>
              </w:rPr>
            </w:pPr>
          </w:p>
        </w:tc>
        <w:tc>
          <w:tcPr>
            <w:tcW w:w="1037" w:type="dxa"/>
          </w:tcPr>
          <w:p w14:paraId="40619CB0" w14:textId="77777777" w:rsidR="00CF0E5E" w:rsidRPr="00B57E74" w:rsidRDefault="00CF0E5E" w:rsidP="00CA5245">
            <w:pPr>
              <w:jc w:val="right"/>
              <w:rPr>
                <w:rFonts w:cs="Times New Roman"/>
                <w:sz w:val="18"/>
                <w:szCs w:val="18"/>
              </w:rPr>
            </w:pPr>
          </w:p>
        </w:tc>
      </w:tr>
      <w:tr w:rsidR="00CF0E5E" w:rsidRPr="00B57E74" w14:paraId="6EAAB30E" w14:textId="77777777" w:rsidTr="00CA5245">
        <w:tc>
          <w:tcPr>
            <w:tcW w:w="7223" w:type="dxa"/>
            <w:gridSpan w:val="3"/>
            <w:shd w:val="clear" w:color="auto" w:fill="auto"/>
          </w:tcPr>
          <w:p w14:paraId="4DC95CC8" w14:textId="77777777" w:rsidR="00CF0E5E" w:rsidRPr="004D1024" w:rsidRDefault="00CF0E5E" w:rsidP="00CA5245">
            <w:pPr>
              <w:rPr>
                <w:rFonts w:cs="Times New Roman"/>
                <w:i/>
                <w:sz w:val="18"/>
                <w:szCs w:val="18"/>
              </w:rPr>
            </w:pPr>
            <w:r w:rsidRPr="004D1024">
              <w:rPr>
                <w:rFonts w:cs="Times New Roman"/>
                <w:i/>
                <w:sz w:val="18"/>
                <w:szCs w:val="18"/>
              </w:rPr>
              <w:t>I am confident voicing my opinion in decisions that affect me</w:t>
            </w:r>
          </w:p>
        </w:tc>
        <w:tc>
          <w:tcPr>
            <w:tcW w:w="1037" w:type="dxa"/>
          </w:tcPr>
          <w:p w14:paraId="40F93AC0" w14:textId="77777777" w:rsidR="00CF0E5E" w:rsidRPr="00B57E74" w:rsidRDefault="00CF0E5E" w:rsidP="00CA5245">
            <w:pPr>
              <w:jc w:val="right"/>
              <w:rPr>
                <w:rFonts w:cs="Times New Roman"/>
                <w:sz w:val="18"/>
                <w:szCs w:val="18"/>
              </w:rPr>
            </w:pPr>
            <w:r w:rsidRPr="00B57E74">
              <w:rPr>
                <w:rFonts w:ascii="Courier New" w:hAnsi="Courier New" w:cs="Courier New"/>
                <w:sz w:val="18"/>
                <w:szCs w:val="18"/>
              </w:rPr>
              <w:t>0.9145</w:t>
            </w:r>
          </w:p>
        </w:tc>
        <w:tc>
          <w:tcPr>
            <w:tcW w:w="1037" w:type="dxa"/>
          </w:tcPr>
          <w:p w14:paraId="344FA647" w14:textId="77777777" w:rsidR="00CF0E5E" w:rsidRPr="00B57E74" w:rsidRDefault="00CF0E5E" w:rsidP="00CA5245">
            <w:pPr>
              <w:jc w:val="right"/>
              <w:rPr>
                <w:rFonts w:ascii="Courier New" w:hAnsi="Courier New" w:cs="Courier New"/>
                <w:sz w:val="18"/>
                <w:szCs w:val="18"/>
              </w:rPr>
            </w:pPr>
            <w:r w:rsidRPr="00B57E74">
              <w:rPr>
                <w:rFonts w:ascii="Courier New" w:hAnsi="Courier New" w:cs="Courier New"/>
                <w:sz w:val="18"/>
                <w:szCs w:val="18"/>
              </w:rPr>
              <w:t>0.1007</w:t>
            </w:r>
          </w:p>
        </w:tc>
      </w:tr>
      <w:tr w:rsidR="00CF0E5E" w:rsidRPr="00B57E74" w14:paraId="7DCA0723" w14:textId="77777777" w:rsidTr="00CA5245">
        <w:tc>
          <w:tcPr>
            <w:tcW w:w="3770" w:type="dxa"/>
            <w:shd w:val="clear" w:color="auto" w:fill="auto"/>
          </w:tcPr>
          <w:p w14:paraId="25A401F2" w14:textId="77777777" w:rsidR="00CF0E5E" w:rsidRPr="004D1024" w:rsidRDefault="00CF0E5E" w:rsidP="00CA5245">
            <w:pPr>
              <w:ind w:left="142"/>
              <w:rPr>
                <w:sz w:val="18"/>
                <w:szCs w:val="18"/>
                <w:lang w:val="en-US"/>
              </w:rPr>
            </w:pPr>
            <w:r w:rsidRPr="004D1024">
              <w:rPr>
                <w:sz w:val="18"/>
                <w:szCs w:val="18"/>
                <w:lang w:val="en-US"/>
              </w:rPr>
              <w:t>Strongly Disagree</w:t>
            </w:r>
          </w:p>
        </w:tc>
        <w:tc>
          <w:tcPr>
            <w:tcW w:w="1827" w:type="dxa"/>
            <w:vAlign w:val="center"/>
          </w:tcPr>
          <w:p w14:paraId="1FEB5D15"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6 (0.9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235EC300"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8 (1.4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056B9EB6" w14:textId="77777777" w:rsidR="00CF0E5E" w:rsidRPr="00B57E74" w:rsidRDefault="00CF0E5E" w:rsidP="00CA5245">
            <w:pPr>
              <w:jc w:val="right"/>
              <w:rPr>
                <w:rFonts w:cs="Times New Roman"/>
                <w:sz w:val="18"/>
                <w:szCs w:val="18"/>
              </w:rPr>
            </w:pPr>
          </w:p>
        </w:tc>
        <w:tc>
          <w:tcPr>
            <w:tcW w:w="1037" w:type="dxa"/>
          </w:tcPr>
          <w:p w14:paraId="0CB45914" w14:textId="77777777" w:rsidR="00CF0E5E" w:rsidRPr="00B57E74" w:rsidRDefault="00CF0E5E" w:rsidP="00CA5245">
            <w:pPr>
              <w:jc w:val="right"/>
              <w:rPr>
                <w:rFonts w:cs="Times New Roman"/>
                <w:sz w:val="18"/>
                <w:szCs w:val="18"/>
              </w:rPr>
            </w:pPr>
          </w:p>
        </w:tc>
      </w:tr>
      <w:tr w:rsidR="00CF0E5E" w:rsidRPr="00B57E74" w14:paraId="3D29D74E" w14:textId="77777777" w:rsidTr="00CA5245">
        <w:tc>
          <w:tcPr>
            <w:tcW w:w="3770" w:type="dxa"/>
            <w:shd w:val="clear" w:color="auto" w:fill="auto"/>
          </w:tcPr>
          <w:p w14:paraId="4A80D6BB" w14:textId="77777777" w:rsidR="00CF0E5E" w:rsidRPr="004D1024" w:rsidRDefault="00CF0E5E" w:rsidP="00CA5245">
            <w:pPr>
              <w:ind w:left="142"/>
              <w:rPr>
                <w:sz w:val="18"/>
                <w:szCs w:val="18"/>
                <w:lang w:val="en-US"/>
              </w:rPr>
            </w:pPr>
            <w:r w:rsidRPr="004D1024">
              <w:rPr>
                <w:sz w:val="18"/>
                <w:szCs w:val="18"/>
                <w:lang w:val="en-US"/>
              </w:rPr>
              <w:t>Disagree</w:t>
            </w:r>
          </w:p>
        </w:tc>
        <w:tc>
          <w:tcPr>
            <w:tcW w:w="1827" w:type="dxa"/>
            <w:vAlign w:val="center"/>
          </w:tcPr>
          <w:p w14:paraId="4BBA9814"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107 (16.2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5069106E"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79 (14.1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69A82BA4" w14:textId="77777777" w:rsidR="00CF0E5E" w:rsidRPr="00B57E74" w:rsidRDefault="00CF0E5E" w:rsidP="00CA5245">
            <w:pPr>
              <w:jc w:val="right"/>
              <w:rPr>
                <w:rFonts w:cs="Times New Roman"/>
                <w:sz w:val="18"/>
                <w:szCs w:val="18"/>
              </w:rPr>
            </w:pPr>
          </w:p>
        </w:tc>
        <w:tc>
          <w:tcPr>
            <w:tcW w:w="1037" w:type="dxa"/>
          </w:tcPr>
          <w:p w14:paraId="739F310E" w14:textId="77777777" w:rsidR="00CF0E5E" w:rsidRPr="00B57E74" w:rsidRDefault="00CF0E5E" w:rsidP="00CA5245">
            <w:pPr>
              <w:jc w:val="right"/>
              <w:rPr>
                <w:rFonts w:cs="Times New Roman"/>
                <w:sz w:val="18"/>
                <w:szCs w:val="18"/>
              </w:rPr>
            </w:pPr>
          </w:p>
        </w:tc>
      </w:tr>
      <w:tr w:rsidR="00CF0E5E" w:rsidRPr="00B57E74" w14:paraId="6CA8C97C" w14:textId="77777777" w:rsidTr="00CA5245">
        <w:tc>
          <w:tcPr>
            <w:tcW w:w="3770" w:type="dxa"/>
            <w:shd w:val="clear" w:color="auto" w:fill="auto"/>
          </w:tcPr>
          <w:p w14:paraId="09359080" w14:textId="77777777" w:rsidR="00CF0E5E" w:rsidRPr="004D1024" w:rsidRDefault="00CF0E5E" w:rsidP="00CA5245">
            <w:pPr>
              <w:ind w:left="142"/>
              <w:rPr>
                <w:sz w:val="18"/>
                <w:szCs w:val="18"/>
                <w:lang w:val="en-US"/>
              </w:rPr>
            </w:pPr>
            <w:r w:rsidRPr="004D1024">
              <w:rPr>
                <w:sz w:val="18"/>
                <w:szCs w:val="18"/>
                <w:lang w:val="en-US"/>
              </w:rPr>
              <w:t>Agree</w:t>
            </w:r>
          </w:p>
        </w:tc>
        <w:tc>
          <w:tcPr>
            <w:tcW w:w="1827" w:type="dxa"/>
            <w:vAlign w:val="center"/>
          </w:tcPr>
          <w:p w14:paraId="66F524B6"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423 (63.9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658E4C62"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358 (64.0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1F152585" w14:textId="77777777" w:rsidR="00CF0E5E" w:rsidRPr="00B57E74" w:rsidRDefault="00CF0E5E" w:rsidP="00CA5245">
            <w:pPr>
              <w:jc w:val="right"/>
              <w:rPr>
                <w:rFonts w:cs="Times New Roman"/>
                <w:sz w:val="18"/>
                <w:szCs w:val="18"/>
              </w:rPr>
            </w:pPr>
          </w:p>
        </w:tc>
        <w:tc>
          <w:tcPr>
            <w:tcW w:w="1037" w:type="dxa"/>
          </w:tcPr>
          <w:p w14:paraId="094D1199" w14:textId="77777777" w:rsidR="00CF0E5E" w:rsidRPr="00B57E74" w:rsidRDefault="00CF0E5E" w:rsidP="00CA5245">
            <w:pPr>
              <w:jc w:val="right"/>
              <w:rPr>
                <w:rFonts w:cs="Times New Roman"/>
                <w:sz w:val="18"/>
                <w:szCs w:val="18"/>
              </w:rPr>
            </w:pPr>
          </w:p>
        </w:tc>
      </w:tr>
      <w:tr w:rsidR="00CF0E5E" w:rsidRPr="00B57E74" w14:paraId="243565A9" w14:textId="77777777" w:rsidTr="00CA5245">
        <w:tc>
          <w:tcPr>
            <w:tcW w:w="3770" w:type="dxa"/>
            <w:shd w:val="clear" w:color="auto" w:fill="auto"/>
          </w:tcPr>
          <w:p w14:paraId="22468F03" w14:textId="77777777" w:rsidR="00CF0E5E" w:rsidRPr="004D1024" w:rsidRDefault="00CF0E5E" w:rsidP="00CA5245">
            <w:pPr>
              <w:ind w:left="142"/>
              <w:rPr>
                <w:sz w:val="18"/>
                <w:szCs w:val="18"/>
                <w:lang w:val="en-US"/>
              </w:rPr>
            </w:pPr>
            <w:r w:rsidRPr="004D1024">
              <w:rPr>
                <w:sz w:val="18"/>
                <w:szCs w:val="18"/>
                <w:lang w:val="en-US"/>
              </w:rPr>
              <w:t>Strongly Agree</w:t>
            </w:r>
          </w:p>
        </w:tc>
        <w:tc>
          <w:tcPr>
            <w:tcW w:w="1827" w:type="dxa"/>
            <w:vAlign w:val="center"/>
          </w:tcPr>
          <w:p w14:paraId="07E92E66"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125 (18.9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17A5BD66"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108 (19.3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4C5FAA53" w14:textId="77777777" w:rsidR="00CF0E5E" w:rsidRPr="00B57E74" w:rsidRDefault="00CF0E5E" w:rsidP="00CA5245">
            <w:pPr>
              <w:jc w:val="right"/>
              <w:rPr>
                <w:rFonts w:cs="Times New Roman"/>
                <w:sz w:val="18"/>
                <w:szCs w:val="18"/>
              </w:rPr>
            </w:pPr>
          </w:p>
        </w:tc>
        <w:tc>
          <w:tcPr>
            <w:tcW w:w="1037" w:type="dxa"/>
          </w:tcPr>
          <w:p w14:paraId="0D161BCE" w14:textId="77777777" w:rsidR="00CF0E5E" w:rsidRPr="00B57E74" w:rsidRDefault="00CF0E5E" w:rsidP="00CA5245">
            <w:pPr>
              <w:jc w:val="right"/>
              <w:rPr>
                <w:rFonts w:cs="Times New Roman"/>
                <w:sz w:val="18"/>
                <w:szCs w:val="18"/>
              </w:rPr>
            </w:pPr>
          </w:p>
        </w:tc>
      </w:tr>
      <w:tr w:rsidR="00CF0E5E" w:rsidRPr="00B57E74" w14:paraId="4560F1F6" w14:textId="77777777" w:rsidTr="00CA5245">
        <w:tc>
          <w:tcPr>
            <w:tcW w:w="3770" w:type="dxa"/>
            <w:shd w:val="clear" w:color="auto" w:fill="auto"/>
          </w:tcPr>
          <w:p w14:paraId="2F89C43C" w14:textId="77777777" w:rsidR="00CF0E5E" w:rsidRPr="004D1024" w:rsidRDefault="00CF0E5E" w:rsidP="00CA5245">
            <w:pPr>
              <w:ind w:left="142"/>
              <w:rPr>
                <w:sz w:val="18"/>
                <w:szCs w:val="18"/>
                <w:lang w:val="en-US"/>
              </w:rPr>
            </w:pPr>
            <w:r w:rsidRPr="004D1024">
              <w:rPr>
                <w:sz w:val="18"/>
                <w:szCs w:val="18"/>
                <w:lang w:val="en-US"/>
              </w:rPr>
              <w:t>No answer</w:t>
            </w:r>
          </w:p>
        </w:tc>
        <w:tc>
          <w:tcPr>
            <w:tcW w:w="1827" w:type="dxa"/>
            <w:vAlign w:val="center"/>
          </w:tcPr>
          <w:p w14:paraId="533A0258"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 (0.2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7378CDEC"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6 (1.1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7C80BC69" w14:textId="77777777" w:rsidR="00CF0E5E" w:rsidRPr="00B57E74" w:rsidRDefault="00CF0E5E" w:rsidP="00CA5245">
            <w:pPr>
              <w:jc w:val="right"/>
              <w:rPr>
                <w:rFonts w:cs="Times New Roman"/>
                <w:sz w:val="18"/>
                <w:szCs w:val="18"/>
              </w:rPr>
            </w:pPr>
          </w:p>
        </w:tc>
        <w:tc>
          <w:tcPr>
            <w:tcW w:w="1037" w:type="dxa"/>
          </w:tcPr>
          <w:p w14:paraId="71C8F4B7" w14:textId="77777777" w:rsidR="00CF0E5E" w:rsidRPr="00B57E74" w:rsidRDefault="00CF0E5E" w:rsidP="00CA5245">
            <w:pPr>
              <w:jc w:val="right"/>
              <w:rPr>
                <w:rFonts w:cs="Times New Roman"/>
                <w:sz w:val="18"/>
                <w:szCs w:val="18"/>
              </w:rPr>
            </w:pPr>
          </w:p>
        </w:tc>
      </w:tr>
      <w:tr w:rsidR="00CF0E5E" w:rsidRPr="00B57E74" w14:paraId="0D5CB97D" w14:textId="77777777" w:rsidTr="00CA5245">
        <w:tc>
          <w:tcPr>
            <w:tcW w:w="7223" w:type="dxa"/>
            <w:gridSpan w:val="3"/>
            <w:shd w:val="clear" w:color="auto" w:fill="auto"/>
          </w:tcPr>
          <w:p w14:paraId="332F5058" w14:textId="77777777" w:rsidR="00CF0E5E" w:rsidRPr="004D1024" w:rsidRDefault="00CF0E5E" w:rsidP="00CA5245">
            <w:pPr>
              <w:rPr>
                <w:rFonts w:cs="Times New Roman"/>
                <w:sz w:val="18"/>
                <w:szCs w:val="18"/>
              </w:rPr>
            </w:pPr>
            <w:r w:rsidRPr="004D1024">
              <w:rPr>
                <w:rFonts w:cs="Times New Roman"/>
                <w:i/>
                <w:sz w:val="18"/>
                <w:szCs w:val="18"/>
              </w:rPr>
              <w:t>When I start something new, I know I will succeed</w:t>
            </w:r>
          </w:p>
        </w:tc>
        <w:tc>
          <w:tcPr>
            <w:tcW w:w="1037" w:type="dxa"/>
          </w:tcPr>
          <w:p w14:paraId="392A21FA" w14:textId="77777777" w:rsidR="00CF0E5E" w:rsidRPr="00B57E74" w:rsidRDefault="00CF0E5E" w:rsidP="00CA5245">
            <w:pPr>
              <w:jc w:val="right"/>
              <w:rPr>
                <w:rFonts w:cs="Times New Roman"/>
                <w:sz w:val="18"/>
                <w:szCs w:val="18"/>
              </w:rPr>
            </w:pPr>
            <w:r w:rsidRPr="00B57E74">
              <w:rPr>
                <w:rFonts w:ascii="Courier New" w:hAnsi="Courier New" w:cs="Courier New"/>
                <w:sz w:val="18"/>
                <w:szCs w:val="18"/>
              </w:rPr>
              <w:t>0.4405</w:t>
            </w:r>
          </w:p>
        </w:tc>
        <w:tc>
          <w:tcPr>
            <w:tcW w:w="1037" w:type="dxa"/>
          </w:tcPr>
          <w:p w14:paraId="20663DC7" w14:textId="77777777" w:rsidR="00CF0E5E" w:rsidRPr="00B57E74" w:rsidRDefault="00CF0E5E" w:rsidP="00CA5245">
            <w:pPr>
              <w:jc w:val="right"/>
              <w:rPr>
                <w:rFonts w:ascii="Courier New" w:hAnsi="Courier New" w:cs="Courier New"/>
                <w:sz w:val="18"/>
                <w:szCs w:val="18"/>
              </w:rPr>
            </w:pPr>
            <w:r w:rsidRPr="00B57E74">
              <w:rPr>
                <w:rFonts w:ascii="Courier New" w:hAnsi="Courier New" w:cs="Courier New"/>
                <w:sz w:val="18"/>
                <w:szCs w:val="18"/>
              </w:rPr>
              <w:t>0.0727</w:t>
            </w:r>
          </w:p>
        </w:tc>
      </w:tr>
      <w:tr w:rsidR="00CF0E5E" w:rsidRPr="00B57E74" w14:paraId="50D07F92" w14:textId="77777777" w:rsidTr="00CA5245">
        <w:tc>
          <w:tcPr>
            <w:tcW w:w="3770" w:type="dxa"/>
            <w:shd w:val="clear" w:color="auto" w:fill="auto"/>
          </w:tcPr>
          <w:p w14:paraId="39449ABF" w14:textId="77777777" w:rsidR="00CF0E5E" w:rsidRPr="004D1024" w:rsidRDefault="00CF0E5E" w:rsidP="00CA5245">
            <w:pPr>
              <w:ind w:left="142"/>
              <w:rPr>
                <w:sz w:val="18"/>
                <w:szCs w:val="18"/>
                <w:lang w:val="en-US"/>
              </w:rPr>
            </w:pPr>
            <w:r w:rsidRPr="004D1024">
              <w:rPr>
                <w:sz w:val="18"/>
                <w:szCs w:val="18"/>
                <w:lang w:val="en-US"/>
              </w:rPr>
              <w:t>Strongly Disagree</w:t>
            </w:r>
          </w:p>
        </w:tc>
        <w:tc>
          <w:tcPr>
            <w:tcW w:w="1827" w:type="dxa"/>
            <w:vAlign w:val="center"/>
          </w:tcPr>
          <w:p w14:paraId="17F15CEB"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11 (1.7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21865A72"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2 (0.4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3A488E4C" w14:textId="77777777" w:rsidR="00CF0E5E" w:rsidRPr="00B57E74" w:rsidRDefault="00CF0E5E" w:rsidP="00CA5245">
            <w:pPr>
              <w:jc w:val="right"/>
              <w:rPr>
                <w:rFonts w:cs="Times New Roman"/>
                <w:sz w:val="18"/>
                <w:szCs w:val="18"/>
              </w:rPr>
            </w:pPr>
          </w:p>
        </w:tc>
        <w:tc>
          <w:tcPr>
            <w:tcW w:w="1037" w:type="dxa"/>
          </w:tcPr>
          <w:p w14:paraId="0C87CD02" w14:textId="77777777" w:rsidR="00CF0E5E" w:rsidRPr="00B57E74" w:rsidRDefault="00CF0E5E" w:rsidP="00CA5245">
            <w:pPr>
              <w:jc w:val="right"/>
              <w:rPr>
                <w:rFonts w:cs="Times New Roman"/>
                <w:sz w:val="18"/>
                <w:szCs w:val="18"/>
              </w:rPr>
            </w:pPr>
          </w:p>
        </w:tc>
      </w:tr>
      <w:tr w:rsidR="00CF0E5E" w:rsidRPr="00B57E74" w14:paraId="3890EB74" w14:textId="77777777" w:rsidTr="00CA5245">
        <w:tc>
          <w:tcPr>
            <w:tcW w:w="3770" w:type="dxa"/>
            <w:shd w:val="clear" w:color="auto" w:fill="auto"/>
          </w:tcPr>
          <w:p w14:paraId="69BAE691" w14:textId="77777777" w:rsidR="00CF0E5E" w:rsidRPr="004D1024" w:rsidRDefault="00CF0E5E" w:rsidP="00CA5245">
            <w:pPr>
              <w:ind w:left="142"/>
              <w:rPr>
                <w:sz w:val="18"/>
                <w:szCs w:val="18"/>
                <w:lang w:val="en-US"/>
              </w:rPr>
            </w:pPr>
            <w:r w:rsidRPr="004D1024">
              <w:rPr>
                <w:sz w:val="18"/>
                <w:szCs w:val="18"/>
                <w:lang w:val="en-US"/>
              </w:rPr>
              <w:t>Disagree</w:t>
            </w:r>
          </w:p>
        </w:tc>
        <w:tc>
          <w:tcPr>
            <w:tcW w:w="1827" w:type="dxa"/>
            <w:vAlign w:val="center"/>
          </w:tcPr>
          <w:p w14:paraId="422C4369"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47 (7.1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3722DADA"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43 (7.7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4F32B084" w14:textId="77777777" w:rsidR="00CF0E5E" w:rsidRPr="00B57E74" w:rsidRDefault="00CF0E5E" w:rsidP="00CA5245">
            <w:pPr>
              <w:jc w:val="right"/>
              <w:rPr>
                <w:rFonts w:cs="Times New Roman"/>
                <w:sz w:val="18"/>
                <w:szCs w:val="18"/>
              </w:rPr>
            </w:pPr>
          </w:p>
        </w:tc>
        <w:tc>
          <w:tcPr>
            <w:tcW w:w="1037" w:type="dxa"/>
          </w:tcPr>
          <w:p w14:paraId="66AA9131" w14:textId="77777777" w:rsidR="00CF0E5E" w:rsidRPr="00B57E74" w:rsidRDefault="00CF0E5E" w:rsidP="00CA5245">
            <w:pPr>
              <w:jc w:val="right"/>
              <w:rPr>
                <w:rFonts w:cs="Times New Roman"/>
                <w:sz w:val="18"/>
                <w:szCs w:val="18"/>
              </w:rPr>
            </w:pPr>
          </w:p>
        </w:tc>
      </w:tr>
      <w:tr w:rsidR="00CF0E5E" w:rsidRPr="00B57E74" w14:paraId="78EE60AC" w14:textId="77777777" w:rsidTr="00CA5245">
        <w:tc>
          <w:tcPr>
            <w:tcW w:w="3770" w:type="dxa"/>
            <w:shd w:val="clear" w:color="auto" w:fill="auto"/>
          </w:tcPr>
          <w:p w14:paraId="2AA59523" w14:textId="77777777" w:rsidR="00CF0E5E" w:rsidRPr="004D1024" w:rsidRDefault="00CF0E5E" w:rsidP="00CA5245">
            <w:pPr>
              <w:ind w:left="142"/>
              <w:rPr>
                <w:sz w:val="18"/>
                <w:szCs w:val="18"/>
                <w:lang w:val="en-US"/>
              </w:rPr>
            </w:pPr>
            <w:r w:rsidRPr="004D1024">
              <w:rPr>
                <w:sz w:val="18"/>
                <w:szCs w:val="18"/>
                <w:lang w:val="en-US"/>
              </w:rPr>
              <w:t>Agree</w:t>
            </w:r>
          </w:p>
        </w:tc>
        <w:tc>
          <w:tcPr>
            <w:tcW w:w="1827" w:type="dxa"/>
            <w:vAlign w:val="center"/>
          </w:tcPr>
          <w:p w14:paraId="2D572AF2"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439 (66.3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0417477B"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387 (69.2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0C1DEAB1" w14:textId="77777777" w:rsidR="00CF0E5E" w:rsidRPr="00B57E74" w:rsidRDefault="00CF0E5E" w:rsidP="00CA5245">
            <w:pPr>
              <w:jc w:val="right"/>
              <w:rPr>
                <w:rFonts w:cs="Times New Roman"/>
                <w:sz w:val="18"/>
                <w:szCs w:val="18"/>
              </w:rPr>
            </w:pPr>
          </w:p>
        </w:tc>
        <w:tc>
          <w:tcPr>
            <w:tcW w:w="1037" w:type="dxa"/>
          </w:tcPr>
          <w:p w14:paraId="72C133D5" w14:textId="77777777" w:rsidR="00CF0E5E" w:rsidRPr="00B57E74" w:rsidRDefault="00CF0E5E" w:rsidP="00CA5245">
            <w:pPr>
              <w:jc w:val="right"/>
              <w:rPr>
                <w:rFonts w:cs="Times New Roman"/>
                <w:sz w:val="18"/>
                <w:szCs w:val="18"/>
              </w:rPr>
            </w:pPr>
          </w:p>
        </w:tc>
      </w:tr>
      <w:tr w:rsidR="00CF0E5E" w:rsidRPr="00B57E74" w14:paraId="1D2C0B75" w14:textId="77777777" w:rsidTr="00CA5245">
        <w:tc>
          <w:tcPr>
            <w:tcW w:w="3770" w:type="dxa"/>
            <w:shd w:val="clear" w:color="auto" w:fill="auto"/>
          </w:tcPr>
          <w:p w14:paraId="6BFF8EB5" w14:textId="77777777" w:rsidR="00CF0E5E" w:rsidRPr="004D1024" w:rsidRDefault="00CF0E5E" w:rsidP="00CA5245">
            <w:pPr>
              <w:ind w:left="142"/>
              <w:rPr>
                <w:sz w:val="18"/>
                <w:szCs w:val="18"/>
                <w:lang w:val="en-US"/>
              </w:rPr>
            </w:pPr>
            <w:r w:rsidRPr="004D1024">
              <w:rPr>
                <w:sz w:val="18"/>
                <w:szCs w:val="18"/>
                <w:lang w:val="en-US"/>
              </w:rPr>
              <w:t>Strongly Agree</w:t>
            </w:r>
          </w:p>
        </w:tc>
        <w:tc>
          <w:tcPr>
            <w:tcW w:w="1827" w:type="dxa"/>
            <w:vAlign w:val="center"/>
          </w:tcPr>
          <w:p w14:paraId="4612A912"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161 (24.3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54ECDFFE"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119 (21.3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1E5A05EB" w14:textId="77777777" w:rsidR="00CF0E5E" w:rsidRPr="00B57E74" w:rsidRDefault="00CF0E5E" w:rsidP="00CA5245">
            <w:pPr>
              <w:jc w:val="right"/>
              <w:rPr>
                <w:rFonts w:cs="Times New Roman"/>
                <w:sz w:val="18"/>
                <w:szCs w:val="18"/>
              </w:rPr>
            </w:pPr>
          </w:p>
        </w:tc>
        <w:tc>
          <w:tcPr>
            <w:tcW w:w="1037" w:type="dxa"/>
          </w:tcPr>
          <w:p w14:paraId="7EA1B866" w14:textId="77777777" w:rsidR="00CF0E5E" w:rsidRPr="00B57E74" w:rsidRDefault="00CF0E5E" w:rsidP="00CA5245">
            <w:pPr>
              <w:jc w:val="right"/>
              <w:rPr>
                <w:rFonts w:cs="Times New Roman"/>
                <w:sz w:val="18"/>
                <w:szCs w:val="18"/>
              </w:rPr>
            </w:pPr>
          </w:p>
        </w:tc>
      </w:tr>
      <w:tr w:rsidR="00CF0E5E" w:rsidRPr="00B57E74" w14:paraId="56DB7ABE" w14:textId="77777777" w:rsidTr="00CA5245">
        <w:tc>
          <w:tcPr>
            <w:tcW w:w="3770" w:type="dxa"/>
            <w:shd w:val="clear" w:color="auto" w:fill="auto"/>
          </w:tcPr>
          <w:p w14:paraId="3DC03848" w14:textId="77777777" w:rsidR="00CF0E5E" w:rsidRPr="004D1024" w:rsidRDefault="00CF0E5E" w:rsidP="004D1024">
            <w:pPr>
              <w:ind w:left="152"/>
              <w:rPr>
                <w:rFonts w:cs="Times New Roman"/>
                <w:i/>
                <w:sz w:val="18"/>
                <w:szCs w:val="18"/>
              </w:rPr>
            </w:pPr>
            <w:r w:rsidRPr="004D1024">
              <w:rPr>
                <w:sz w:val="18"/>
                <w:szCs w:val="18"/>
                <w:lang w:val="en-US"/>
              </w:rPr>
              <w:t>No answer</w:t>
            </w:r>
          </w:p>
        </w:tc>
        <w:tc>
          <w:tcPr>
            <w:tcW w:w="1827" w:type="dxa"/>
            <w:vAlign w:val="center"/>
          </w:tcPr>
          <w:p w14:paraId="123C0584"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4 (0.6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626" w:type="dxa"/>
            <w:vAlign w:val="center"/>
          </w:tcPr>
          <w:p w14:paraId="23AC46E3" w14:textId="77777777" w:rsidR="00CF0E5E" w:rsidRPr="004D1024" w:rsidRDefault="00CF0E5E" w:rsidP="00CA5245">
            <w:pPr>
              <w:jc w:val="right"/>
              <w:rPr>
                <w:rFonts w:eastAsia="Times New Roman" w:cs="Times New Roman"/>
                <w:color w:val="000000"/>
                <w:sz w:val="18"/>
                <w:szCs w:val="18"/>
                <w:lang w:eastAsia="en-GB"/>
              </w:rPr>
            </w:pPr>
            <w:r w:rsidRPr="004D1024">
              <w:rPr>
                <w:rFonts w:eastAsia="Times New Roman" w:cs="Times New Roman"/>
                <w:color w:val="000000"/>
                <w:sz w:val="18"/>
                <w:szCs w:val="18"/>
                <w:lang w:val="en-US" w:eastAsia="en-GB"/>
              </w:rPr>
              <w:t xml:space="preserve">8 (1.4 </w:t>
            </w:r>
            <w:r w:rsidRPr="004D1024">
              <w:rPr>
                <w:rFonts w:eastAsia="Times New Roman" w:cs="Times New Roman"/>
                <w:color w:val="000000"/>
                <w:sz w:val="18"/>
                <w:szCs w:val="18"/>
                <w:lang w:eastAsia="en-GB"/>
              </w:rPr>
              <w:t>%</w:t>
            </w:r>
            <w:r w:rsidRPr="004D1024">
              <w:rPr>
                <w:rFonts w:eastAsia="Times New Roman" w:cs="Times New Roman"/>
                <w:color w:val="000000"/>
                <w:sz w:val="18"/>
                <w:szCs w:val="18"/>
                <w:lang w:val="en-US" w:eastAsia="en-GB"/>
              </w:rPr>
              <w:t>)</w:t>
            </w:r>
          </w:p>
        </w:tc>
        <w:tc>
          <w:tcPr>
            <w:tcW w:w="1037" w:type="dxa"/>
          </w:tcPr>
          <w:p w14:paraId="23283334" w14:textId="77777777" w:rsidR="00CF0E5E" w:rsidRPr="00B57E74" w:rsidRDefault="00CF0E5E" w:rsidP="00CA5245">
            <w:pPr>
              <w:jc w:val="right"/>
              <w:rPr>
                <w:rFonts w:cs="Times New Roman"/>
                <w:sz w:val="18"/>
                <w:szCs w:val="18"/>
              </w:rPr>
            </w:pPr>
          </w:p>
        </w:tc>
        <w:tc>
          <w:tcPr>
            <w:tcW w:w="1037" w:type="dxa"/>
          </w:tcPr>
          <w:p w14:paraId="58412955" w14:textId="77777777" w:rsidR="00CF0E5E" w:rsidRPr="00B57E74" w:rsidRDefault="00CF0E5E" w:rsidP="00CA5245">
            <w:pPr>
              <w:jc w:val="right"/>
              <w:rPr>
                <w:rFonts w:cs="Times New Roman"/>
                <w:sz w:val="18"/>
                <w:szCs w:val="18"/>
              </w:rPr>
            </w:pPr>
          </w:p>
        </w:tc>
      </w:tr>
      <w:tr w:rsidR="00CF0E5E" w:rsidRPr="00B57E74" w14:paraId="1520681F" w14:textId="77777777" w:rsidTr="00CA5245">
        <w:tc>
          <w:tcPr>
            <w:tcW w:w="7223" w:type="dxa"/>
            <w:gridSpan w:val="3"/>
            <w:shd w:val="clear" w:color="auto" w:fill="auto"/>
          </w:tcPr>
          <w:p w14:paraId="3D00B533" w14:textId="77777777" w:rsidR="00CF0E5E" w:rsidRPr="004D1024" w:rsidRDefault="00CF0E5E" w:rsidP="00CA5245">
            <w:pPr>
              <w:rPr>
                <w:rFonts w:cs="Times New Roman"/>
                <w:i/>
                <w:sz w:val="18"/>
                <w:szCs w:val="18"/>
              </w:rPr>
            </w:pPr>
            <w:r w:rsidRPr="004D1024">
              <w:rPr>
                <w:rFonts w:cs="Times New Roman"/>
                <w:i/>
                <w:sz w:val="18"/>
                <w:szCs w:val="18"/>
              </w:rPr>
              <w:t>When I have a problem, I can come up with ways to solve it</w:t>
            </w:r>
          </w:p>
        </w:tc>
        <w:tc>
          <w:tcPr>
            <w:tcW w:w="1037" w:type="dxa"/>
          </w:tcPr>
          <w:p w14:paraId="5F3427C3" w14:textId="77777777" w:rsidR="00CF0E5E" w:rsidRPr="00B57E74" w:rsidRDefault="00CF0E5E" w:rsidP="00CA5245">
            <w:pPr>
              <w:jc w:val="right"/>
              <w:rPr>
                <w:rFonts w:cs="Times New Roman"/>
                <w:sz w:val="18"/>
                <w:szCs w:val="18"/>
              </w:rPr>
            </w:pPr>
            <w:r w:rsidRPr="00B57E74">
              <w:rPr>
                <w:rFonts w:ascii="Courier New" w:hAnsi="Courier New" w:cs="Courier New"/>
                <w:sz w:val="18"/>
                <w:szCs w:val="18"/>
              </w:rPr>
              <w:t>0.9167</w:t>
            </w:r>
          </w:p>
        </w:tc>
        <w:tc>
          <w:tcPr>
            <w:tcW w:w="1037" w:type="dxa"/>
          </w:tcPr>
          <w:p w14:paraId="6EE6538E" w14:textId="77777777" w:rsidR="00CF0E5E" w:rsidRPr="00B57E74" w:rsidRDefault="00CF0E5E" w:rsidP="00CA5245">
            <w:pPr>
              <w:jc w:val="right"/>
              <w:rPr>
                <w:rFonts w:ascii="Courier New" w:hAnsi="Courier New" w:cs="Courier New"/>
                <w:sz w:val="18"/>
                <w:szCs w:val="18"/>
              </w:rPr>
            </w:pPr>
            <w:r w:rsidRPr="00B57E74">
              <w:rPr>
                <w:rFonts w:ascii="Courier New" w:hAnsi="Courier New" w:cs="Courier New"/>
                <w:sz w:val="18"/>
                <w:szCs w:val="18"/>
              </w:rPr>
              <w:t>0.0871</w:t>
            </w:r>
          </w:p>
        </w:tc>
      </w:tr>
      <w:tr w:rsidR="00CF0E5E" w:rsidRPr="00B57E74" w14:paraId="6389B209" w14:textId="77777777" w:rsidTr="00CA5245">
        <w:tc>
          <w:tcPr>
            <w:tcW w:w="3770" w:type="dxa"/>
            <w:shd w:val="clear" w:color="auto" w:fill="auto"/>
          </w:tcPr>
          <w:p w14:paraId="174738B8" w14:textId="77777777" w:rsidR="00CF0E5E" w:rsidRPr="004D1024" w:rsidRDefault="00CF0E5E" w:rsidP="00CA5245">
            <w:pPr>
              <w:ind w:left="142"/>
              <w:rPr>
                <w:sz w:val="18"/>
                <w:szCs w:val="18"/>
                <w:lang w:val="en-US"/>
              </w:rPr>
            </w:pPr>
            <w:r w:rsidRPr="004D1024">
              <w:rPr>
                <w:sz w:val="18"/>
                <w:szCs w:val="18"/>
                <w:lang w:val="en-US"/>
              </w:rPr>
              <w:t>Strongly Disagree</w:t>
            </w:r>
          </w:p>
        </w:tc>
        <w:tc>
          <w:tcPr>
            <w:tcW w:w="1827" w:type="dxa"/>
            <w:vAlign w:val="center"/>
          </w:tcPr>
          <w:p w14:paraId="22579AF3"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9 (1.4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15E02749"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8 (1.4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534FC82D" w14:textId="77777777" w:rsidR="00CF0E5E" w:rsidRPr="00B57E74" w:rsidRDefault="00CF0E5E" w:rsidP="00CA5245">
            <w:pPr>
              <w:jc w:val="right"/>
              <w:rPr>
                <w:rFonts w:cs="Times New Roman"/>
                <w:sz w:val="18"/>
                <w:szCs w:val="18"/>
              </w:rPr>
            </w:pPr>
          </w:p>
        </w:tc>
        <w:tc>
          <w:tcPr>
            <w:tcW w:w="1037" w:type="dxa"/>
          </w:tcPr>
          <w:p w14:paraId="36BF4A14" w14:textId="77777777" w:rsidR="00CF0E5E" w:rsidRPr="00B57E74" w:rsidRDefault="00CF0E5E" w:rsidP="00CA5245">
            <w:pPr>
              <w:jc w:val="right"/>
              <w:rPr>
                <w:rFonts w:cs="Times New Roman"/>
                <w:sz w:val="18"/>
                <w:szCs w:val="18"/>
              </w:rPr>
            </w:pPr>
          </w:p>
        </w:tc>
      </w:tr>
      <w:tr w:rsidR="00CF0E5E" w:rsidRPr="00B57E74" w14:paraId="58846B31" w14:textId="77777777" w:rsidTr="00CA5245">
        <w:tc>
          <w:tcPr>
            <w:tcW w:w="3770" w:type="dxa"/>
            <w:shd w:val="clear" w:color="auto" w:fill="auto"/>
          </w:tcPr>
          <w:p w14:paraId="347FFC21" w14:textId="77777777" w:rsidR="00CF0E5E" w:rsidRPr="00B57E74" w:rsidRDefault="00CF0E5E" w:rsidP="00CA5245">
            <w:pPr>
              <w:ind w:left="142"/>
              <w:rPr>
                <w:sz w:val="18"/>
                <w:szCs w:val="18"/>
                <w:lang w:val="en-US"/>
              </w:rPr>
            </w:pPr>
            <w:r w:rsidRPr="00B57E74">
              <w:rPr>
                <w:sz w:val="18"/>
                <w:szCs w:val="18"/>
                <w:lang w:val="en-US"/>
              </w:rPr>
              <w:t>Disagree</w:t>
            </w:r>
          </w:p>
        </w:tc>
        <w:tc>
          <w:tcPr>
            <w:tcW w:w="1827" w:type="dxa"/>
            <w:vAlign w:val="center"/>
          </w:tcPr>
          <w:p w14:paraId="2CF8574E"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101 (15.3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4E3A1298"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94 (16.8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24E82118" w14:textId="77777777" w:rsidR="00CF0E5E" w:rsidRPr="00B57E74" w:rsidRDefault="00CF0E5E" w:rsidP="00CA5245">
            <w:pPr>
              <w:jc w:val="right"/>
              <w:rPr>
                <w:rFonts w:cs="Times New Roman"/>
                <w:sz w:val="18"/>
                <w:szCs w:val="18"/>
              </w:rPr>
            </w:pPr>
          </w:p>
        </w:tc>
        <w:tc>
          <w:tcPr>
            <w:tcW w:w="1037" w:type="dxa"/>
          </w:tcPr>
          <w:p w14:paraId="784A6151" w14:textId="77777777" w:rsidR="00CF0E5E" w:rsidRPr="00B57E74" w:rsidRDefault="00CF0E5E" w:rsidP="00CA5245">
            <w:pPr>
              <w:jc w:val="right"/>
              <w:rPr>
                <w:rFonts w:cs="Times New Roman"/>
                <w:sz w:val="18"/>
                <w:szCs w:val="18"/>
              </w:rPr>
            </w:pPr>
          </w:p>
        </w:tc>
      </w:tr>
      <w:tr w:rsidR="00CF0E5E" w:rsidRPr="00B57E74" w14:paraId="2FF47DE5" w14:textId="77777777" w:rsidTr="00CA5245">
        <w:tc>
          <w:tcPr>
            <w:tcW w:w="3770" w:type="dxa"/>
            <w:shd w:val="clear" w:color="auto" w:fill="auto"/>
          </w:tcPr>
          <w:p w14:paraId="6B111FEC" w14:textId="77777777" w:rsidR="00CF0E5E" w:rsidRPr="00B57E74" w:rsidRDefault="00CF0E5E" w:rsidP="00CA5245">
            <w:pPr>
              <w:ind w:left="142"/>
              <w:rPr>
                <w:sz w:val="18"/>
                <w:szCs w:val="18"/>
                <w:lang w:val="en-US"/>
              </w:rPr>
            </w:pPr>
            <w:r w:rsidRPr="00B57E74">
              <w:rPr>
                <w:sz w:val="18"/>
                <w:szCs w:val="18"/>
                <w:lang w:val="en-US"/>
              </w:rPr>
              <w:t>Agree</w:t>
            </w:r>
          </w:p>
        </w:tc>
        <w:tc>
          <w:tcPr>
            <w:tcW w:w="1827" w:type="dxa"/>
            <w:vAlign w:val="center"/>
          </w:tcPr>
          <w:p w14:paraId="0B029ADF"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414 (62.5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7DFC137B"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346 (61.9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4A8457E9" w14:textId="77777777" w:rsidR="00CF0E5E" w:rsidRPr="00B57E74" w:rsidRDefault="00CF0E5E" w:rsidP="00CA5245">
            <w:pPr>
              <w:jc w:val="right"/>
              <w:rPr>
                <w:rFonts w:cs="Times New Roman"/>
                <w:sz w:val="18"/>
                <w:szCs w:val="18"/>
              </w:rPr>
            </w:pPr>
          </w:p>
        </w:tc>
        <w:tc>
          <w:tcPr>
            <w:tcW w:w="1037" w:type="dxa"/>
          </w:tcPr>
          <w:p w14:paraId="522D53CB" w14:textId="77777777" w:rsidR="00CF0E5E" w:rsidRPr="00B57E74" w:rsidRDefault="00CF0E5E" w:rsidP="00CA5245">
            <w:pPr>
              <w:jc w:val="right"/>
              <w:rPr>
                <w:rFonts w:cs="Times New Roman"/>
                <w:sz w:val="18"/>
                <w:szCs w:val="18"/>
              </w:rPr>
            </w:pPr>
          </w:p>
        </w:tc>
      </w:tr>
      <w:tr w:rsidR="00CF0E5E" w:rsidRPr="00B57E74" w14:paraId="7492E692" w14:textId="77777777" w:rsidTr="00CA5245">
        <w:tc>
          <w:tcPr>
            <w:tcW w:w="3770" w:type="dxa"/>
            <w:shd w:val="clear" w:color="auto" w:fill="auto"/>
          </w:tcPr>
          <w:p w14:paraId="518E8A4A" w14:textId="77777777" w:rsidR="00CF0E5E" w:rsidRPr="00B57E74" w:rsidRDefault="00CF0E5E" w:rsidP="00CA5245">
            <w:pPr>
              <w:ind w:left="142"/>
              <w:rPr>
                <w:sz w:val="18"/>
                <w:szCs w:val="18"/>
                <w:lang w:val="en-US"/>
              </w:rPr>
            </w:pPr>
            <w:r w:rsidRPr="00B57E74">
              <w:rPr>
                <w:sz w:val="18"/>
                <w:szCs w:val="18"/>
                <w:lang w:val="en-US"/>
              </w:rPr>
              <w:t>Strongly Agree</w:t>
            </w:r>
          </w:p>
        </w:tc>
        <w:tc>
          <w:tcPr>
            <w:tcW w:w="1827" w:type="dxa"/>
            <w:vAlign w:val="center"/>
          </w:tcPr>
          <w:p w14:paraId="645C1963"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136 (20.5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3C46E95F"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101 (18.1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0773A567" w14:textId="77777777" w:rsidR="00CF0E5E" w:rsidRPr="00B57E74" w:rsidRDefault="00CF0E5E" w:rsidP="00CA5245">
            <w:pPr>
              <w:jc w:val="right"/>
              <w:rPr>
                <w:rFonts w:cs="Times New Roman"/>
                <w:sz w:val="18"/>
                <w:szCs w:val="18"/>
              </w:rPr>
            </w:pPr>
          </w:p>
        </w:tc>
        <w:tc>
          <w:tcPr>
            <w:tcW w:w="1037" w:type="dxa"/>
          </w:tcPr>
          <w:p w14:paraId="7A9D0342" w14:textId="77777777" w:rsidR="00CF0E5E" w:rsidRPr="00B57E74" w:rsidRDefault="00CF0E5E" w:rsidP="00CA5245">
            <w:pPr>
              <w:jc w:val="right"/>
              <w:rPr>
                <w:rFonts w:cs="Times New Roman"/>
                <w:sz w:val="18"/>
                <w:szCs w:val="18"/>
              </w:rPr>
            </w:pPr>
          </w:p>
        </w:tc>
      </w:tr>
      <w:tr w:rsidR="00CF0E5E" w:rsidRPr="00B57E74" w14:paraId="707F5CA1" w14:textId="77777777" w:rsidTr="00CA5245">
        <w:tc>
          <w:tcPr>
            <w:tcW w:w="3770" w:type="dxa"/>
            <w:shd w:val="clear" w:color="auto" w:fill="auto"/>
          </w:tcPr>
          <w:p w14:paraId="42A468F3" w14:textId="77777777" w:rsidR="00CF0E5E" w:rsidRPr="00B57E74" w:rsidRDefault="00CF0E5E" w:rsidP="00CA5245">
            <w:pPr>
              <w:ind w:left="142"/>
              <w:rPr>
                <w:sz w:val="18"/>
                <w:szCs w:val="18"/>
                <w:lang w:val="en-US"/>
              </w:rPr>
            </w:pPr>
            <w:r w:rsidRPr="00B57E74">
              <w:rPr>
                <w:sz w:val="18"/>
                <w:szCs w:val="18"/>
                <w:lang w:val="en-US"/>
              </w:rPr>
              <w:t>No answer</w:t>
            </w:r>
          </w:p>
        </w:tc>
        <w:tc>
          <w:tcPr>
            <w:tcW w:w="1827" w:type="dxa"/>
            <w:vAlign w:val="center"/>
          </w:tcPr>
          <w:p w14:paraId="385AFA22"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2 (0.3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626" w:type="dxa"/>
            <w:vAlign w:val="center"/>
          </w:tcPr>
          <w:p w14:paraId="153ACB9D" w14:textId="77777777" w:rsidR="00CF0E5E" w:rsidRPr="00B57E74" w:rsidRDefault="00CF0E5E" w:rsidP="00CA5245">
            <w:pPr>
              <w:jc w:val="right"/>
              <w:rPr>
                <w:rFonts w:eastAsia="Times New Roman" w:cs="Times New Roman"/>
                <w:color w:val="000000"/>
                <w:sz w:val="18"/>
                <w:szCs w:val="18"/>
                <w:lang w:eastAsia="en-GB"/>
              </w:rPr>
            </w:pPr>
            <w:r w:rsidRPr="00B57E74">
              <w:rPr>
                <w:rFonts w:eastAsia="Times New Roman" w:cs="Times New Roman"/>
                <w:color w:val="000000"/>
                <w:sz w:val="18"/>
                <w:szCs w:val="18"/>
                <w:lang w:val="en-US" w:eastAsia="en-GB"/>
              </w:rPr>
              <w:t xml:space="preserve">10 (1.8 </w:t>
            </w:r>
            <w:r w:rsidRPr="00B57E74">
              <w:rPr>
                <w:rFonts w:eastAsia="Times New Roman" w:cs="Times New Roman"/>
                <w:color w:val="000000"/>
                <w:sz w:val="18"/>
                <w:szCs w:val="18"/>
                <w:lang w:eastAsia="en-GB"/>
              </w:rPr>
              <w:t>%</w:t>
            </w:r>
            <w:r w:rsidRPr="00B57E74">
              <w:rPr>
                <w:rFonts w:eastAsia="Times New Roman" w:cs="Times New Roman"/>
                <w:color w:val="000000"/>
                <w:sz w:val="18"/>
                <w:szCs w:val="18"/>
                <w:lang w:val="en-US" w:eastAsia="en-GB"/>
              </w:rPr>
              <w:t>)</w:t>
            </w:r>
          </w:p>
        </w:tc>
        <w:tc>
          <w:tcPr>
            <w:tcW w:w="1037" w:type="dxa"/>
          </w:tcPr>
          <w:p w14:paraId="0BA1F0AC" w14:textId="77777777" w:rsidR="00CF0E5E" w:rsidRPr="00B57E74" w:rsidRDefault="00CF0E5E" w:rsidP="00CA5245">
            <w:pPr>
              <w:jc w:val="right"/>
              <w:rPr>
                <w:rFonts w:cs="Times New Roman"/>
                <w:sz w:val="18"/>
                <w:szCs w:val="18"/>
              </w:rPr>
            </w:pPr>
          </w:p>
        </w:tc>
        <w:tc>
          <w:tcPr>
            <w:tcW w:w="1037" w:type="dxa"/>
          </w:tcPr>
          <w:p w14:paraId="5E9AB785" w14:textId="77777777" w:rsidR="00CF0E5E" w:rsidRPr="00B57E74" w:rsidRDefault="00CF0E5E" w:rsidP="00CA5245">
            <w:pPr>
              <w:jc w:val="right"/>
              <w:rPr>
                <w:rFonts w:cs="Times New Roman"/>
                <w:sz w:val="18"/>
                <w:szCs w:val="18"/>
              </w:rPr>
            </w:pPr>
          </w:p>
        </w:tc>
      </w:tr>
    </w:tbl>
    <w:p w14:paraId="763705CB" w14:textId="77777777" w:rsidR="00CF0E5E" w:rsidRPr="00F953E5" w:rsidRDefault="00CF0E5E" w:rsidP="00DA357C">
      <w:pPr>
        <w:pStyle w:val="Body"/>
        <w:rPr>
          <w:b/>
          <w:sz w:val="20"/>
          <w:szCs w:val="20"/>
        </w:rPr>
      </w:pPr>
    </w:p>
    <w:p w14:paraId="13BCE8EE" w14:textId="77777777" w:rsidR="00DA357C" w:rsidRPr="00F953E5" w:rsidRDefault="00DA357C" w:rsidP="00DA357C">
      <w:pPr>
        <w:pStyle w:val="Body"/>
        <w:rPr>
          <w:sz w:val="20"/>
          <w:szCs w:val="20"/>
        </w:rPr>
      </w:pPr>
      <w:r w:rsidRPr="00F953E5">
        <w:rPr>
          <w:b/>
          <w:sz w:val="20"/>
          <w:szCs w:val="20"/>
        </w:rPr>
        <w:t xml:space="preserve">Attitudes toward saving </w:t>
      </w:r>
      <w:r w:rsidRPr="00F953E5">
        <w:rPr>
          <w:sz w:val="20"/>
          <w:szCs w:val="20"/>
        </w:rPr>
        <w:t>Girls’ attitudes about savings showed that generally, there is room for improvement (</w:t>
      </w:r>
      <w:r w:rsidRPr="00F953E5">
        <w:rPr>
          <w:sz w:val="20"/>
          <w:szCs w:val="20"/>
        </w:rPr>
        <w:fldChar w:fldCharType="begin"/>
      </w:r>
      <w:r w:rsidRPr="00F953E5">
        <w:rPr>
          <w:sz w:val="20"/>
          <w:szCs w:val="20"/>
        </w:rPr>
        <w:instrText xml:space="preserve"> REF _Ref354305045 \h </w:instrText>
      </w:r>
      <w:r w:rsidRPr="00F953E5">
        <w:rPr>
          <w:sz w:val="20"/>
          <w:szCs w:val="20"/>
        </w:rPr>
      </w:r>
      <w:r>
        <w:rPr>
          <w:sz w:val="20"/>
          <w:szCs w:val="20"/>
        </w:rPr>
        <w:instrText xml:space="preserve"> \* MERGEFORMAT </w:instrText>
      </w:r>
      <w:r w:rsidRPr="00F953E5">
        <w:rPr>
          <w:sz w:val="20"/>
          <w:szCs w:val="20"/>
        </w:rPr>
        <w:fldChar w:fldCharType="separate"/>
      </w:r>
      <w:r w:rsidRPr="00F953E5">
        <w:rPr>
          <w:sz w:val="20"/>
          <w:szCs w:val="20"/>
        </w:rPr>
        <w:t xml:space="preserve">Table </w:t>
      </w:r>
      <w:r w:rsidRPr="00F953E5">
        <w:rPr>
          <w:noProof/>
          <w:sz w:val="20"/>
          <w:szCs w:val="20"/>
        </w:rPr>
        <w:t>4</w:t>
      </w:r>
      <w:r w:rsidRPr="00F953E5">
        <w:rPr>
          <w:sz w:val="20"/>
          <w:szCs w:val="20"/>
        </w:rPr>
        <w:fldChar w:fldCharType="end"/>
      </w:r>
      <w:r w:rsidRPr="00F953E5">
        <w:rPr>
          <w:sz w:val="20"/>
          <w:szCs w:val="20"/>
        </w:rPr>
        <w:t>). Overall, 61% of girls agreed or strongly agreed that saving money is not necessary “</w:t>
      </w:r>
      <w:r w:rsidRPr="00F953E5">
        <w:rPr>
          <w:i/>
          <w:sz w:val="20"/>
          <w:szCs w:val="20"/>
        </w:rPr>
        <w:t>if you live at home with your family</w:t>
      </w:r>
      <w:r w:rsidRPr="00F953E5">
        <w:rPr>
          <w:sz w:val="20"/>
          <w:szCs w:val="20"/>
        </w:rPr>
        <w:t xml:space="preserve">.” Nearly one out of three girls also agreed or strongly agreed that </w:t>
      </w:r>
      <w:r w:rsidRPr="00F953E5">
        <w:rPr>
          <w:i/>
          <w:sz w:val="20"/>
          <w:szCs w:val="20"/>
        </w:rPr>
        <w:t>It’s better to spend money today than to save it for use in the future</w:t>
      </w:r>
      <w:r w:rsidRPr="00F953E5">
        <w:rPr>
          <w:sz w:val="20"/>
          <w:szCs w:val="20"/>
        </w:rPr>
        <w:t>, while 47% of all girls agreed that “</w:t>
      </w:r>
      <w:r w:rsidRPr="00F953E5">
        <w:rPr>
          <w:i/>
          <w:sz w:val="20"/>
          <w:szCs w:val="20"/>
        </w:rPr>
        <w:t>Savings is for adults only</w:t>
      </w:r>
      <w:r w:rsidRPr="00F953E5">
        <w:rPr>
          <w:sz w:val="20"/>
          <w:szCs w:val="20"/>
        </w:rPr>
        <w:t>.”  Interestingly, despite these statements, four out of five girls indicated that they saved money “</w:t>
      </w:r>
      <w:r w:rsidRPr="00F953E5">
        <w:rPr>
          <w:i/>
          <w:sz w:val="20"/>
          <w:szCs w:val="20"/>
        </w:rPr>
        <w:t>every time</w:t>
      </w:r>
      <w:r w:rsidRPr="00F953E5">
        <w:rPr>
          <w:sz w:val="20"/>
          <w:szCs w:val="20"/>
        </w:rPr>
        <w:t xml:space="preserve">” they got money. </w:t>
      </w:r>
    </w:p>
    <w:p w14:paraId="5140B692" w14:textId="77777777" w:rsidR="00DA357C" w:rsidRPr="00F953E5" w:rsidRDefault="00DA357C" w:rsidP="00DA357C">
      <w:pPr>
        <w:pStyle w:val="Body"/>
        <w:rPr>
          <w:b/>
          <w:sz w:val="20"/>
          <w:szCs w:val="20"/>
        </w:rPr>
      </w:pPr>
    </w:p>
    <w:p w14:paraId="3AA8DD26" w14:textId="77777777" w:rsidR="00DA357C" w:rsidRPr="00F953E5" w:rsidRDefault="00DA357C" w:rsidP="00DA357C">
      <w:pPr>
        <w:pStyle w:val="Body"/>
        <w:rPr>
          <w:b/>
          <w:sz w:val="20"/>
          <w:szCs w:val="20"/>
        </w:rPr>
      </w:pPr>
      <w:r w:rsidRPr="00F953E5">
        <w:rPr>
          <w:b/>
          <w:sz w:val="20"/>
          <w:szCs w:val="20"/>
        </w:rPr>
        <w:t xml:space="preserve">Reported saving behaviour and income generation activity (IGA) experience </w:t>
      </w:r>
      <w:r w:rsidRPr="00F953E5">
        <w:rPr>
          <w:sz w:val="20"/>
          <w:szCs w:val="20"/>
        </w:rPr>
        <w:t>One out of three girls reported never saving money, while just over 60% reported saving regularly or irregularly (</w:t>
      </w:r>
      <w:r w:rsidRPr="00F953E5">
        <w:rPr>
          <w:sz w:val="20"/>
          <w:szCs w:val="20"/>
        </w:rPr>
        <w:fldChar w:fldCharType="begin"/>
      </w:r>
      <w:r w:rsidRPr="00F953E5">
        <w:rPr>
          <w:sz w:val="20"/>
          <w:szCs w:val="20"/>
        </w:rPr>
        <w:instrText xml:space="preserve"> REF _Ref354305223 \h </w:instrText>
      </w:r>
      <w:r w:rsidRPr="00F953E5">
        <w:rPr>
          <w:sz w:val="20"/>
          <w:szCs w:val="20"/>
        </w:rPr>
      </w:r>
      <w:r>
        <w:rPr>
          <w:sz w:val="20"/>
          <w:szCs w:val="20"/>
        </w:rPr>
        <w:instrText xml:space="preserve"> \* MERGEFORMAT </w:instrText>
      </w:r>
      <w:r w:rsidRPr="00F953E5">
        <w:rPr>
          <w:sz w:val="20"/>
          <w:szCs w:val="20"/>
        </w:rPr>
        <w:fldChar w:fldCharType="separate"/>
      </w:r>
      <w:r w:rsidRPr="00F953E5">
        <w:rPr>
          <w:sz w:val="20"/>
          <w:szCs w:val="20"/>
        </w:rPr>
        <w:t xml:space="preserve">Table </w:t>
      </w:r>
      <w:r w:rsidRPr="00F953E5">
        <w:rPr>
          <w:noProof/>
          <w:sz w:val="20"/>
          <w:szCs w:val="20"/>
        </w:rPr>
        <w:t>5</w:t>
      </w:r>
      <w:r w:rsidRPr="00F953E5">
        <w:rPr>
          <w:sz w:val="20"/>
          <w:szCs w:val="20"/>
        </w:rPr>
        <w:fldChar w:fldCharType="end"/>
      </w:r>
      <w:r w:rsidRPr="00F953E5">
        <w:rPr>
          <w:sz w:val="20"/>
          <w:szCs w:val="20"/>
        </w:rPr>
        <w:t>). One out of four girls (22%)</w:t>
      </w:r>
      <w:r w:rsidRPr="00F953E5">
        <w:rPr>
          <w:b/>
          <w:sz w:val="20"/>
          <w:szCs w:val="20"/>
        </w:rPr>
        <w:t xml:space="preserve"> </w:t>
      </w:r>
      <w:r w:rsidRPr="00F953E5">
        <w:rPr>
          <w:sz w:val="20"/>
          <w:szCs w:val="20"/>
        </w:rPr>
        <w:t xml:space="preserve">reported having money saved, with a slightly larger proportion of cases than controls (25% vs 19%). Among girls with money saved, 93% reported saving at home. The average amount saved was 286 Somoni, with half the girls reporting less than 50 Somoni. Cases reported saving one-third less than controls, though the median difference consisted of only 12.5 Somoni. </w:t>
      </w:r>
    </w:p>
    <w:p w14:paraId="7B38DA09" w14:textId="77777777" w:rsidR="00DA357C" w:rsidRPr="00F953E5" w:rsidRDefault="00DA357C" w:rsidP="00DA357C">
      <w:pPr>
        <w:pStyle w:val="Body"/>
        <w:rPr>
          <w:sz w:val="20"/>
          <w:szCs w:val="20"/>
        </w:rPr>
      </w:pPr>
    </w:p>
    <w:p w14:paraId="4F11864D" w14:textId="77777777" w:rsidR="00DA357C" w:rsidRPr="00F953E5" w:rsidRDefault="00DA357C" w:rsidP="00DA357C">
      <w:pPr>
        <w:pStyle w:val="Body"/>
        <w:rPr>
          <w:sz w:val="20"/>
          <w:szCs w:val="20"/>
        </w:rPr>
      </w:pPr>
      <w:r w:rsidRPr="00F953E5">
        <w:rPr>
          <w:sz w:val="20"/>
          <w:szCs w:val="20"/>
        </w:rPr>
        <w:t xml:space="preserve">Girls’ responses to income generating activity (IGA) questions indicated that only one in five had experience with IGAs, though only 14% reported being engaged in IGAs at the time of the interview. Cases were more likely to be engaged in IGAs at the time of the interview (19% vs 8%), a difference that was statistically significant at the 10 percent level. There were no additional differences between cases and controls for questions related to saving and IGA. </w:t>
      </w:r>
    </w:p>
    <w:p w14:paraId="6E5A1BB3" w14:textId="77777777" w:rsidR="00DA357C" w:rsidRPr="00F953E5" w:rsidRDefault="00DA357C" w:rsidP="00DA357C">
      <w:pPr>
        <w:pStyle w:val="Body"/>
        <w:rPr>
          <w:sz w:val="20"/>
          <w:szCs w:val="20"/>
        </w:rPr>
      </w:pPr>
      <w:r w:rsidRPr="00F953E5">
        <w:rPr>
          <w:sz w:val="20"/>
          <w:szCs w:val="20"/>
        </w:rPr>
        <w:tab/>
      </w:r>
    </w:p>
    <w:p w14:paraId="11E5992B" w14:textId="77777777" w:rsidR="00DA357C" w:rsidRPr="00F953E5" w:rsidRDefault="00DA357C" w:rsidP="00DA357C">
      <w:pPr>
        <w:pStyle w:val="Body"/>
        <w:rPr>
          <w:b/>
          <w:sz w:val="20"/>
          <w:szCs w:val="20"/>
        </w:rPr>
      </w:pPr>
      <w:r w:rsidRPr="00F953E5">
        <w:rPr>
          <w:b/>
          <w:sz w:val="20"/>
          <w:szCs w:val="20"/>
        </w:rPr>
        <w:t xml:space="preserve">Gender-related environment and gender attitudes </w:t>
      </w:r>
      <w:r w:rsidRPr="00F953E5">
        <w:rPr>
          <w:sz w:val="20"/>
          <w:szCs w:val="20"/>
        </w:rPr>
        <w:t xml:space="preserve">Responses to gender-related questions are displayed in </w:t>
      </w:r>
      <w:r w:rsidRPr="00F953E5">
        <w:rPr>
          <w:sz w:val="20"/>
          <w:szCs w:val="20"/>
        </w:rPr>
        <w:fldChar w:fldCharType="begin"/>
      </w:r>
      <w:r w:rsidRPr="00F953E5">
        <w:rPr>
          <w:sz w:val="20"/>
          <w:szCs w:val="20"/>
        </w:rPr>
        <w:instrText xml:space="preserve"> REF _Ref354305500 \h </w:instrText>
      </w:r>
      <w:r w:rsidRPr="00F953E5">
        <w:rPr>
          <w:sz w:val="20"/>
          <w:szCs w:val="20"/>
        </w:rPr>
      </w:r>
      <w:r>
        <w:rPr>
          <w:sz w:val="20"/>
          <w:szCs w:val="20"/>
        </w:rPr>
        <w:instrText xml:space="preserve"> \* MERGEFORMAT </w:instrText>
      </w:r>
      <w:r w:rsidRPr="00F953E5">
        <w:rPr>
          <w:sz w:val="20"/>
          <w:szCs w:val="20"/>
        </w:rPr>
        <w:fldChar w:fldCharType="separate"/>
      </w:r>
      <w:r w:rsidRPr="00F953E5">
        <w:rPr>
          <w:sz w:val="20"/>
          <w:szCs w:val="20"/>
        </w:rPr>
        <w:t xml:space="preserve">Table </w:t>
      </w:r>
      <w:r w:rsidRPr="00F953E5">
        <w:rPr>
          <w:noProof/>
          <w:sz w:val="20"/>
          <w:szCs w:val="20"/>
        </w:rPr>
        <w:t>6</w:t>
      </w:r>
      <w:r w:rsidRPr="00F953E5">
        <w:rPr>
          <w:sz w:val="20"/>
          <w:szCs w:val="20"/>
        </w:rPr>
        <w:fldChar w:fldCharType="end"/>
      </w:r>
      <w:r w:rsidRPr="00F953E5">
        <w:rPr>
          <w:sz w:val="20"/>
          <w:szCs w:val="20"/>
        </w:rPr>
        <w:t>. A great majority of respondents (93%) reported that men and women sit separately during meals in their household, while only 5.5% of girls reported living in a polygamous household. Girls were also asked whether they were usually permitted to go to four different places alone, accompanied or not at all: the local store/market, the local health centre, friends’ houses in the neighbourhood, and village or school events.</w:t>
      </w:r>
      <w:r w:rsidRPr="00F953E5">
        <w:rPr>
          <w:rStyle w:val="EndnoteReference"/>
          <w:sz w:val="20"/>
          <w:szCs w:val="20"/>
        </w:rPr>
        <w:endnoteReference w:id="6"/>
      </w:r>
      <w:r w:rsidRPr="00F953E5">
        <w:rPr>
          <w:sz w:val="20"/>
          <w:szCs w:val="20"/>
        </w:rPr>
        <w:t xml:space="preserve"> More than three out of four girls said they were not allowed to go to the market, health centre or village/school events alone (78%, 82% and 75% respectively). While a minority were allowed to go to these same three place alone (5%, 6%, 18%), larger proportions reported that they were </w:t>
      </w:r>
      <w:r w:rsidRPr="00F953E5">
        <w:rPr>
          <w:i/>
          <w:sz w:val="20"/>
          <w:szCs w:val="20"/>
        </w:rPr>
        <w:t>never</w:t>
      </w:r>
      <w:r w:rsidRPr="00F953E5">
        <w:rPr>
          <w:sz w:val="20"/>
          <w:szCs w:val="20"/>
        </w:rPr>
        <w:t xml:space="preserve"> allowed to (15%, 10%, 5%). Girls reported having more freedom to visit friends’ houses in the neighbourhood—</w:t>
      </w:r>
      <w:r w:rsidRPr="00F953E5">
        <w:rPr>
          <w:sz w:val="20"/>
          <w:szCs w:val="20"/>
        </w:rPr>
        <w:lastRenderedPageBreak/>
        <w:t xml:space="preserve">42% were allowed to go alone, 46% were allowed to go accompanied, while 8% were never allowed to. Cases were more significantly more likely to be allowed to go to friends’ houses alone (51% vs 31%). </w:t>
      </w:r>
    </w:p>
    <w:p w14:paraId="3031B2E8" w14:textId="77777777" w:rsidR="00DA357C" w:rsidRPr="00F953E5" w:rsidRDefault="00DA357C" w:rsidP="00DA357C">
      <w:pPr>
        <w:pStyle w:val="Body"/>
        <w:rPr>
          <w:sz w:val="20"/>
          <w:szCs w:val="20"/>
        </w:rPr>
      </w:pPr>
    </w:p>
    <w:p w14:paraId="7DA92F2A" w14:textId="77777777" w:rsidR="00DA357C" w:rsidRPr="00F953E5" w:rsidRDefault="00DA357C" w:rsidP="00DA357C">
      <w:pPr>
        <w:pStyle w:val="Body"/>
        <w:rPr>
          <w:sz w:val="20"/>
          <w:szCs w:val="20"/>
        </w:rPr>
      </w:pPr>
      <w:r w:rsidRPr="00F953E5">
        <w:rPr>
          <w:sz w:val="20"/>
          <w:szCs w:val="20"/>
        </w:rPr>
        <w:t xml:space="preserve">Girls’ responses to statements regarding gender norms indicated attitudes consistent with observations expressed by Mercy Corps staff before the survey was conducted. On the one hand, respondents generally had strongly beliefs in women’s right to be educated and work outside the home. An overwhelming majority (90%) agreed or somewhat agreed that </w:t>
      </w:r>
      <w:r w:rsidRPr="00F953E5">
        <w:rPr>
          <w:i/>
          <w:sz w:val="20"/>
          <w:szCs w:val="20"/>
        </w:rPr>
        <w:t>Women have the same right as men to study and work outside the home</w:t>
      </w:r>
      <w:r w:rsidRPr="00F953E5">
        <w:rPr>
          <w:sz w:val="20"/>
          <w:szCs w:val="20"/>
        </w:rPr>
        <w:t xml:space="preserve">. Encouragingly, 83% of girls in both case and control groups disagreed that </w:t>
      </w:r>
      <w:proofErr w:type="gramStart"/>
      <w:r w:rsidRPr="00F953E5">
        <w:rPr>
          <w:i/>
          <w:sz w:val="20"/>
          <w:szCs w:val="20"/>
        </w:rPr>
        <w:t>It</w:t>
      </w:r>
      <w:proofErr w:type="gramEnd"/>
      <w:r w:rsidRPr="00F953E5">
        <w:rPr>
          <w:i/>
          <w:sz w:val="20"/>
          <w:szCs w:val="20"/>
        </w:rPr>
        <w:t xml:space="preserve"> is better to send a son to school than it is to send a daughter</w:t>
      </w:r>
      <w:r w:rsidRPr="00F953E5">
        <w:rPr>
          <w:sz w:val="20"/>
          <w:szCs w:val="20"/>
        </w:rPr>
        <w:t xml:space="preserve">, though cases were significantly more as likely to agree with the statement (12% vs 6%). Along the same lines, 88% agreed or somewhat agreed that </w:t>
      </w:r>
      <w:r w:rsidRPr="00F953E5">
        <w:rPr>
          <w:i/>
          <w:sz w:val="20"/>
          <w:szCs w:val="20"/>
        </w:rPr>
        <w:t xml:space="preserve">A married woman should be allowed to work outside the home if she wants to. </w:t>
      </w:r>
      <w:r w:rsidRPr="00F953E5">
        <w:rPr>
          <w:sz w:val="20"/>
          <w:szCs w:val="20"/>
        </w:rPr>
        <w:t xml:space="preserve">A comfortable majority (85%) agreed or somewhat agreed that </w:t>
      </w:r>
      <w:proofErr w:type="gramStart"/>
      <w:r w:rsidRPr="00F953E5">
        <w:rPr>
          <w:i/>
          <w:sz w:val="20"/>
          <w:szCs w:val="20"/>
        </w:rPr>
        <w:t>If</w:t>
      </w:r>
      <w:proofErr w:type="gramEnd"/>
      <w:r w:rsidRPr="00F953E5">
        <w:rPr>
          <w:i/>
          <w:sz w:val="20"/>
          <w:szCs w:val="20"/>
        </w:rPr>
        <w:t xml:space="preserve"> the wife is working outside the home, then the husband should help her with household chores. </w:t>
      </w:r>
    </w:p>
    <w:p w14:paraId="5E8369FF" w14:textId="77777777" w:rsidR="00DA357C" w:rsidRPr="00F953E5" w:rsidRDefault="00DA357C" w:rsidP="00DA357C">
      <w:pPr>
        <w:pStyle w:val="Body"/>
        <w:rPr>
          <w:sz w:val="20"/>
          <w:szCs w:val="20"/>
        </w:rPr>
      </w:pPr>
    </w:p>
    <w:p w14:paraId="728652B2" w14:textId="77777777" w:rsidR="00DA357C" w:rsidRPr="00F953E5" w:rsidRDefault="00DA357C" w:rsidP="00DA357C">
      <w:pPr>
        <w:pStyle w:val="Body"/>
        <w:rPr>
          <w:sz w:val="20"/>
          <w:szCs w:val="20"/>
        </w:rPr>
      </w:pPr>
      <w:r w:rsidRPr="00F953E5">
        <w:rPr>
          <w:sz w:val="20"/>
          <w:szCs w:val="20"/>
        </w:rPr>
        <w:t xml:space="preserve">On the other hand, responses to other statements indicated that relative to the men in the family, most girls believed that women do not have equal voice. For instance, just 62% agreed or somewhat agreed that </w:t>
      </w:r>
      <w:proofErr w:type="gramStart"/>
      <w:r w:rsidRPr="00F953E5">
        <w:rPr>
          <w:i/>
          <w:sz w:val="20"/>
          <w:szCs w:val="20"/>
        </w:rPr>
        <w:t>The</w:t>
      </w:r>
      <w:proofErr w:type="gramEnd"/>
      <w:r w:rsidRPr="00F953E5">
        <w:rPr>
          <w:i/>
          <w:sz w:val="20"/>
          <w:szCs w:val="20"/>
        </w:rPr>
        <w:t xml:space="preserve"> wife has a right to express her opinion even when she disagrees with what her husband is saying. </w:t>
      </w:r>
      <w:r w:rsidRPr="00F953E5">
        <w:rPr>
          <w:sz w:val="20"/>
          <w:szCs w:val="20"/>
        </w:rPr>
        <w:t xml:space="preserve">Accordingly, over two-thirds of the girls (71%) agreed or somewhat agreed that </w:t>
      </w:r>
      <w:proofErr w:type="gramStart"/>
      <w:r w:rsidRPr="00F953E5">
        <w:rPr>
          <w:i/>
          <w:sz w:val="20"/>
          <w:szCs w:val="20"/>
        </w:rPr>
        <w:t>The</w:t>
      </w:r>
      <w:proofErr w:type="gramEnd"/>
      <w:r w:rsidRPr="00F953E5">
        <w:rPr>
          <w:i/>
          <w:sz w:val="20"/>
          <w:szCs w:val="20"/>
        </w:rPr>
        <w:t xml:space="preserve"> important decisions in the family should be made only by the men of the family. </w:t>
      </w:r>
      <w:r w:rsidRPr="00F953E5">
        <w:rPr>
          <w:sz w:val="20"/>
          <w:szCs w:val="20"/>
        </w:rPr>
        <w:t xml:space="preserve">An important finding was that only 25% of the girls disagreed that </w:t>
      </w:r>
      <w:r w:rsidRPr="00F953E5">
        <w:rPr>
          <w:i/>
          <w:sz w:val="20"/>
          <w:szCs w:val="20"/>
        </w:rPr>
        <w:t>A wife should tolerate being beaten by her husband in order to keep the family together</w:t>
      </w:r>
      <w:r w:rsidRPr="00F953E5">
        <w:rPr>
          <w:sz w:val="20"/>
          <w:szCs w:val="20"/>
        </w:rPr>
        <w:t xml:space="preserve">. No additional differences between cases and controls were observed for gender-related questions beyond those mentioned in this section. </w:t>
      </w:r>
    </w:p>
    <w:p w14:paraId="261F688F" w14:textId="77777777" w:rsidR="00DA357C" w:rsidRPr="00F953E5" w:rsidRDefault="00DA357C" w:rsidP="00DA357C">
      <w:pPr>
        <w:pStyle w:val="Body"/>
        <w:rPr>
          <w:sz w:val="20"/>
          <w:szCs w:val="20"/>
        </w:rPr>
      </w:pPr>
    </w:p>
    <w:p w14:paraId="1DFAED06" w14:textId="77777777" w:rsidR="00DA357C" w:rsidRPr="00F953E5" w:rsidRDefault="00DA357C" w:rsidP="00DA357C">
      <w:pPr>
        <w:pStyle w:val="Body"/>
        <w:rPr>
          <w:sz w:val="20"/>
          <w:szCs w:val="20"/>
        </w:rPr>
      </w:pPr>
      <w:r w:rsidRPr="00F953E5">
        <w:rPr>
          <w:b/>
          <w:sz w:val="20"/>
          <w:szCs w:val="20"/>
        </w:rPr>
        <w:t xml:space="preserve">Knowledge of family planning </w:t>
      </w:r>
      <w:proofErr w:type="gramStart"/>
      <w:r w:rsidRPr="00F953E5">
        <w:rPr>
          <w:sz w:val="20"/>
          <w:szCs w:val="20"/>
        </w:rPr>
        <w:t>The</w:t>
      </w:r>
      <w:proofErr w:type="gramEnd"/>
      <w:r w:rsidRPr="00F953E5">
        <w:rPr>
          <w:b/>
          <w:sz w:val="20"/>
          <w:szCs w:val="20"/>
        </w:rPr>
        <w:t xml:space="preserve"> </w:t>
      </w:r>
      <w:r w:rsidRPr="00F953E5">
        <w:rPr>
          <w:sz w:val="20"/>
          <w:szCs w:val="20"/>
        </w:rPr>
        <w:t>family</w:t>
      </w:r>
      <w:r w:rsidRPr="00F953E5">
        <w:rPr>
          <w:b/>
          <w:sz w:val="20"/>
          <w:szCs w:val="20"/>
        </w:rPr>
        <w:t xml:space="preserve"> </w:t>
      </w:r>
      <w:r w:rsidRPr="00F953E5">
        <w:rPr>
          <w:sz w:val="20"/>
          <w:szCs w:val="20"/>
        </w:rPr>
        <w:t xml:space="preserve">planning (FP) section of the baseline survey initiated by surveying adolescent girls on basic understanding of reproductive health and FP: </w:t>
      </w:r>
      <w:r w:rsidRPr="00F953E5">
        <w:rPr>
          <w:i/>
          <w:sz w:val="20"/>
          <w:szCs w:val="20"/>
        </w:rPr>
        <w:t xml:space="preserve">How does a woman become pregnant? </w:t>
      </w:r>
      <w:r w:rsidRPr="00F953E5">
        <w:rPr>
          <w:sz w:val="20"/>
          <w:szCs w:val="20"/>
        </w:rPr>
        <w:t xml:space="preserve">and </w:t>
      </w:r>
      <w:r w:rsidRPr="00F953E5">
        <w:rPr>
          <w:i/>
          <w:color w:val="000000"/>
          <w:sz w:val="20"/>
          <w:szCs w:val="20"/>
          <w:lang w:eastAsia="en-CA"/>
        </w:rPr>
        <w:t>Have you heard of any methods in which a woman can avoid becoming pregnant?</w:t>
      </w:r>
      <w:r w:rsidRPr="00F953E5">
        <w:rPr>
          <w:b/>
          <w:color w:val="000000"/>
          <w:sz w:val="20"/>
          <w:szCs w:val="20"/>
          <w:lang w:eastAsia="en-CA"/>
        </w:rPr>
        <w:t xml:space="preserve"> </w:t>
      </w:r>
      <w:r w:rsidRPr="00F953E5">
        <w:rPr>
          <w:sz w:val="20"/>
          <w:szCs w:val="20"/>
        </w:rPr>
        <w:t xml:space="preserve">Most girls (87%) expressed ignorance to both questions (see </w:t>
      </w:r>
      <w:r w:rsidRPr="00F953E5">
        <w:rPr>
          <w:sz w:val="20"/>
          <w:szCs w:val="20"/>
        </w:rPr>
        <w:fldChar w:fldCharType="begin"/>
      </w:r>
      <w:r w:rsidRPr="00F953E5">
        <w:rPr>
          <w:sz w:val="20"/>
          <w:szCs w:val="20"/>
        </w:rPr>
        <w:instrText xml:space="preserve"> REF _Ref354306346 \h </w:instrText>
      </w:r>
      <w:r w:rsidRPr="00F953E5">
        <w:rPr>
          <w:sz w:val="20"/>
          <w:szCs w:val="20"/>
        </w:rPr>
      </w:r>
      <w:r>
        <w:rPr>
          <w:sz w:val="20"/>
          <w:szCs w:val="20"/>
        </w:rPr>
        <w:instrText xml:space="preserve"> \* MERGEFORMAT </w:instrText>
      </w:r>
      <w:r w:rsidRPr="00F953E5">
        <w:rPr>
          <w:sz w:val="20"/>
          <w:szCs w:val="20"/>
        </w:rPr>
        <w:fldChar w:fldCharType="separate"/>
      </w:r>
      <w:r w:rsidRPr="00F953E5">
        <w:rPr>
          <w:sz w:val="20"/>
          <w:szCs w:val="20"/>
        </w:rPr>
        <w:t xml:space="preserve">Table </w:t>
      </w:r>
      <w:r w:rsidRPr="00F953E5">
        <w:rPr>
          <w:noProof/>
          <w:sz w:val="20"/>
          <w:szCs w:val="20"/>
        </w:rPr>
        <w:t>7</w:t>
      </w:r>
      <w:r w:rsidRPr="00F953E5">
        <w:rPr>
          <w:sz w:val="20"/>
          <w:szCs w:val="20"/>
        </w:rPr>
        <w:fldChar w:fldCharType="end"/>
      </w:r>
      <w:r w:rsidRPr="00F953E5">
        <w:rPr>
          <w:sz w:val="20"/>
          <w:szCs w:val="20"/>
        </w:rPr>
        <w:t>). This result is open to interpretation since there are other hypothetical reasons to respond accordingly (</w:t>
      </w:r>
      <w:proofErr w:type="spellStart"/>
      <w:r w:rsidRPr="00F953E5">
        <w:rPr>
          <w:sz w:val="20"/>
          <w:szCs w:val="20"/>
        </w:rPr>
        <w:t>eg.</w:t>
      </w:r>
      <w:proofErr w:type="spellEnd"/>
      <w:r w:rsidRPr="00F953E5">
        <w:rPr>
          <w:sz w:val="20"/>
          <w:szCs w:val="20"/>
        </w:rPr>
        <w:t xml:space="preserve"> embarrassment, cultural pressure for girls to be modest). That said, if there </w:t>
      </w:r>
      <w:r w:rsidRPr="00F953E5">
        <w:rPr>
          <w:i/>
          <w:sz w:val="20"/>
          <w:szCs w:val="20"/>
        </w:rPr>
        <w:t>are</w:t>
      </w:r>
      <w:r w:rsidRPr="00F953E5">
        <w:rPr>
          <w:sz w:val="20"/>
          <w:szCs w:val="20"/>
        </w:rPr>
        <w:t xml:space="preserve"> significant cultural or adolescent reasons for avoiding conversations on reproductive health and FP, a programme like </w:t>
      </w:r>
      <w:proofErr w:type="spellStart"/>
      <w:r w:rsidRPr="00F953E5">
        <w:rPr>
          <w:sz w:val="20"/>
          <w:szCs w:val="20"/>
        </w:rPr>
        <w:t>Aflateen</w:t>
      </w:r>
      <w:proofErr w:type="spellEnd"/>
      <w:r w:rsidRPr="00F953E5">
        <w:rPr>
          <w:sz w:val="20"/>
          <w:szCs w:val="20"/>
        </w:rPr>
        <w:t xml:space="preserve">+ would be particularly valuable in reducing misconceptions arising from topics that are not openly discussed. In this context, a decrease in the proportion of </w:t>
      </w:r>
      <w:r w:rsidRPr="00F953E5">
        <w:rPr>
          <w:i/>
          <w:sz w:val="20"/>
          <w:szCs w:val="20"/>
        </w:rPr>
        <w:t>Don’t know</w:t>
      </w:r>
      <w:r w:rsidRPr="00F953E5">
        <w:rPr>
          <w:sz w:val="20"/>
          <w:szCs w:val="20"/>
        </w:rPr>
        <w:t xml:space="preserve"> responses in the endline survey would be considered a step in a positive direction.</w:t>
      </w:r>
    </w:p>
    <w:p w14:paraId="3E63C610" w14:textId="77777777" w:rsidR="00DA357C" w:rsidRPr="00F953E5" w:rsidRDefault="00DA357C" w:rsidP="00DA357C">
      <w:pPr>
        <w:pStyle w:val="Body"/>
        <w:rPr>
          <w:sz w:val="20"/>
          <w:szCs w:val="20"/>
        </w:rPr>
      </w:pPr>
    </w:p>
    <w:p w14:paraId="14B22736" w14:textId="77777777" w:rsidR="00DA357C" w:rsidRPr="00F953E5" w:rsidRDefault="00DA357C" w:rsidP="00DA357C">
      <w:pPr>
        <w:pStyle w:val="Body"/>
        <w:rPr>
          <w:sz w:val="20"/>
          <w:szCs w:val="20"/>
        </w:rPr>
      </w:pPr>
      <w:r w:rsidRPr="00F953E5">
        <w:rPr>
          <w:sz w:val="20"/>
          <w:szCs w:val="20"/>
        </w:rPr>
        <w:t>The family planning method that was most frequently cited as a known FP method was the IUD, which was mentioned by 7% of the girls surveyed, and twice the proportion of cases compared to controls (10% vs 4%). Nine out of 10 girls either did not respond or declared ignorance to questions related to the effectiveness of traditional methods of family planning and washing as a method of reducing the likelihood of pregnancy. About two out of five girls agreed with statements correctly asserting the risks of teenage pregnancy to mother and baby, with about half of those surveyed simply proclaimed ignorance.</w:t>
      </w:r>
    </w:p>
    <w:p w14:paraId="1196FC77" w14:textId="77777777" w:rsidR="00DA357C" w:rsidRPr="00F953E5" w:rsidRDefault="00DA357C" w:rsidP="00DA357C">
      <w:pPr>
        <w:pStyle w:val="Body"/>
        <w:rPr>
          <w:sz w:val="20"/>
          <w:szCs w:val="20"/>
        </w:rPr>
      </w:pPr>
    </w:p>
    <w:p w14:paraId="68601D65" w14:textId="77777777" w:rsidR="00DA357C" w:rsidRPr="00F953E5" w:rsidRDefault="00DA357C" w:rsidP="00DA357C">
      <w:pPr>
        <w:pStyle w:val="Body"/>
        <w:rPr>
          <w:i/>
          <w:sz w:val="20"/>
          <w:szCs w:val="20"/>
        </w:rPr>
      </w:pPr>
      <w:r w:rsidRPr="00F953E5">
        <w:rPr>
          <w:b/>
          <w:sz w:val="20"/>
          <w:szCs w:val="20"/>
        </w:rPr>
        <w:t xml:space="preserve">HIV/AIDS knowledge </w:t>
      </w:r>
      <w:r w:rsidRPr="00F953E5">
        <w:rPr>
          <w:sz w:val="20"/>
          <w:szCs w:val="20"/>
        </w:rPr>
        <w:t xml:space="preserve">Most knowledge questions concerning HIV/AIDS elicited responses of </w:t>
      </w:r>
      <w:r w:rsidRPr="00F953E5">
        <w:rPr>
          <w:i/>
          <w:sz w:val="20"/>
          <w:szCs w:val="20"/>
        </w:rPr>
        <w:t>Don’t know</w:t>
      </w:r>
      <w:r w:rsidRPr="00F953E5">
        <w:rPr>
          <w:sz w:val="20"/>
          <w:szCs w:val="20"/>
        </w:rPr>
        <w:t xml:space="preserve"> (see </w:t>
      </w:r>
      <w:r w:rsidRPr="00F953E5">
        <w:rPr>
          <w:sz w:val="20"/>
          <w:szCs w:val="20"/>
        </w:rPr>
        <w:fldChar w:fldCharType="begin"/>
      </w:r>
      <w:r w:rsidRPr="00F953E5">
        <w:rPr>
          <w:sz w:val="20"/>
          <w:szCs w:val="20"/>
        </w:rPr>
        <w:instrText xml:space="preserve"> REF _Ref354306556 \h </w:instrText>
      </w:r>
      <w:r w:rsidRPr="00F953E5">
        <w:rPr>
          <w:sz w:val="20"/>
          <w:szCs w:val="20"/>
        </w:rPr>
      </w:r>
      <w:r>
        <w:rPr>
          <w:sz w:val="20"/>
          <w:szCs w:val="20"/>
        </w:rPr>
        <w:instrText xml:space="preserve"> \* MERGEFORMAT </w:instrText>
      </w:r>
      <w:r w:rsidRPr="00F953E5">
        <w:rPr>
          <w:sz w:val="20"/>
          <w:szCs w:val="20"/>
        </w:rPr>
        <w:fldChar w:fldCharType="separate"/>
      </w:r>
      <w:r w:rsidRPr="00F953E5">
        <w:rPr>
          <w:sz w:val="20"/>
          <w:szCs w:val="20"/>
        </w:rPr>
        <w:t xml:space="preserve">Table </w:t>
      </w:r>
      <w:r w:rsidRPr="00F953E5">
        <w:rPr>
          <w:noProof/>
          <w:sz w:val="20"/>
          <w:szCs w:val="20"/>
        </w:rPr>
        <w:t>8</w:t>
      </w:r>
      <w:r w:rsidRPr="00F953E5">
        <w:rPr>
          <w:sz w:val="20"/>
          <w:szCs w:val="20"/>
        </w:rPr>
        <w:fldChar w:fldCharType="end"/>
      </w:r>
      <w:r w:rsidRPr="00F953E5">
        <w:rPr>
          <w:sz w:val="20"/>
          <w:szCs w:val="20"/>
        </w:rPr>
        <w:t>)</w:t>
      </w:r>
      <w:r w:rsidRPr="00F953E5">
        <w:rPr>
          <w:i/>
          <w:sz w:val="20"/>
          <w:szCs w:val="20"/>
        </w:rPr>
        <w:t xml:space="preserve">. </w:t>
      </w:r>
      <w:r w:rsidRPr="00F953E5">
        <w:rPr>
          <w:sz w:val="20"/>
          <w:szCs w:val="20"/>
        </w:rPr>
        <w:t xml:space="preserve">Responses to questions related to HIV/AIDS knowledge indicated that 7% of girls had heard of sexually transmitted diseases (STDs), while 13% had heard of HIV/AIDS. Given the potential of cultural norms influencing these results, a conservative interpretation of these results suggests that basic knowledge of HIV transmission may not be well disseminated. The following STD and HIV/AIDS knowledge areas elicited responses in which at least 80% of girls responded </w:t>
      </w:r>
      <w:r w:rsidRPr="00F953E5">
        <w:rPr>
          <w:i/>
          <w:sz w:val="20"/>
          <w:szCs w:val="20"/>
        </w:rPr>
        <w:t>Don’t know:</w:t>
      </w:r>
    </w:p>
    <w:p w14:paraId="4A54A66C" w14:textId="77777777" w:rsidR="00DA357C" w:rsidRPr="00F953E5" w:rsidRDefault="00DA357C" w:rsidP="00DA357C">
      <w:pPr>
        <w:pStyle w:val="Body"/>
        <w:numPr>
          <w:ilvl w:val="0"/>
          <w:numId w:val="3"/>
        </w:numPr>
        <w:rPr>
          <w:sz w:val="20"/>
          <w:szCs w:val="20"/>
        </w:rPr>
      </w:pPr>
      <w:r w:rsidRPr="00F953E5">
        <w:rPr>
          <w:sz w:val="20"/>
          <w:szCs w:val="20"/>
        </w:rPr>
        <w:t>risks associated with not finishing a course of antibiotics</w:t>
      </w:r>
    </w:p>
    <w:p w14:paraId="2C816B4E" w14:textId="77777777" w:rsidR="00DA357C" w:rsidRPr="00F953E5" w:rsidRDefault="00DA357C" w:rsidP="00DA357C">
      <w:pPr>
        <w:pStyle w:val="Body"/>
        <w:numPr>
          <w:ilvl w:val="0"/>
          <w:numId w:val="3"/>
        </w:numPr>
        <w:rPr>
          <w:sz w:val="20"/>
          <w:szCs w:val="20"/>
        </w:rPr>
      </w:pPr>
      <w:r w:rsidRPr="00F953E5">
        <w:rPr>
          <w:sz w:val="20"/>
          <w:szCs w:val="20"/>
        </w:rPr>
        <w:t>lack of cure for HIV/AIDS</w:t>
      </w:r>
    </w:p>
    <w:p w14:paraId="7BFE62A7" w14:textId="77777777" w:rsidR="00DA357C" w:rsidRPr="00F953E5" w:rsidRDefault="00DA357C" w:rsidP="00DA357C">
      <w:pPr>
        <w:pStyle w:val="Body"/>
        <w:numPr>
          <w:ilvl w:val="0"/>
          <w:numId w:val="3"/>
        </w:numPr>
        <w:rPr>
          <w:sz w:val="20"/>
          <w:szCs w:val="20"/>
        </w:rPr>
      </w:pPr>
      <w:r w:rsidRPr="00F953E5">
        <w:rPr>
          <w:sz w:val="20"/>
          <w:szCs w:val="20"/>
          <w:lang w:eastAsia="en-CA"/>
        </w:rPr>
        <w:t>HIV/AIDS can cause death</w:t>
      </w:r>
    </w:p>
    <w:p w14:paraId="691BA045" w14:textId="77777777" w:rsidR="00DA357C" w:rsidRPr="00F953E5" w:rsidRDefault="00DA357C" w:rsidP="00DA357C">
      <w:pPr>
        <w:pStyle w:val="Body"/>
        <w:numPr>
          <w:ilvl w:val="0"/>
          <w:numId w:val="3"/>
        </w:numPr>
        <w:rPr>
          <w:sz w:val="20"/>
          <w:szCs w:val="20"/>
        </w:rPr>
      </w:pPr>
      <w:r w:rsidRPr="00F953E5">
        <w:rPr>
          <w:sz w:val="20"/>
          <w:szCs w:val="20"/>
          <w:lang w:eastAsia="en-CA"/>
        </w:rPr>
        <w:t xml:space="preserve">modes of transmitting HIV/AIDS </w:t>
      </w:r>
    </w:p>
    <w:p w14:paraId="63E05DCB" w14:textId="77777777" w:rsidR="00DA357C" w:rsidRPr="00F953E5" w:rsidRDefault="00DA357C" w:rsidP="00DA357C">
      <w:pPr>
        <w:pStyle w:val="Body"/>
        <w:numPr>
          <w:ilvl w:val="0"/>
          <w:numId w:val="3"/>
        </w:numPr>
        <w:rPr>
          <w:sz w:val="20"/>
          <w:szCs w:val="20"/>
          <w:lang w:eastAsia="en-CA"/>
        </w:rPr>
      </w:pPr>
      <w:r w:rsidRPr="00F953E5">
        <w:rPr>
          <w:sz w:val="20"/>
          <w:szCs w:val="20"/>
          <w:lang w:eastAsia="en-CA"/>
        </w:rPr>
        <w:t>incorrect beliefs regarding HIV/AIDS transmission and factors of risk (</w:t>
      </w:r>
      <w:proofErr w:type="spellStart"/>
      <w:r w:rsidRPr="00F953E5">
        <w:rPr>
          <w:sz w:val="20"/>
          <w:szCs w:val="20"/>
          <w:lang w:eastAsia="en-CA"/>
        </w:rPr>
        <w:t>ie</w:t>
      </w:r>
      <w:proofErr w:type="spellEnd"/>
      <w:r w:rsidRPr="00F953E5">
        <w:rPr>
          <w:sz w:val="20"/>
          <w:szCs w:val="20"/>
          <w:lang w:eastAsia="en-CA"/>
        </w:rPr>
        <w:t xml:space="preserve">. not necessarily someone’s appearance or behaviour </w:t>
      </w:r>
      <w:proofErr w:type="spellStart"/>
      <w:r w:rsidRPr="00F953E5">
        <w:rPr>
          <w:sz w:val="20"/>
          <w:szCs w:val="20"/>
          <w:lang w:eastAsia="en-CA"/>
        </w:rPr>
        <w:t>eg.</w:t>
      </w:r>
      <w:proofErr w:type="spellEnd"/>
      <w:r w:rsidRPr="00F953E5">
        <w:rPr>
          <w:sz w:val="20"/>
          <w:szCs w:val="20"/>
          <w:lang w:eastAsia="en-CA"/>
        </w:rPr>
        <w:t xml:space="preserve"> prostitution, but sex with an infected person, even within a monogamous relationship)</w:t>
      </w:r>
    </w:p>
    <w:p w14:paraId="317B0FB6" w14:textId="77777777" w:rsidR="00DA357C" w:rsidRPr="00F953E5" w:rsidRDefault="00DA357C" w:rsidP="00DA357C">
      <w:pPr>
        <w:pStyle w:val="Body"/>
        <w:numPr>
          <w:ilvl w:val="0"/>
          <w:numId w:val="3"/>
        </w:numPr>
        <w:rPr>
          <w:sz w:val="20"/>
          <w:szCs w:val="20"/>
          <w:lang w:eastAsia="en-CA"/>
        </w:rPr>
      </w:pPr>
      <w:r w:rsidRPr="00F953E5">
        <w:rPr>
          <w:sz w:val="20"/>
          <w:szCs w:val="20"/>
          <w:lang w:eastAsia="en-CA"/>
        </w:rPr>
        <w:t xml:space="preserve">ways of protecting against HIV/AIDS transmission </w:t>
      </w:r>
    </w:p>
    <w:p w14:paraId="59168039" w14:textId="77777777" w:rsidR="00DA357C" w:rsidRPr="00F953E5" w:rsidRDefault="00DA357C" w:rsidP="00DA357C">
      <w:pPr>
        <w:pStyle w:val="Body"/>
        <w:numPr>
          <w:ilvl w:val="0"/>
          <w:numId w:val="3"/>
        </w:numPr>
        <w:rPr>
          <w:sz w:val="20"/>
          <w:szCs w:val="20"/>
          <w:lang w:eastAsia="en-CA"/>
        </w:rPr>
      </w:pPr>
      <w:r w:rsidRPr="00F953E5">
        <w:rPr>
          <w:sz w:val="20"/>
          <w:szCs w:val="20"/>
          <w:lang w:eastAsia="en-CA"/>
        </w:rPr>
        <w:t>where to get tested for HIV/AIDS</w:t>
      </w:r>
    </w:p>
    <w:p w14:paraId="4F41F302" w14:textId="77777777" w:rsidR="00DA357C" w:rsidRPr="00F953E5" w:rsidRDefault="00DA357C" w:rsidP="00DA357C">
      <w:pPr>
        <w:pStyle w:val="Body"/>
        <w:rPr>
          <w:sz w:val="20"/>
          <w:szCs w:val="20"/>
        </w:rPr>
      </w:pPr>
      <w:r w:rsidRPr="00F953E5">
        <w:rPr>
          <w:sz w:val="20"/>
          <w:szCs w:val="20"/>
        </w:rPr>
        <w:t xml:space="preserve">No differences in HIV/AIDS knowledge were observed between cases and controls. </w:t>
      </w:r>
    </w:p>
    <w:p w14:paraId="30146793" w14:textId="77777777" w:rsidR="00DA357C" w:rsidRPr="00F953E5" w:rsidRDefault="00DA357C" w:rsidP="00DA357C">
      <w:pPr>
        <w:pStyle w:val="Body"/>
        <w:rPr>
          <w:sz w:val="20"/>
          <w:szCs w:val="20"/>
        </w:rPr>
      </w:pPr>
    </w:p>
    <w:p w14:paraId="70702226" w14:textId="77777777" w:rsidR="005637E0" w:rsidRDefault="005637E0" w:rsidP="00DA357C">
      <w:pPr>
        <w:pStyle w:val="Body"/>
        <w:rPr>
          <w:b/>
          <w:sz w:val="20"/>
          <w:szCs w:val="20"/>
        </w:rPr>
      </w:pPr>
      <w:r>
        <w:rPr>
          <w:b/>
          <w:sz w:val="20"/>
          <w:szCs w:val="20"/>
        </w:rPr>
        <w:br w:type="page"/>
      </w:r>
    </w:p>
    <w:sectPr w:rsidR="005637E0" w:rsidSect="00DA357C">
      <w:pgSz w:w="12240" w:h="15840"/>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7C0CC" w14:textId="77777777" w:rsidR="00973923" w:rsidRDefault="00973923" w:rsidP="00DA357C">
      <w:r>
        <w:separator/>
      </w:r>
    </w:p>
  </w:endnote>
  <w:endnote w:type="continuationSeparator" w:id="0">
    <w:p w14:paraId="6202AF53" w14:textId="77777777" w:rsidR="00973923" w:rsidRDefault="00973923" w:rsidP="00DA357C">
      <w:r>
        <w:continuationSeparator/>
      </w:r>
    </w:p>
  </w:endnote>
  <w:endnote w:id="1">
    <w:p w14:paraId="7336187C" w14:textId="77777777" w:rsidR="00DA357C" w:rsidRPr="00DA357C" w:rsidRDefault="00DA357C" w:rsidP="00DA357C">
      <w:pPr>
        <w:pStyle w:val="Default"/>
        <w:rPr>
          <w:sz w:val="16"/>
          <w:szCs w:val="16"/>
        </w:rPr>
      </w:pPr>
      <w:r w:rsidRPr="00DA357C">
        <w:rPr>
          <w:rStyle w:val="EndnoteReference"/>
          <w:sz w:val="16"/>
          <w:szCs w:val="16"/>
        </w:rPr>
        <w:endnoteRef/>
      </w:r>
      <w:r w:rsidRPr="00DA357C">
        <w:rPr>
          <w:sz w:val="16"/>
          <w:szCs w:val="16"/>
        </w:rPr>
        <w:t xml:space="preserve"> Schwarzer, R., &amp; Jerusalem, M. </w:t>
      </w:r>
      <w:r w:rsidRPr="00DA357C">
        <w:rPr>
          <w:b/>
          <w:bCs/>
          <w:sz w:val="16"/>
          <w:szCs w:val="16"/>
        </w:rPr>
        <w:t>(1995)</w:t>
      </w:r>
      <w:r w:rsidRPr="00DA357C">
        <w:rPr>
          <w:sz w:val="16"/>
          <w:szCs w:val="16"/>
        </w:rPr>
        <w:t xml:space="preserve">. Generalized Self-Efficacy scale. In J. Weinman, S. Wright, &amp; M. Johnston, </w:t>
      </w:r>
      <w:r w:rsidRPr="00DA357C">
        <w:rPr>
          <w:i/>
          <w:iCs/>
          <w:sz w:val="16"/>
          <w:szCs w:val="16"/>
        </w:rPr>
        <w:t xml:space="preserve">Measures in health psychology: A user’s portfolio. Causal and control beliefs </w:t>
      </w:r>
      <w:r w:rsidRPr="00DA357C">
        <w:rPr>
          <w:sz w:val="16"/>
          <w:szCs w:val="16"/>
        </w:rPr>
        <w:t>(pp. 35-37). Windsor, England: NFER-NELSON.</w:t>
      </w:r>
    </w:p>
  </w:endnote>
  <w:endnote w:id="2">
    <w:p w14:paraId="7D563BDD" w14:textId="77777777" w:rsidR="00DA357C" w:rsidRPr="00DA357C" w:rsidRDefault="00DA357C" w:rsidP="00DA357C">
      <w:pPr>
        <w:pStyle w:val="EndnoteText"/>
        <w:rPr>
          <w:sz w:val="16"/>
          <w:szCs w:val="16"/>
          <w:lang w:val="en-US"/>
        </w:rPr>
      </w:pPr>
      <w:r w:rsidRPr="00DA357C">
        <w:rPr>
          <w:rStyle w:val="EndnoteReference"/>
          <w:sz w:val="16"/>
          <w:szCs w:val="16"/>
        </w:rPr>
        <w:endnoteRef/>
      </w:r>
      <w:r w:rsidRPr="00DA357C">
        <w:rPr>
          <w:sz w:val="16"/>
          <w:szCs w:val="16"/>
        </w:rPr>
        <w:t xml:space="preserve"> </w:t>
      </w:r>
      <w:proofErr w:type="spellStart"/>
      <w:r w:rsidRPr="00DA357C">
        <w:rPr>
          <w:sz w:val="16"/>
          <w:szCs w:val="16"/>
        </w:rPr>
        <w:t>Oyserman</w:t>
      </w:r>
      <w:proofErr w:type="spellEnd"/>
      <w:r w:rsidRPr="00DA357C">
        <w:rPr>
          <w:sz w:val="16"/>
          <w:szCs w:val="16"/>
        </w:rPr>
        <w:t xml:space="preserve">, D. (1993). The lens of personhood: Viewing the self, others, and conflict in a multicultural society. </w:t>
      </w:r>
      <w:r w:rsidRPr="00DA357C">
        <w:rPr>
          <w:i/>
          <w:iCs/>
          <w:sz w:val="16"/>
          <w:szCs w:val="16"/>
        </w:rPr>
        <w:t>Journal of Personality and Social Psychology, 65</w:t>
      </w:r>
      <w:r w:rsidRPr="00DA357C">
        <w:rPr>
          <w:sz w:val="16"/>
          <w:szCs w:val="16"/>
        </w:rPr>
        <w:t>, 993-1009</w:t>
      </w:r>
    </w:p>
  </w:endnote>
  <w:endnote w:id="3">
    <w:p w14:paraId="70437FFF" w14:textId="77777777" w:rsidR="00DA357C" w:rsidRPr="007C09AB" w:rsidRDefault="00DA357C" w:rsidP="00DA357C">
      <w:pPr>
        <w:pStyle w:val="EndnoteText"/>
        <w:rPr>
          <w:lang w:val="en-US"/>
        </w:rPr>
      </w:pPr>
      <w:r w:rsidRPr="00DA357C">
        <w:rPr>
          <w:rStyle w:val="EndnoteReference"/>
          <w:sz w:val="16"/>
          <w:szCs w:val="16"/>
        </w:rPr>
        <w:endnoteRef/>
      </w:r>
      <w:r w:rsidRPr="00DA357C">
        <w:rPr>
          <w:sz w:val="16"/>
          <w:szCs w:val="16"/>
        </w:rPr>
        <w:t xml:space="preserve"> Mercy Corps </w:t>
      </w:r>
      <w:proofErr w:type="spellStart"/>
      <w:r w:rsidRPr="00DA357C">
        <w:rPr>
          <w:sz w:val="16"/>
          <w:szCs w:val="16"/>
        </w:rPr>
        <w:t>Aflateen</w:t>
      </w:r>
      <w:proofErr w:type="spellEnd"/>
      <w:r w:rsidRPr="00DA357C">
        <w:rPr>
          <w:sz w:val="16"/>
          <w:szCs w:val="16"/>
        </w:rPr>
        <w:t>+ Impact Evaluation Plan, 2012. Mercy Corps/Tajikistan</w:t>
      </w:r>
      <w:r>
        <w:t>.</w:t>
      </w:r>
    </w:p>
  </w:endnote>
  <w:endnote w:id="4">
    <w:p w14:paraId="68925D6F" w14:textId="77777777" w:rsidR="00DA357C" w:rsidRPr="00DA357C" w:rsidRDefault="00DA357C" w:rsidP="00DA357C">
      <w:pPr>
        <w:pStyle w:val="EndnoteText"/>
        <w:rPr>
          <w:sz w:val="16"/>
          <w:szCs w:val="16"/>
        </w:rPr>
      </w:pPr>
      <w:r>
        <w:rPr>
          <w:rStyle w:val="EndnoteReference"/>
        </w:rPr>
        <w:endnoteRef/>
      </w:r>
      <w:r>
        <w:t xml:space="preserve"> </w:t>
      </w:r>
      <w:hyperlink r:id="rId1" w:history="1">
        <w:r w:rsidRPr="00DA357C">
          <w:rPr>
            <w:rStyle w:val="Hyperlink"/>
            <w:sz w:val="16"/>
            <w:szCs w:val="16"/>
          </w:rPr>
          <w:t>http://www.parqol.com/page.cfm?id=142</w:t>
        </w:r>
      </w:hyperlink>
      <w:r w:rsidRPr="00DA357C">
        <w:rPr>
          <w:sz w:val="16"/>
          <w:szCs w:val="16"/>
        </w:rPr>
        <w:t xml:space="preserve"> </w:t>
      </w:r>
    </w:p>
    <w:p w14:paraId="521758A5" w14:textId="77777777" w:rsidR="00DA357C" w:rsidRPr="00DA357C" w:rsidRDefault="00DA357C" w:rsidP="00DA357C">
      <w:pPr>
        <w:pStyle w:val="EndnoteText"/>
        <w:rPr>
          <w:sz w:val="16"/>
          <w:szCs w:val="16"/>
        </w:rPr>
      </w:pPr>
      <w:hyperlink r:id="rId2" w:history="1">
        <w:r w:rsidRPr="00DA357C">
          <w:rPr>
            <w:rStyle w:val="Hyperlink"/>
            <w:sz w:val="16"/>
            <w:szCs w:val="16"/>
          </w:rPr>
          <w:t>http://www.wwnorton.com/college/psych/psychsci/media/rosenberg.htm</w:t>
        </w:r>
      </w:hyperlink>
    </w:p>
  </w:endnote>
  <w:endnote w:id="5">
    <w:p w14:paraId="64B08C4E" w14:textId="77777777" w:rsidR="00DA357C" w:rsidRPr="00AA65B2" w:rsidRDefault="00DA357C" w:rsidP="00DA357C">
      <w:pPr>
        <w:pStyle w:val="EndnoteText"/>
        <w:rPr>
          <w:lang w:val="en-US"/>
        </w:rPr>
      </w:pPr>
      <w:r w:rsidRPr="00DA357C">
        <w:rPr>
          <w:rStyle w:val="EndnoteReference"/>
          <w:sz w:val="16"/>
          <w:szCs w:val="16"/>
        </w:rPr>
        <w:endnoteRef/>
      </w:r>
      <w:r w:rsidRPr="00DA357C">
        <w:rPr>
          <w:sz w:val="16"/>
          <w:szCs w:val="16"/>
        </w:rPr>
        <w:t xml:space="preserve"> </w:t>
      </w:r>
      <w:hyperlink r:id="rId3" w:history="1">
        <w:r w:rsidRPr="00DA357C">
          <w:rPr>
            <w:rStyle w:val="Hyperlink"/>
            <w:sz w:val="16"/>
            <w:szCs w:val="16"/>
          </w:rPr>
          <w:t>http://userpage.fu-berlin.de/~health/faq_gse.pdf</w:t>
        </w:r>
      </w:hyperlink>
      <w:r>
        <w:t xml:space="preserve"> </w:t>
      </w:r>
    </w:p>
  </w:endnote>
  <w:endnote w:id="6">
    <w:p w14:paraId="6403686C" w14:textId="77777777" w:rsidR="00DA357C" w:rsidRPr="00DA357C" w:rsidRDefault="00DA357C" w:rsidP="00DA357C">
      <w:pPr>
        <w:pStyle w:val="EndnoteText"/>
        <w:rPr>
          <w:sz w:val="16"/>
          <w:szCs w:val="16"/>
          <w:lang w:val="en-US"/>
        </w:rPr>
      </w:pPr>
      <w:r w:rsidRPr="00DA357C">
        <w:rPr>
          <w:rStyle w:val="EndnoteReference"/>
          <w:sz w:val="16"/>
          <w:szCs w:val="16"/>
        </w:rPr>
        <w:endnoteRef/>
      </w:r>
      <w:r w:rsidRPr="00DA357C">
        <w:rPr>
          <w:rStyle w:val="EndnoteReference"/>
          <w:sz w:val="16"/>
          <w:szCs w:val="16"/>
        </w:rPr>
        <w:t xml:space="preserve"> </w:t>
      </w:r>
      <w:r w:rsidRPr="00DA357C">
        <w:rPr>
          <w:sz w:val="16"/>
          <w:szCs w:val="16"/>
        </w:rPr>
        <w:t>Adapted from Demographic Health Survey questionnaire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CIGKB+TimesNewRoman,Bold">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E52E6" w14:textId="77777777" w:rsidR="00973923" w:rsidRDefault="00973923" w:rsidP="00DA357C">
      <w:r>
        <w:separator/>
      </w:r>
    </w:p>
  </w:footnote>
  <w:footnote w:type="continuationSeparator" w:id="0">
    <w:p w14:paraId="24B0F515" w14:textId="77777777" w:rsidR="00973923" w:rsidRDefault="00973923" w:rsidP="00DA357C">
      <w:r>
        <w:continuationSeparator/>
      </w:r>
    </w:p>
  </w:footnote>
  <w:footnote w:id="1">
    <w:p w14:paraId="09D6BBB7" w14:textId="77777777" w:rsidR="00DA357C" w:rsidRPr="002D2957" w:rsidRDefault="00DA357C" w:rsidP="00DA357C">
      <w:pPr>
        <w:pStyle w:val="FootnoteText"/>
        <w:rPr>
          <w:lang w:val="en-US"/>
        </w:rPr>
      </w:pPr>
      <w:r w:rsidRPr="0052387C">
        <w:rPr>
          <w:rStyle w:val="FootnoteReference"/>
        </w:rPr>
        <w:footnoteRef/>
      </w:r>
      <w:r w:rsidRPr="0052387C">
        <w:t xml:space="preserve"> </w:t>
      </w:r>
      <w:r w:rsidRPr="002D2957">
        <w:rPr>
          <w:rFonts w:cs="Times New Roman"/>
          <w:i/>
          <w:iCs/>
        </w:rPr>
        <w:t>Towards Improved Economic and Sexual Reproductive Health Outcomes for</w:t>
      </w:r>
      <w:r w:rsidRPr="0052387C">
        <w:rPr>
          <w:color w:val="000000"/>
        </w:rPr>
        <w:t xml:space="preserve"> </w:t>
      </w:r>
      <w:r w:rsidRPr="002D2957">
        <w:rPr>
          <w:rFonts w:cs="Times New Roman"/>
          <w:i/>
        </w:rPr>
        <w:t>Adolescent Girls</w:t>
      </w:r>
    </w:p>
  </w:footnote>
  <w:footnote w:id="2">
    <w:p w14:paraId="0DEC06DE" w14:textId="77777777" w:rsidR="00DA357C" w:rsidRPr="00033AD0" w:rsidRDefault="00DA357C" w:rsidP="00DA357C">
      <w:pPr>
        <w:pStyle w:val="FootnoteText"/>
        <w:rPr>
          <w:lang w:val="en-US"/>
        </w:rPr>
      </w:pPr>
      <w:r>
        <w:rPr>
          <w:rStyle w:val="FootnoteReference"/>
        </w:rPr>
        <w:footnoteRef/>
      </w:r>
      <w:r>
        <w:t xml:space="preserve"> </w:t>
      </w:r>
      <w:r w:rsidRPr="00DA357C">
        <w:rPr>
          <w:sz w:val="16"/>
          <w:szCs w:val="16"/>
        </w:rPr>
        <w:t xml:space="preserve">During the data collection tool testing phase of the interviewer training, the Mercy Corps team found that the idea of being married and in school at this age appeared to be so preposterous that the question provoked anger in at least one participant. The Mercy Corps staff participating in the evaluation at this phase believed that, given the reactions from girls they were seeing at both the tools pilot testing and the interviewer training, asking girls whether they are married would be unlikely to result in a positive answer </w:t>
      </w:r>
      <w:r w:rsidRPr="00DA357C">
        <w:rPr>
          <w:i/>
          <w:sz w:val="16"/>
          <w:szCs w:val="16"/>
          <w:u w:val="single"/>
        </w:rPr>
        <w:t>even if it were true</w:t>
      </w:r>
      <w:r w:rsidRPr="00DA357C">
        <w:rPr>
          <w:sz w:val="16"/>
          <w:szCs w:val="16"/>
        </w:rPr>
        <w:t>, which led to this question being dropped from the baseline questionnaire. The Mercy Corps team also believed that once a girl is married, she does not have the option of remaining in school.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0964"/>
    <w:multiLevelType w:val="hybridMultilevel"/>
    <w:tmpl w:val="BF967CDC"/>
    <w:lvl w:ilvl="0" w:tplc="10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FF5A24"/>
    <w:multiLevelType w:val="hybridMultilevel"/>
    <w:tmpl w:val="CFD4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630D6"/>
    <w:multiLevelType w:val="hybridMultilevel"/>
    <w:tmpl w:val="46348C38"/>
    <w:lvl w:ilvl="0" w:tplc="A588E8CA">
      <w:start w:val="1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A4747"/>
    <w:multiLevelType w:val="hybridMultilevel"/>
    <w:tmpl w:val="68DA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237BF3"/>
    <w:multiLevelType w:val="hybridMultilevel"/>
    <w:tmpl w:val="C38205FA"/>
    <w:lvl w:ilvl="0" w:tplc="10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15:restartNumberingAfterBreak="0">
    <w:nsid w:val="46AC7886"/>
    <w:multiLevelType w:val="multilevel"/>
    <w:tmpl w:val="0CF4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56788"/>
    <w:multiLevelType w:val="multilevel"/>
    <w:tmpl w:val="44DC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82EBC"/>
    <w:multiLevelType w:val="hybridMultilevel"/>
    <w:tmpl w:val="20860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700F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F1D680C"/>
    <w:multiLevelType w:val="hybridMultilevel"/>
    <w:tmpl w:val="D2B05D24"/>
    <w:lvl w:ilvl="0" w:tplc="9640AF32">
      <w:numFmt w:val="bullet"/>
      <w:lvlText w:val="-"/>
      <w:lvlJc w:val="left"/>
      <w:pPr>
        <w:ind w:left="2580" w:hanging="360"/>
      </w:pPr>
      <w:rPr>
        <w:rFonts w:ascii="Times New Roman" w:eastAsia="Times New Roman" w:hAnsi="Times New Roman"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0" w15:restartNumberingAfterBreak="0">
    <w:nsid w:val="73292DB8"/>
    <w:multiLevelType w:val="hybridMultilevel"/>
    <w:tmpl w:val="46C66B0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407BCC"/>
    <w:multiLevelType w:val="hybridMultilevel"/>
    <w:tmpl w:val="275A0F58"/>
    <w:lvl w:ilvl="0" w:tplc="9640AF32">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D37CF8"/>
    <w:multiLevelType w:val="hybridMultilevel"/>
    <w:tmpl w:val="02D4C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7515290">
    <w:abstractNumId w:val="8"/>
  </w:num>
  <w:num w:numId="2" w16cid:durableId="271282161">
    <w:abstractNumId w:val="1"/>
  </w:num>
  <w:num w:numId="3" w16cid:durableId="1055853150">
    <w:abstractNumId w:val="7"/>
  </w:num>
  <w:num w:numId="4" w16cid:durableId="331565134">
    <w:abstractNumId w:val="0"/>
  </w:num>
  <w:num w:numId="5" w16cid:durableId="1421753264">
    <w:abstractNumId w:val="12"/>
  </w:num>
  <w:num w:numId="6" w16cid:durableId="2131315537">
    <w:abstractNumId w:val="4"/>
  </w:num>
  <w:num w:numId="7" w16cid:durableId="1169249098">
    <w:abstractNumId w:val="3"/>
  </w:num>
  <w:num w:numId="8" w16cid:durableId="266349338">
    <w:abstractNumId w:val="9"/>
  </w:num>
  <w:num w:numId="9" w16cid:durableId="336273103">
    <w:abstractNumId w:val="11"/>
  </w:num>
  <w:num w:numId="10" w16cid:durableId="243956405">
    <w:abstractNumId w:val="2"/>
  </w:num>
  <w:num w:numId="11" w16cid:durableId="1666130669">
    <w:abstractNumId w:val="10"/>
  </w:num>
  <w:num w:numId="12" w16cid:durableId="1670447553">
    <w:abstractNumId w:val="5"/>
  </w:num>
  <w:num w:numId="13" w16cid:durableId="898132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7C"/>
    <w:rsid w:val="000A1D22"/>
    <w:rsid w:val="001D2F10"/>
    <w:rsid w:val="003542D1"/>
    <w:rsid w:val="003837BA"/>
    <w:rsid w:val="004D1024"/>
    <w:rsid w:val="004E4649"/>
    <w:rsid w:val="005637E0"/>
    <w:rsid w:val="007B7BC5"/>
    <w:rsid w:val="00973923"/>
    <w:rsid w:val="00A95862"/>
    <w:rsid w:val="00AF4740"/>
    <w:rsid w:val="00AF50E5"/>
    <w:rsid w:val="00B57E74"/>
    <w:rsid w:val="00CF0E5E"/>
    <w:rsid w:val="00D0419D"/>
    <w:rsid w:val="00D120E0"/>
    <w:rsid w:val="00DA357C"/>
    <w:rsid w:val="00E471F5"/>
    <w:rsid w:val="00E53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2AB0"/>
  <w15:chartTrackingRefBased/>
  <w15:docId w15:val="{30225518-FCD2-4A92-AE56-BE0C54CD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7C"/>
    <w:pPr>
      <w:spacing w:after="0" w:line="240" w:lineRule="auto"/>
    </w:pPr>
    <w:rPr>
      <w:rFonts w:ascii="Times New Roman" w:eastAsiaTheme="minorHAnsi" w:hAnsi="Times New Roman" w:cs="Arial"/>
      <w:kern w:val="0"/>
      <w:sz w:val="24"/>
      <w:szCs w:val="20"/>
      <w:lang w:val="en-GB" w:eastAsia="en-US"/>
      <w14:ligatures w14:val="none"/>
    </w:rPr>
  </w:style>
  <w:style w:type="paragraph" w:styleId="Heading1">
    <w:name w:val="heading 1"/>
    <w:basedOn w:val="Normal"/>
    <w:next w:val="Normal"/>
    <w:link w:val="Heading1Char"/>
    <w:uiPriority w:val="9"/>
    <w:qFormat/>
    <w:rsid w:val="00DA357C"/>
    <w:pPr>
      <w:keepNext/>
      <w:keepLines/>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autoRedefine/>
    <w:uiPriority w:val="9"/>
    <w:unhideWhenUsed/>
    <w:qFormat/>
    <w:rsid w:val="00DA357C"/>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DA357C"/>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7C"/>
    <w:rPr>
      <w:rFonts w:ascii="Arial" w:eastAsiaTheme="majorEastAsia" w:hAnsi="Arial" w:cstheme="majorBidi"/>
      <w:b/>
      <w:bCs/>
      <w:kern w:val="0"/>
      <w:sz w:val="28"/>
      <w:szCs w:val="28"/>
      <w:lang w:val="en-GB" w:eastAsia="en-US"/>
      <w14:ligatures w14:val="none"/>
    </w:rPr>
  </w:style>
  <w:style w:type="character" w:customStyle="1" w:styleId="Heading2Char">
    <w:name w:val="Heading 2 Char"/>
    <w:basedOn w:val="DefaultParagraphFont"/>
    <w:link w:val="Heading2"/>
    <w:uiPriority w:val="9"/>
    <w:rsid w:val="00DA357C"/>
    <w:rPr>
      <w:rFonts w:ascii="Times New Roman" w:eastAsiaTheme="majorEastAsia" w:hAnsi="Times New Roman" w:cstheme="majorBidi"/>
      <w:b/>
      <w:bCs/>
      <w:kern w:val="0"/>
      <w:sz w:val="26"/>
      <w:szCs w:val="26"/>
      <w:lang w:val="en-GB" w:eastAsia="en-US"/>
      <w14:ligatures w14:val="none"/>
    </w:rPr>
  </w:style>
  <w:style w:type="character" w:customStyle="1" w:styleId="Heading3Char">
    <w:name w:val="Heading 3 Char"/>
    <w:basedOn w:val="DefaultParagraphFont"/>
    <w:link w:val="Heading3"/>
    <w:uiPriority w:val="9"/>
    <w:semiHidden/>
    <w:rsid w:val="00DA357C"/>
    <w:rPr>
      <w:rFonts w:asciiTheme="majorHAnsi" w:eastAsiaTheme="majorEastAsia" w:hAnsiTheme="majorHAnsi" w:cstheme="majorBidi"/>
      <w:b/>
      <w:bCs/>
      <w:color w:val="4472C4" w:themeColor="accent1"/>
      <w:kern w:val="0"/>
      <w:sz w:val="24"/>
      <w:szCs w:val="20"/>
      <w:lang w:val="en-GB" w:eastAsia="en-US"/>
      <w14:ligatures w14:val="none"/>
    </w:rPr>
  </w:style>
  <w:style w:type="paragraph" w:styleId="ListParagraph">
    <w:name w:val="List Paragraph"/>
    <w:basedOn w:val="Normal"/>
    <w:uiPriority w:val="34"/>
    <w:qFormat/>
    <w:rsid w:val="00DA357C"/>
    <w:pPr>
      <w:ind w:left="720"/>
      <w:contextualSpacing/>
    </w:pPr>
  </w:style>
  <w:style w:type="table" w:styleId="TableGrid">
    <w:name w:val="Table Grid"/>
    <w:basedOn w:val="TableNormal"/>
    <w:uiPriority w:val="59"/>
    <w:rsid w:val="00DA357C"/>
    <w:pPr>
      <w:spacing w:after="0" w:line="240" w:lineRule="auto"/>
    </w:pPr>
    <w:rPr>
      <w:rFonts w:ascii="Times New Roman" w:eastAsiaTheme="minorHAnsi" w:hAnsi="Times New Roman" w:cs="Arial"/>
      <w:kern w:val="0"/>
      <w:sz w:val="24"/>
      <w:szCs w:val="20"/>
      <w:lang w:val="en-GB"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357C"/>
    <w:rPr>
      <w:sz w:val="16"/>
      <w:szCs w:val="16"/>
    </w:rPr>
  </w:style>
  <w:style w:type="paragraph" w:styleId="CommentText">
    <w:name w:val="annotation text"/>
    <w:basedOn w:val="Normal"/>
    <w:link w:val="CommentTextChar"/>
    <w:uiPriority w:val="99"/>
    <w:semiHidden/>
    <w:unhideWhenUsed/>
    <w:rsid w:val="00DA357C"/>
    <w:rPr>
      <w:sz w:val="20"/>
    </w:rPr>
  </w:style>
  <w:style w:type="character" w:customStyle="1" w:styleId="CommentTextChar">
    <w:name w:val="Comment Text Char"/>
    <w:basedOn w:val="DefaultParagraphFont"/>
    <w:link w:val="CommentText"/>
    <w:uiPriority w:val="99"/>
    <w:semiHidden/>
    <w:rsid w:val="00DA357C"/>
    <w:rPr>
      <w:rFonts w:ascii="Times New Roman" w:eastAsiaTheme="minorHAnsi" w:hAnsi="Times New Roman" w:cs="Arial"/>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DA357C"/>
    <w:rPr>
      <w:b/>
      <w:bCs/>
    </w:rPr>
  </w:style>
  <w:style w:type="character" w:customStyle="1" w:styleId="CommentSubjectChar">
    <w:name w:val="Comment Subject Char"/>
    <w:basedOn w:val="CommentTextChar"/>
    <w:link w:val="CommentSubject"/>
    <w:uiPriority w:val="99"/>
    <w:semiHidden/>
    <w:rsid w:val="00DA357C"/>
    <w:rPr>
      <w:rFonts w:ascii="Times New Roman" w:eastAsiaTheme="minorHAnsi" w:hAnsi="Times New Roman" w:cs="Arial"/>
      <w:b/>
      <w:bCs/>
      <w:kern w:val="0"/>
      <w:sz w:val="20"/>
      <w:szCs w:val="20"/>
      <w:lang w:val="en-GB" w:eastAsia="en-US"/>
      <w14:ligatures w14:val="none"/>
    </w:rPr>
  </w:style>
  <w:style w:type="paragraph" w:styleId="BalloonText">
    <w:name w:val="Balloon Text"/>
    <w:basedOn w:val="Normal"/>
    <w:link w:val="BalloonTextChar"/>
    <w:uiPriority w:val="99"/>
    <w:semiHidden/>
    <w:unhideWhenUsed/>
    <w:rsid w:val="00DA357C"/>
    <w:rPr>
      <w:rFonts w:ascii="Tahoma" w:hAnsi="Tahoma" w:cs="Tahoma"/>
      <w:sz w:val="16"/>
      <w:szCs w:val="16"/>
    </w:rPr>
  </w:style>
  <w:style w:type="character" w:customStyle="1" w:styleId="BalloonTextChar">
    <w:name w:val="Balloon Text Char"/>
    <w:basedOn w:val="DefaultParagraphFont"/>
    <w:link w:val="BalloonText"/>
    <w:uiPriority w:val="99"/>
    <w:semiHidden/>
    <w:rsid w:val="00DA357C"/>
    <w:rPr>
      <w:rFonts w:ascii="Tahoma" w:eastAsiaTheme="minorHAnsi" w:hAnsi="Tahoma" w:cs="Tahoma"/>
      <w:kern w:val="0"/>
      <w:sz w:val="16"/>
      <w:szCs w:val="16"/>
      <w:lang w:val="en-GB" w:eastAsia="en-US"/>
      <w14:ligatures w14:val="none"/>
    </w:rPr>
  </w:style>
  <w:style w:type="paragraph" w:styleId="FootnoteText">
    <w:name w:val="footnote text"/>
    <w:basedOn w:val="Normal"/>
    <w:link w:val="FootnoteTextChar"/>
    <w:uiPriority w:val="99"/>
    <w:semiHidden/>
    <w:unhideWhenUsed/>
    <w:rsid w:val="00DA357C"/>
    <w:rPr>
      <w:sz w:val="20"/>
    </w:rPr>
  </w:style>
  <w:style w:type="character" w:customStyle="1" w:styleId="FootnoteTextChar">
    <w:name w:val="Footnote Text Char"/>
    <w:basedOn w:val="DefaultParagraphFont"/>
    <w:link w:val="FootnoteText"/>
    <w:uiPriority w:val="99"/>
    <w:semiHidden/>
    <w:rsid w:val="00DA357C"/>
    <w:rPr>
      <w:rFonts w:ascii="Times New Roman" w:eastAsiaTheme="minorHAnsi" w:hAnsi="Times New Roman" w:cs="Arial"/>
      <w:kern w:val="0"/>
      <w:sz w:val="20"/>
      <w:szCs w:val="20"/>
      <w:lang w:val="en-GB" w:eastAsia="en-US"/>
      <w14:ligatures w14:val="none"/>
    </w:rPr>
  </w:style>
  <w:style w:type="character" w:styleId="FootnoteReference">
    <w:name w:val="footnote reference"/>
    <w:basedOn w:val="DefaultParagraphFont"/>
    <w:uiPriority w:val="99"/>
    <w:semiHidden/>
    <w:unhideWhenUsed/>
    <w:rsid w:val="00DA357C"/>
    <w:rPr>
      <w:vertAlign w:val="superscript"/>
    </w:rPr>
  </w:style>
  <w:style w:type="paragraph" w:styleId="Header">
    <w:name w:val="header"/>
    <w:basedOn w:val="Normal"/>
    <w:link w:val="HeaderChar"/>
    <w:uiPriority w:val="99"/>
    <w:unhideWhenUsed/>
    <w:rsid w:val="00DA357C"/>
    <w:pPr>
      <w:tabs>
        <w:tab w:val="center" w:pos="4513"/>
        <w:tab w:val="right" w:pos="9026"/>
      </w:tabs>
    </w:pPr>
  </w:style>
  <w:style w:type="character" w:customStyle="1" w:styleId="HeaderChar">
    <w:name w:val="Header Char"/>
    <w:basedOn w:val="DefaultParagraphFont"/>
    <w:link w:val="Header"/>
    <w:uiPriority w:val="99"/>
    <w:rsid w:val="00DA357C"/>
    <w:rPr>
      <w:rFonts w:ascii="Times New Roman" w:eastAsiaTheme="minorHAnsi" w:hAnsi="Times New Roman" w:cs="Arial"/>
      <w:kern w:val="0"/>
      <w:sz w:val="24"/>
      <w:szCs w:val="20"/>
      <w:lang w:val="en-GB" w:eastAsia="en-US"/>
      <w14:ligatures w14:val="none"/>
    </w:rPr>
  </w:style>
  <w:style w:type="paragraph" w:styleId="Footer">
    <w:name w:val="footer"/>
    <w:basedOn w:val="Normal"/>
    <w:link w:val="FooterChar"/>
    <w:uiPriority w:val="99"/>
    <w:unhideWhenUsed/>
    <w:rsid w:val="00DA357C"/>
    <w:pPr>
      <w:tabs>
        <w:tab w:val="center" w:pos="4513"/>
        <w:tab w:val="right" w:pos="9026"/>
      </w:tabs>
    </w:pPr>
  </w:style>
  <w:style w:type="character" w:customStyle="1" w:styleId="FooterChar">
    <w:name w:val="Footer Char"/>
    <w:basedOn w:val="DefaultParagraphFont"/>
    <w:link w:val="Footer"/>
    <w:uiPriority w:val="99"/>
    <w:rsid w:val="00DA357C"/>
    <w:rPr>
      <w:rFonts w:ascii="Times New Roman" w:eastAsiaTheme="minorHAnsi" w:hAnsi="Times New Roman" w:cs="Arial"/>
      <w:kern w:val="0"/>
      <w:sz w:val="24"/>
      <w:szCs w:val="20"/>
      <w:lang w:val="en-GB" w:eastAsia="en-US"/>
      <w14:ligatures w14:val="none"/>
    </w:rPr>
  </w:style>
  <w:style w:type="paragraph" w:styleId="EndnoteText">
    <w:name w:val="endnote text"/>
    <w:basedOn w:val="Normal"/>
    <w:link w:val="EndnoteTextChar"/>
    <w:uiPriority w:val="99"/>
    <w:semiHidden/>
    <w:unhideWhenUsed/>
    <w:rsid w:val="00DA357C"/>
    <w:rPr>
      <w:sz w:val="20"/>
    </w:rPr>
  </w:style>
  <w:style w:type="character" w:customStyle="1" w:styleId="EndnoteTextChar">
    <w:name w:val="Endnote Text Char"/>
    <w:basedOn w:val="DefaultParagraphFont"/>
    <w:link w:val="EndnoteText"/>
    <w:uiPriority w:val="99"/>
    <w:semiHidden/>
    <w:rsid w:val="00DA357C"/>
    <w:rPr>
      <w:rFonts w:ascii="Times New Roman" w:eastAsiaTheme="minorHAnsi" w:hAnsi="Times New Roman" w:cs="Arial"/>
      <w:kern w:val="0"/>
      <w:sz w:val="20"/>
      <w:szCs w:val="20"/>
      <w:lang w:val="en-GB" w:eastAsia="en-US"/>
      <w14:ligatures w14:val="none"/>
    </w:rPr>
  </w:style>
  <w:style w:type="character" w:styleId="EndnoteReference">
    <w:name w:val="endnote reference"/>
    <w:basedOn w:val="DefaultParagraphFont"/>
    <w:uiPriority w:val="99"/>
    <w:semiHidden/>
    <w:unhideWhenUsed/>
    <w:rsid w:val="00DA357C"/>
    <w:rPr>
      <w:vertAlign w:val="superscript"/>
    </w:rPr>
  </w:style>
  <w:style w:type="character" w:styleId="Hyperlink">
    <w:name w:val="Hyperlink"/>
    <w:basedOn w:val="DefaultParagraphFont"/>
    <w:uiPriority w:val="99"/>
    <w:unhideWhenUsed/>
    <w:rsid w:val="00DA357C"/>
    <w:rPr>
      <w:color w:val="0563C1" w:themeColor="hyperlink"/>
      <w:u w:val="single"/>
    </w:rPr>
  </w:style>
  <w:style w:type="paragraph" w:customStyle="1" w:styleId="Body">
    <w:name w:val="Body"/>
    <w:basedOn w:val="Normal"/>
    <w:autoRedefine/>
    <w:qFormat/>
    <w:rsid w:val="00DA357C"/>
    <w:pPr>
      <w:autoSpaceDE w:val="0"/>
      <w:autoSpaceDN w:val="0"/>
      <w:adjustRightInd w:val="0"/>
    </w:pPr>
    <w:rPr>
      <w:rFonts w:cs="Times New Roman"/>
      <w:szCs w:val="24"/>
    </w:rPr>
  </w:style>
  <w:style w:type="paragraph" w:styleId="Caption">
    <w:name w:val="caption"/>
    <w:basedOn w:val="Normal"/>
    <w:next w:val="Normal"/>
    <w:autoRedefine/>
    <w:uiPriority w:val="35"/>
    <w:unhideWhenUsed/>
    <w:qFormat/>
    <w:rsid w:val="00DA357C"/>
    <w:pPr>
      <w:keepNext/>
    </w:pPr>
    <w:rPr>
      <w:rFonts w:ascii="Arial" w:hAnsi="Arial"/>
      <w:b/>
      <w:bCs/>
      <w:sz w:val="18"/>
      <w:szCs w:val="18"/>
    </w:rPr>
  </w:style>
  <w:style w:type="paragraph" w:customStyle="1" w:styleId="Default">
    <w:name w:val="Default"/>
    <w:rsid w:val="00DA357C"/>
    <w:pPr>
      <w:autoSpaceDE w:val="0"/>
      <w:autoSpaceDN w:val="0"/>
      <w:adjustRightInd w:val="0"/>
      <w:spacing w:after="0" w:line="240" w:lineRule="auto"/>
    </w:pPr>
    <w:rPr>
      <w:rFonts w:ascii="Times New Roman" w:eastAsiaTheme="minorHAnsi" w:hAnsi="Times New Roman" w:cs="Times New Roman"/>
      <w:color w:val="000000"/>
      <w:kern w:val="0"/>
      <w:sz w:val="24"/>
      <w:szCs w:val="24"/>
      <w:lang w:val="en-GB" w:eastAsia="en-US"/>
      <w14:ligatures w14:val="none"/>
    </w:rPr>
  </w:style>
  <w:style w:type="paragraph" w:styleId="TOCHeading">
    <w:name w:val="TOC Heading"/>
    <w:basedOn w:val="Heading1"/>
    <w:next w:val="Normal"/>
    <w:uiPriority w:val="39"/>
    <w:semiHidden/>
    <w:unhideWhenUsed/>
    <w:qFormat/>
    <w:rsid w:val="00DA357C"/>
    <w:pPr>
      <w:spacing w:before="480" w:after="0" w:line="276" w:lineRule="auto"/>
      <w:outlineLvl w:val="9"/>
    </w:pPr>
    <w:rPr>
      <w:rFonts w:asciiTheme="majorHAnsi" w:hAnsiTheme="majorHAnsi"/>
      <w:color w:val="2F5496" w:themeColor="accent1" w:themeShade="BF"/>
      <w:lang w:val="en-US" w:eastAsia="ja-JP"/>
    </w:rPr>
  </w:style>
  <w:style w:type="paragraph" w:styleId="TOC1">
    <w:name w:val="toc 1"/>
    <w:basedOn w:val="Normal"/>
    <w:next w:val="Normal"/>
    <w:autoRedefine/>
    <w:uiPriority w:val="39"/>
    <w:unhideWhenUsed/>
    <w:qFormat/>
    <w:rsid w:val="00DA357C"/>
    <w:pPr>
      <w:spacing w:after="100"/>
    </w:pPr>
  </w:style>
  <w:style w:type="paragraph" w:styleId="TOC2">
    <w:name w:val="toc 2"/>
    <w:basedOn w:val="Normal"/>
    <w:next w:val="Normal"/>
    <w:autoRedefine/>
    <w:uiPriority w:val="39"/>
    <w:unhideWhenUsed/>
    <w:qFormat/>
    <w:rsid w:val="00DA357C"/>
    <w:pPr>
      <w:spacing w:after="100"/>
      <w:ind w:left="220"/>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DA357C"/>
    <w:pPr>
      <w:spacing w:after="100"/>
      <w:ind w:left="440"/>
    </w:pPr>
    <w:rPr>
      <w:rFonts w:asciiTheme="minorHAnsi" w:eastAsiaTheme="minorEastAsia" w:hAnsiTheme="minorHAnsi" w:cstheme="minorBidi"/>
      <w:sz w:val="22"/>
      <w:szCs w:val="22"/>
      <w:lang w:val="en-US" w:eastAsia="ja-JP"/>
    </w:rPr>
  </w:style>
  <w:style w:type="paragraph" w:styleId="TableofFigures">
    <w:name w:val="table of figures"/>
    <w:basedOn w:val="Normal"/>
    <w:next w:val="Normal"/>
    <w:uiPriority w:val="99"/>
    <w:unhideWhenUsed/>
    <w:rsid w:val="00DA357C"/>
  </w:style>
  <w:style w:type="paragraph" w:styleId="Revision">
    <w:name w:val="Revision"/>
    <w:hidden/>
    <w:uiPriority w:val="99"/>
    <w:semiHidden/>
    <w:rsid w:val="00DA357C"/>
    <w:pPr>
      <w:spacing w:after="0" w:line="240" w:lineRule="auto"/>
    </w:pPr>
    <w:rPr>
      <w:rFonts w:ascii="Times New Roman" w:eastAsiaTheme="minorHAnsi" w:hAnsi="Times New Roman" w:cs="Arial"/>
      <w:kern w:val="0"/>
      <w:sz w:val="24"/>
      <w:szCs w:val="20"/>
      <w:lang w:val="en-GB" w:eastAsia="en-US"/>
      <w14:ligatures w14:val="none"/>
    </w:rPr>
  </w:style>
  <w:style w:type="paragraph" w:styleId="NormalWeb">
    <w:name w:val="Normal (Web)"/>
    <w:basedOn w:val="Normal"/>
    <w:uiPriority w:val="99"/>
    <w:semiHidden/>
    <w:unhideWhenUsed/>
    <w:rsid w:val="00DA357C"/>
    <w:pPr>
      <w:spacing w:before="100" w:beforeAutospacing="1" w:after="100" w:afterAutospacing="1"/>
    </w:pPr>
    <w:rPr>
      <w:rFonts w:eastAsia="Times New Roman" w:cs="Times New Roman"/>
      <w:szCs w:val="24"/>
      <w:lang w:eastAsia="en-GB"/>
    </w:rPr>
  </w:style>
  <w:style w:type="character" w:customStyle="1" w:styleId="activity">
    <w:name w:val="activity"/>
    <w:basedOn w:val="DefaultParagraphFont"/>
    <w:rsid w:val="00DA357C"/>
  </w:style>
  <w:style w:type="character" w:customStyle="1" w:styleId="apple-converted-space">
    <w:name w:val="apple-converted-space"/>
    <w:basedOn w:val="DefaultParagraphFont"/>
    <w:rsid w:val="00DA357C"/>
  </w:style>
  <w:style w:type="character" w:customStyle="1" w:styleId="note">
    <w:name w:val="note"/>
    <w:basedOn w:val="DefaultParagraphFont"/>
    <w:rsid w:val="00DA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userpage.fu-berlin.de/~health/faq_gse.pdf" TargetMode="External"/><Relationship Id="rId2" Type="http://schemas.openxmlformats.org/officeDocument/2006/relationships/hyperlink" Target="http://www.wwnorton.com/college/psych/psychsci/media/rosenberg.htm" TargetMode="External"/><Relationship Id="rId1" Type="http://schemas.openxmlformats.org/officeDocument/2006/relationships/hyperlink" Target="http://www.parqol.com/page.cfm?id=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69E5-8DBB-458D-96E0-94B5D336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Lin</dc:creator>
  <cp:keywords/>
  <dc:description/>
  <cp:lastModifiedBy>Y Lin</cp:lastModifiedBy>
  <cp:revision>3</cp:revision>
  <dcterms:created xsi:type="dcterms:W3CDTF">2024-09-19T19:19:00Z</dcterms:created>
  <dcterms:modified xsi:type="dcterms:W3CDTF">2024-09-19T19:19:00Z</dcterms:modified>
</cp:coreProperties>
</file>