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15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Name: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YASH JAIN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Enrollment N</w:t>
      </w:r>
      <w:r>
        <w:rPr>
          <w:rFonts w:hint="default"/>
          <w:b/>
          <w:bCs/>
          <w:sz w:val="28"/>
          <w:szCs w:val="28"/>
          <w:lang w:val="en-US"/>
        </w:rPr>
        <w:t xml:space="preserve">o: </w:t>
      </w:r>
      <w:r>
        <w:rPr>
          <w:rFonts w:hint="default"/>
          <w:b w:val="0"/>
          <w:bCs w:val="0"/>
          <w:sz w:val="28"/>
          <w:szCs w:val="28"/>
          <w:lang w:val="en-US"/>
        </w:rPr>
        <w:t>03914788818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Semester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  <w:r>
        <w:rPr>
          <w:rFonts w:hint="default"/>
          <w:b w:val="0"/>
          <w:bCs w:val="0"/>
          <w:sz w:val="28"/>
          <w:szCs w:val="28"/>
          <w:lang w:val="en-US"/>
        </w:rPr>
        <w:t>B.COM(H) 5</w:t>
      </w:r>
      <w:r>
        <w:rPr>
          <w:rFonts w:hint="default"/>
          <w:b w:val="0"/>
          <w:bCs w:val="0"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Semester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Class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  <w:r>
        <w:rPr>
          <w:rFonts w:hint="default"/>
          <w:b w:val="0"/>
          <w:bCs w:val="0"/>
          <w:sz w:val="28"/>
          <w:szCs w:val="28"/>
          <w:lang w:val="en-US"/>
        </w:rPr>
        <w:t>B.COM(H)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Section: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B.Com 5A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Date of Submission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11</w:t>
      </w:r>
      <w:r>
        <w:rPr>
          <w:rFonts w:hint="default"/>
          <w:b w:val="0"/>
          <w:bCs w:val="0"/>
          <w:sz w:val="28"/>
          <w:szCs w:val="28"/>
          <w:lang w:val="en-US"/>
        </w:rPr>
        <w:t>/10/2021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  <w:lang w:val="en-US"/>
        </w:rPr>
        <w:t xml:space="preserve"> </w:t>
      </w:r>
      <w:r>
        <w:rPr>
          <w:rFonts w:hint="default"/>
          <w:spacing w:val="-2"/>
        </w:rPr>
        <w:t>15</w:t>
      </w:r>
    </w:p>
    <w:p>
      <w:pPr>
        <w:pStyle w:val="2"/>
        <w:ind w:left="0" w:leftChars="0" w:right="95" w:rightChars="43" w:hanging="5" w:firstLineChars="0"/>
        <w:jc w:val="center"/>
      </w:pPr>
      <w:r>
        <w:t xml:space="preserve">Unit No: 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rFonts w:hint="default"/>
          <w:position w:val="1"/>
          <w:sz w:val="18"/>
          <w:szCs w:val="18"/>
          <w:lang w:val="en-US"/>
        </w:rPr>
        <w:t xml:space="preserve">                                   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rFonts w:hint="default"/>
          <w:sz w:val="20"/>
          <w:szCs w:val="20"/>
          <w:lang w:val="en-US"/>
        </w:rPr>
        <w:t xml:space="preserve">                                                                         </w:t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n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Return the number of non-null values for salary column in the client_master table.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ind w:left="212"/>
              <w:jc w:val="both"/>
              <w:rPr>
                <w:rFonts w:hint="default" w:ascii="Times New Roman"/>
                <w:b/>
              </w:rPr>
            </w:pPr>
            <w:r>
              <w:rPr>
                <w:rFonts w:ascii="Times New Roman"/>
                <w:b/>
              </w:rPr>
              <w:t>CO1</w:t>
            </w:r>
            <w:r>
              <w:rPr>
                <w:rFonts w:hint="default" w:ascii="Times New Roman"/>
                <w:b/>
              </w:rPr>
              <w:t>, CO2, CO3, CO4</w:t>
            </w: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  <w:lang w:val="en-US"/>
              </w:rPr>
              <w:t>Show the total number of records in client_master table.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3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  <w:lang w:val="en-US"/>
              </w:rPr>
              <w:t>Show the distinct state number in client_master table.</w:t>
            </w:r>
          </w:p>
          <w:p>
            <w:pPr>
              <w:pStyle w:val="11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Cs/>
                <w:sz w:val="10"/>
                <w:szCs w:val="10"/>
              </w:rPr>
            </w:pP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4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  <w:lang w:val="en-US"/>
              </w:rPr>
              <w:t>Show the total balance due in client_master table.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5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  <w:lang w:val="en-US"/>
              </w:rPr>
              <w:t>Show the average salary of client_master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6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  <w:lang w:val="en-US"/>
              </w:rPr>
              <w:t>Show the minimum salary of client_master.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  <w:lang w:val="en-US"/>
              </w:rPr>
            </w:pPr>
            <w:r>
              <w:rPr>
                <w:rFonts w:hint="default" w:ascii="Times New Roman"/>
                <w:lang w:val="en-US"/>
              </w:rPr>
              <w:t>7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="Times New Roman" w:hAnsi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  <w:lang w:val="en-US"/>
              </w:rPr>
              <w:t>Show the maximum balance of client_master.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</w:tbl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ASSIGNMENT 15 - AGGREGATE FUNCTIONS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0"/>
          <w:szCs w:val="16"/>
          <w:lang w:val="en-US"/>
        </w:rPr>
      </w:pPr>
      <w:r>
        <w:rPr>
          <w:b/>
          <w:bCs/>
          <w:sz w:val="24"/>
          <w:szCs w:val="24"/>
        </w:rPr>
        <w:t xml:space="preserve">Task 1 : </w:t>
      </w:r>
      <w:r>
        <w:rPr>
          <w:rFonts w:hint="default"/>
          <w:b/>
          <w:bCs/>
          <w:sz w:val="24"/>
          <w:szCs w:val="24"/>
        </w:rPr>
        <w:t>Return the number of non-null values for salary column in the client_master table.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 xml:space="preserve">This task can be completed using the </w:t>
      </w:r>
      <w:r>
        <w:rPr>
          <w:rFonts w:hint="default" w:cs="Times New Roman"/>
          <w:b/>
          <w:bCs/>
          <w:sz w:val="24"/>
          <w:szCs w:val="24"/>
        </w:rPr>
        <w:t>COUNT()</w:t>
      </w:r>
      <w:r>
        <w:rPr>
          <w:rFonts w:hint="default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aggregate function</w:t>
      </w:r>
      <w:r>
        <w:rPr>
          <w:rFonts w:hint="default" w:cs="Times New Roman"/>
          <w:b w:val="0"/>
          <w:bCs w:val="0"/>
          <w:sz w:val="24"/>
          <w:szCs w:val="24"/>
          <w:lang w:val="en-US"/>
        </w:rPr>
        <w:t xml:space="preserve">. </w:t>
      </w:r>
      <w:r>
        <w:rPr>
          <w:rFonts w:hint="default" w:cs="Times New Roman"/>
          <w:b w:val="0"/>
          <w:bCs w:val="0"/>
          <w:sz w:val="24"/>
          <w:szCs w:val="24"/>
        </w:rPr>
        <w:t>An aggregate function</w:t>
      </w:r>
      <w:r>
        <w:rPr>
          <w:rFonts w:hint="default" w:cs="Times New Roman"/>
          <w:b w:val="0"/>
          <w:bCs w:val="0"/>
          <w:sz w:val="24"/>
          <w:szCs w:val="24"/>
          <w:lang w:val="en-US"/>
        </w:rPr>
        <w:t xml:space="preserve"> is a function where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 w:val="0"/>
          <w:bCs w:val="0"/>
          <w:sz w:val="24"/>
          <w:szCs w:val="24"/>
          <w:lang w:val="en-US"/>
        </w:rPr>
        <w:t>values of multiple rows are grouped together as input on certain criteria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 w:val="0"/>
          <w:bCs w:val="0"/>
          <w:sz w:val="24"/>
          <w:szCs w:val="24"/>
          <w:lang w:val="en-US"/>
        </w:rPr>
        <w:t>to form single value of more significant meaning.</w:t>
      </w:r>
      <w:r>
        <w:rPr>
          <w:rFonts w:hint="default" w:cs="Times New Roman"/>
          <w:b w:val="0"/>
          <w:bCs w:val="0"/>
          <w:sz w:val="24"/>
          <w:szCs w:val="24"/>
        </w:rPr>
        <w:t xml:space="preserve"> Count() returns the number of rows where expression is not null. The syntax is - 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Select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count(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[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distinct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] [&lt;all&gt;] &lt;exp&gt;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)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from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&lt;tablename&gt;;</w:t>
      </w:r>
    </w:p>
    <w:p>
      <w:pPr>
        <w:jc w:val="left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5920740" cy="2757805"/>
            <wp:effectExtent l="0" t="0" r="3810" b="4445"/>
            <wp:docPr id="2" name="Picture 2" descr="Ass 15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 15 Q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Task 2: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Show the total number of records in client_master table.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>COUNT(*) aggregate function</w:t>
      </w:r>
      <w:r>
        <w:rPr>
          <w:rFonts w:hint="default"/>
          <w:b w:val="0"/>
          <w:bCs w:val="0"/>
          <w:sz w:val="24"/>
          <w:szCs w:val="24"/>
          <w:lang w:eastAsia="en-US"/>
        </w:rPr>
        <w:t>. It returns the number of rows in the table, including duplicates and rows with null values.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581650" cy="2630805"/>
            <wp:effectExtent l="0" t="0" r="0" b="17145"/>
            <wp:docPr id="4" name="Picture 4" descr="Ass 15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 15 Q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val="en-US"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 xml:space="preserve">Task 3: </w:t>
      </w:r>
      <w:r>
        <w:rPr>
          <w:rFonts w:hint="default"/>
          <w:b/>
          <w:bCs/>
          <w:sz w:val="24"/>
          <w:szCs w:val="24"/>
          <w:lang w:val="en-US" w:eastAsia="en-US"/>
        </w:rPr>
        <w:t>Show the distinct state number in client_master table.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 xml:space="preserve">This task can be completed using the </w:t>
      </w:r>
      <w:r>
        <w:rPr>
          <w:rFonts w:hint="default" w:cs="Times New Roman"/>
          <w:b/>
          <w:bCs/>
          <w:sz w:val="24"/>
          <w:szCs w:val="24"/>
        </w:rPr>
        <w:t>COUNT()</w:t>
      </w:r>
      <w:r>
        <w:rPr>
          <w:rFonts w:hint="default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aggregate function</w:t>
      </w:r>
      <w:r>
        <w:rPr>
          <w:rFonts w:hint="default" w:cs="Times New Roman"/>
          <w:b w:val="0"/>
          <w:bCs w:val="0"/>
          <w:sz w:val="24"/>
          <w:szCs w:val="24"/>
        </w:rPr>
        <w:t xml:space="preserve">, along with the </w:t>
      </w:r>
      <w:r>
        <w:rPr>
          <w:rFonts w:hint="default" w:cs="Times New Roman"/>
          <w:b/>
          <w:bCs/>
          <w:sz w:val="24"/>
          <w:szCs w:val="24"/>
        </w:rPr>
        <w:t xml:space="preserve">Distinct </w:t>
      </w:r>
      <w:r>
        <w:rPr>
          <w:rFonts w:hint="default" w:cs="Times New Roman"/>
          <w:b w:val="0"/>
          <w:bCs w:val="0"/>
          <w:sz w:val="24"/>
          <w:szCs w:val="24"/>
        </w:rPr>
        <w:t>clause.</w:t>
      </w:r>
    </w:p>
    <w:p>
      <w:pPr>
        <w:jc w:val="both"/>
        <w:rPr>
          <w:rFonts w:hint="default" w:cs="Times New Roman"/>
          <w:b w:val="0"/>
          <w:bCs w:val="0"/>
          <w:sz w:val="24"/>
          <w:szCs w:val="24"/>
          <w:lang w:eastAsia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ab/>
      </w: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90590" cy="3276600"/>
            <wp:effectExtent l="0" t="0" r="10160" b="0"/>
            <wp:docPr id="5" name="Picture 5" descr="Ass 15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s 15 Q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 xml:space="preserve">Task 4: </w:t>
      </w:r>
      <w:r>
        <w:rPr>
          <w:rFonts w:hint="default"/>
          <w:b/>
          <w:bCs/>
          <w:sz w:val="24"/>
          <w:szCs w:val="24"/>
          <w:lang w:val="en-US" w:eastAsia="en-US"/>
        </w:rPr>
        <w:t>Show the total balance due in client_master table.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 xml:space="preserve">This task can be completed using the </w:t>
      </w:r>
      <w:r>
        <w:rPr>
          <w:rFonts w:hint="default" w:cs="Times New Roman"/>
          <w:b/>
          <w:bCs/>
          <w:sz w:val="24"/>
          <w:szCs w:val="24"/>
        </w:rPr>
        <w:t>SUM()</w:t>
      </w:r>
      <w:r>
        <w:rPr>
          <w:rFonts w:hint="default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aggregate function</w:t>
      </w:r>
      <w:r>
        <w:rPr>
          <w:rFonts w:hint="default" w:cs="Times New Roman"/>
          <w:b w:val="0"/>
          <w:bCs w:val="0"/>
          <w:sz w:val="24"/>
          <w:szCs w:val="24"/>
        </w:rPr>
        <w:t>. The sum() function returns the sum of ‘n’ values of an attribute in a table. The syn</w:t>
      </w:r>
      <w:r>
        <w:rPr>
          <w:rFonts w:hint="default" w:cs="Times New Roman"/>
          <w:b w:val="0"/>
          <w:bCs w:val="0"/>
          <w:sz w:val="24"/>
          <w:szCs w:val="24"/>
        </w:rPr>
        <w:t>ta</w:t>
      </w:r>
      <w:r>
        <w:rPr>
          <w:rFonts w:hint="default" w:cs="Times New Roman"/>
          <w:b w:val="0"/>
          <w:bCs w:val="0"/>
          <w:sz w:val="24"/>
          <w:szCs w:val="24"/>
        </w:rPr>
        <w:t xml:space="preserve">x for this is - </w:t>
      </w: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Select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sum(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[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distinct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] [&lt;all&gt;] &lt;n&gt;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)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from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&lt;tablename&gt;;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72810" cy="2845435"/>
            <wp:effectExtent l="0" t="0" r="8890" b="12065"/>
            <wp:docPr id="6" name="Picture 6" descr="Ass 15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ss 15 Q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4"/>
          <w:szCs w:val="24"/>
          <w:lang w:eastAsia="en-US"/>
        </w:rPr>
        <w:t xml:space="preserve">Task 5: </w:t>
      </w:r>
      <w:r>
        <w:rPr>
          <w:rFonts w:hint="default"/>
          <w:b/>
          <w:bCs/>
          <w:sz w:val="24"/>
          <w:szCs w:val="24"/>
          <w:lang w:val="en-US" w:eastAsia="en-US"/>
        </w:rPr>
        <w:t>Show the average salary of client_master</w:t>
      </w:r>
      <w:r>
        <w:rPr>
          <w:rFonts w:hint="default"/>
          <w:b/>
          <w:bCs/>
          <w:sz w:val="24"/>
          <w:szCs w:val="24"/>
          <w:lang w:eastAsia="en-US"/>
        </w:rPr>
        <w:t>.</w:t>
      </w:r>
    </w:p>
    <w:p>
      <w:pPr>
        <w:jc w:val="both"/>
        <w:rPr>
          <w:rFonts w:hint="default"/>
          <w:b/>
          <w:bCs/>
          <w:sz w:val="24"/>
          <w:szCs w:val="24"/>
          <w:lang w:val="en-US" w:eastAsia="en-US"/>
        </w:rPr>
      </w:pP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 xml:space="preserve">This task can be completed using the </w:t>
      </w:r>
      <w:r>
        <w:rPr>
          <w:rFonts w:hint="default" w:cs="Times New Roman"/>
          <w:b/>
          <w:bCs/>
          <w:sz w:val="24"/>
          <w:szCs w:val="24"/>
        </w:rPr>
        <w:t>AVG()</w:t>
      </w:r>
      <w:r>
        <w:rPr>
          <w:rFonts w:hint="default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aggregate function</w:t>
      </w:r>
      <w:r>
        <w:rPr>
          <w:rFonts w:hint="default" w:cs="Times New Roman"/>
          <w:b w:val="0"/>
          <w:bCs w:val="0"/>
          <w:sz w:val="24"/>
          <w:szCs w:val="24"/>
        </w:rPr>
        <w:t xml:space="preserve">. The avg() function returns the average of ‘n’ values of an attribute in a table. The </w:t>
      </w:r>
      <w:r>
        <w:rPr>
          <w:rFonts w:hint="default" w:cs="Times New Roman"/>
          <w:b w:val="0"/>
          <w:bCs w:val="0"/>
          <w:sz w:val="24"/>
          <w:szCs w:val="24"/>
        </w:rPr>
        <w:t>syntax</w:t>
      </w:r>
      <w:r>
        <w:rPr>
          <w:rFonts w:hint="default" w:cs="Times New Roman"/>
          <w:b w:val="0"/>
          <w:bCs w:val="0"/>
          <w:sz w:val="24"/>
          <w:szCs w:val="24"/>
        </w:rPr>
        <w:t xml:space="preserve"> for this is - </w:t>
      </w: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Select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avg(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[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distinct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] [&lt;all&gt;] &lt;n&gt;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)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from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&lt;tablename&gt;;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drawing>
          <wp:inline distT="0" distB="0" distL="114300" distR="114300">
            <wp:extent cx="5923280" cy="2860040"/>
            <wp:effectExtent l="0" t="0" r="1270" b="16510"/>
            <wp:docPr id="8" name="Picture 8" descr="Ass 15 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ss 15 Q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 xml:space="preserve">Task 6: </w:t>
      </w:r>
      <w:r>
        <w:rPr>
          <w:rFonts w:hint="default"/>
          <w:b/>
          <w:bCs/>
          <w:sz w:val="24"/>
          <w:szCs w:val="24"/>
          <w:lang w:val="en-US" w:eastAsia="en-US"/>
        </w:rPr>
        <w:t>Show the minimum salary of client_master.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 xml:space="preserve">This task can be completed using the </w:t>
      </w:r>
      <w:r>
        <w:rPr>
          <w:rFonts w:hint="default" w:cs="Times New Roman"/>
          <w:b/>
          <w:bCs/>
          <w:sz w:val="24"/>
          <w:szCs w:val="24"/>
        </w:rPr>
        <w:t>MIN()</w:t>
      </w:r>
      <w:r>
        <w:rPr>
          <w:rFonts w:hint="default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aggregate function</w:t>
      </w:r>
      <w:r>
        <w:rPr>
          <w:rFonts w:hint="default" w:cs="Times New Roman"/>
          <w:b w:val="0"/>
          <w:bCs w:val="0"/>
          <w:sz w:val="24"/>
          <w:szCs w:val="24"/>
        </w:rPr>
        <w:t xml:space="preserve">. The min() function returns the minimum of ‘n’ values of an attribute in a table. The </w:t>
      </w:r>
      <w:r>
        <w:rPr>
          <w:rFonts w:hint="default" w:cs="Times New Roman"/>
          <w:b w:val="0"/>
          <w:bCs w:val="0"/>
          <w:sz w:val="24"/>
          <w:szCs w:val="24"/>
        </w:rPr>
        <w:t>syntax</w:t>
      </w:r>
      <w:r>
        <w:rPr>
          <w:rFonts w:hint="default" w:cs="Times New Roman"/>
          <w:b w:val="0"/>
          <w:bCs w:val="0"/>
          <w:sz w:val="24"/>
          <w:szCs w:val="24"/>
        </w:rPr>
        <w:t xml:space="preserve"> for this is - </w:t>
      </w: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Select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min(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[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distinct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] [&lt;all&gt;] &lt;n&gt;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)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from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&lt;tablename&gt;;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68365" cy="2901315"/>
            <wp:effectExtent l="0" t="0" r="13335" b="13335"/>
            <wp:docPr id="9" name="Picture 9" descr="Ass 15 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ss 15 Q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 xml:space="preserve">Task </w:t>
      </w:r>
      <w:r>
        <w:rPr>
          <w:rFonts w:hint="default"/>
          <w:b/>
          <w:bCs/>
          <w:sz w:val="24"/>
          <w:szCs w:val="24"/>
          <w:lang w:val="en-US" w:eastAsia="en-US"/>
        </w:rPr>
        <w:t>7</w:t>
      </w:r>
      <w:r>
        <w:rPr>
          <w:rFonts w:hint="default"/>
          <w:b/>
          <w:bCs/>
          <w:sz w:val="24"/>
          <w:szCs w:val="24"/>
          <w:lang w:eastAsia="en-US"/>
        </w:rPr>
        <w:t xml:space="preserve">: </w:t>
      </w:r>
      <w:r>
        <w:rPr>
          <w:rFonts w:hint="default"/>
          <w:b/>
          <w:bCs/>
          <w:sz w:val="24"/>
          <w:szCs w:val="24"/>
          <w:lang w:val="en-US" w:eastAsia="en-US"/>
        </w:rPr>
        <w:t>Show the maximum balance of client_master</w:t>
      </w:r>
      <w:r>
        <w:rPr>
          <w:rFonts w:hint="default"/>
          <w:b/>
          <w:bCs/>
          <w:sz w:val="24"/>
          <w:szCs w:val="24"/>
          <w:lang w:eastAsia="en-US"/>
        </w:rPr>
        <w:t>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 xml:space="preserve">This task can be completed using the </w:t>
      </w:r>
      <w:r>
        <w:rPr>
          <w:rFonts w:hint="default" w:cs="Times New Roman"/>
          <w:b/>
          <w:bCs/>
          <w:sz w:val="24"/>
          <w:szCs w:val="24"/>
        </w:rPr>
        <w:t>MAX()</w:t>
      </w:r>
      <w:r>
        <w:rPr>
          <w:rFonts w:hint="default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cs="Times New Roman"/>
          <w:b/>
          <w:bCs/>
          <w:sz w:val="24"/>
          <w:szCs w:val="24"/>
        </w:rPr>
        <w:t>aggregate function</w:t>
      </w:r>
      <w:r>
        <w:rPr>
          <w:rFonts w:hint="default" w:cs="Times New Roman"/>
          <w:b w:val="0"/>
          <w:bCs w:val="0"/>
          <w:sz w:val="24"/>
          <w:szCs w:val="24"/>
        </w:rPr>
        <w:t xml:space="preserve">. The max() function returns the maximum of ‘n’ values of an attribute in a table. The </w:t>
      </w:r>
      <w:r>
        <w:rPr>
          <w:rFonts w:hint="default" w:cs="Times New Roman"/>
          <w:b w:val="0"/>
          <w:bCs w:val="0"/>
          <w:sz w:val="24"/>
          <w:szCs w:val="24"/>
        </w:rPr>
        <w:t>syntax</w:t>
      </w:r>
      <w:r>
        <w:rPr>
          <w:rFonts w:hint="default" w:cs="Times New Roman"/>
          <w:b w:val="0"/>
          <w:bCs w:val="0"/>
          <w:sz w:val="24"/>
          <w:szCs w:val="24"/>
        </w:rPr>
        <w:t xml:space="preserve"> for this is - </w:t>
      </w:r>
    </w:p>
    <w:p>
      <w:pPr>
        <w:jc w:val="both"/>
        <w:rPr>
          <w:rFonts w:hint="default" w:cs="Times New Roman"/>
          <w:b w:val="0"/>
          <w:bCs w:val="0"/>
          <w:sz w:val="24"/>
          <w:szCs w:val="24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Select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min(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[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distinct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>] [&lt;all&gt;] &lt;n&gt;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)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color w:val="0000FF"/>
          <w:sz w:val="24"/>
          <w:szCs w:val="24"/>
        </w:rPr>
        <w:t>from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&lt;tablename&gt;;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79795" cy="2722245"/>
            <wp:effectExtent l="0" t="0" r="1905" b="1905"/>
            <wp:docPr id="10" name="Picture 10" descr="Ass 15 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ss 15 Q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t>YASH JAIN</w:t>
    </w:r>
    <w:r>
      <w:tab/>
    </w:r>
    <w:r>
      <w:t xml:space="preserve">                                                                                                                   </w:t>
    </w:r>
    <w:r>
      <w:rPr>
        <w:rFonts w:hint="default"/>
      </w:rPr>
      <w:t xml:space="preserve">               </w:t>
    </w:r>
    <w:r>
      <w:t>BCOM 307</w:t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059A54DE"/>
    <w:rsid w:val="06666B21"/>
    <w:rsid w:val="08451B47"/>
    <w:rsid w:val="089675CD"/>
    <w:rsid w:val="0D7D1162"/>
    <w:rsid w:val="15F57F9E"/>
    <w:rsid w:val="17601A9F"/>
    <w:rsid w:val="1B7F7997"/>
    <w:rsid w:val="1BFF7B54"/>
    <w:rsid w:val="1EAF249B"/>
    <w:rsid w:val="1FEAC432"/>
    <w:rsid w:val="237F9E64"/>
    <w:rsid w:val="23F03AD7"/>
    <w:rsid w:val="251F7973"/>
    <w:rsid w:val="2DDDF323"/>
    <w:rsid w:val="2E38780A"/>
    <w:rsid w:val="2FEFB861"/>
    <w:rsid w:val="34B074D2"/>
    <w:rsid w:val="3757DF4B"/>
    <w:rsid w:val="37AE37CE"/>
    <w:rsid w:val="37AF2DFE"/>
    <w:rsid w:val="3977ED51"/>
    <w:rsid w:val="3B7DE48F"/>
    <w:rsid w:val="3B8D142C"/>
    <w:rsid w:val="3E7FAAA0"/>
    <w:rsid w:val="3EFFA5DC"/>
    <w:rsid w:val="3F0013BC"/>
    <w:rsid w:val="3FE8192C"/>
    <w:rsid w:val="3FFE1C0E"/>
    <w:rsid w:val="417B6AFA"/>
    <w:rsid w:val="43DDE67D"/>
    <w:rsid w:val="43E7D33F"/>
    <w:rsid w:val="44AE741D"/>
    <w:rsid w:val="46E87D6E"/>
    <w:rsid w:val="477E4E7A"/>
    <w:rsid w:val="4BDAD15B"/>
    <w:rsid w:val="4DEFA58A"/>
    <w:rsid w:val="4F965400"/>
    <w:rsid w:val="4FFEC0D4"/>
    <w:rsid w:val="52D13C42"/>
    <w:rsid w:val="52F2522C"/>
    <w:rsid w:val="55FFDF31"/>
    <w:rsid w:val="57F92CD6"/>
    <w:rsid w:val="5DDD1620"/>
    <w:rsid w:val="5DFD19FE"/>
    <w:rsid w:val="5F7FA45A"/>
    <w:rsid w:val="5FFE2003"/>
    <w:rsid w:val="63EE2A7D"/>
    <w:rsid w:val="64A501A0"/>
    <w:rsid w:val="688301DC"/>
    <w:rsid w:val="6BFF1148"/>
    <w:rsid w:val="6C73095E"/>
    <w:rsid w:val="6F1F43E2"/>
    <w:rsid w:val="6F97A5B9"/>
    <w:rsid w:val="6FDF16EB"/>
    <w:rsid w:val="6FDF72CE"/>
    <w:rsid w:val="6FEEC047"/>
    <w:rsid w:val="70BC5265"/>
    <w:rsid w:val="7337F470"/>
    <w:rsid w:val="735FD120"/>
    <w:rsid w:val="737E17FA"/>
    <w:rsid w:val="772828BF"/>
    <w:rsid w:val="77F7F1BA"/>
    <w:rsid w:val="77FD9CF0"/>
    <w:rsid w:val="797DBBD2"/>
    <w:rsid w:val="797F3804"/>
    <w:rsid w:val="7B7F74E7"/>
    <w:rsid w:val="7BB681F3"/>
    <w:rsid w:val="7BFF63D6"/>
    <w:rsid w:val="7BFF9C31"/>
    <w:rsid w:val="7C6989A7"/>
    <w:rsid w:val="7CFE0F31"/>
    <w:rsid w:val="7CFF18D8"/>
    <w:rsid w:val="7D310976"/>
    <w:rsid w:val="7D656F12"/>
    <w:rsid w:val="7E173038"/>
    <w:rsid w:val="7EFD0415"/>
    <w:rsid w:val="7EFEC88A"/>
    <w:rsid w:val="7F3F3E31"/>
    <w:rsid w:val="7F47DD5E"/>
    <w:rsid w:val="7F57E658"/>
    <w:rsid w:val="7FB7C5E0"/>
    <w:rsid w:val="7FBF4196"/>
    <w:rsid w:val="7FDF0550"/>
    <w:rsid w:val="7FEAD771"/>
    <w:rsid w:val="7FEF5B21"/>
    <w:rsid w:val="7FF307E3"/>
    <w:rsid w:val="86FB80CF"/>
    <w:rsid w:val="897D26BF"/>
    <w:rsid w:val="8BFF47A7"/>
    <w:rsid w:val="8F7E8221"/>
    <w:rsid w:val="97FFE7B5"/>
    <w:rsid w:val="9E7EB4DF"/>
    <w:rsid w:val="9ED61A6D"/>
    <w:rsid w:val="9F3F75D8"/>
    <w:rsid w:val="9F774607"/>
    <w:rsid w:val="AB232B53"/>
    <w:rsid w:val="AEFF26F0"/>
    <w:rsid w:val="B51D3CE5"/>
    <w:rsid w:val="BBBF97EE"/>
    <w:rsid w:val="BD9B863F"/>
    <w:rsid w:val="BFB85C4C"/>
    <w:rsid w:val="BFF6C6F7"/>
    <w:rsid w:val="BFFB2A85"/>
    <w:rsid w:val="BFFE3501"/>
    <w:rsid w:val="C5FF2FD9"/>
    <w:rsid w:val="C7DD46DA"/>
    <w:rsid w:val="CE6D2F95"/>
    <w:rsid w:val="CFFB58E3"/>
    <w:rsid w:val="D61B910D"/>
    <w:rsid w:val="D69BA458"/>
    <w:rsid w:val="DAD8D860"/>
    <w:rsid w:val="DBF73376"/>
    <w:rsid w:val="DBFFE379"/>
    <w:rsid w:val="DE21BF5C"/>
    <w:rsid w:val="DFE7DAF2"/>
    <w:rsid w:val="E33362F0"/>
    <w:rsid w:val="E3FDCB2D"/>
    <w:rsid w:val="E5FF8E2D"/>
    <w:rsid w:val="E7F1BBBD"/>
    <w:rsid w:val="EBC70298"/>
    <w:rsid w:val="ECF6F4DF"/>
    <w:rsid w:val="ED7F93FB"/>
    <w:rsid w:val="EE7B67E1"/>
    <w:rsid w:val="EEF391C7"/>
    <w:rsid w:val="EF2FAFB4"/>
    <w:rsid w:val="EF3F7FB7"/>
    <w:rsid w:val="EF3FB0A6"/>
    <w:rsid w:val="EFED4747"/>
    <w:rsid w:val="F0B94476"/>
    <w:rsid w:val="F1FFF58F"/>
    <w:rsid w:val="F3F70D6D"/>
    <w:rsid w:val="F6FF5088"/>
    <w:rsid w:val="F7E32404"/>
    <w:rsid w:val="F7F361FC"/>
    <w:rsid w:val="F7FC654B"/>
    <w:rsid w:val="FD7FAF7D"/>
    <w:rsid w:val="FDFF6ACD"/>
    <w:rsid w:val="FF2D7975"/>
    <w:rsid w:val="FF8E60DA"/>
    <w:rsid w:val="FFD7773E"/>
    <w:rsid w:val="FFDB7329"/>
    <w:rsid w:val="FFDB78D4"/>
    <w:rsid w:val="FFEB1CB9"/>
    <w:rsid w:val="FFEE7DF1"/>
    <w:rsid w:val="FFFA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591</Words>
  <Characters>3421</Characters>
  <Lines>28</Lines>
  <Paragraphs>8</Paragraphs>
  <TotalTime>8</TotalTime>
  <ScaleCrop>false</ScaleCrop>
  <LinksUpToDate>false</LinksUpToDate>
  <CharactersWithSpaces>4066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2021-09-09T00:54:00Z</dcterms:created>
  <dc:creator>jains</dc:creator>
  <cp:lastModifiedBy>jains</cp:lastModifiedBy>
  <cp:lastPrinted>2021-09-09T02:32:00Z</cp:lastPrinted>
  <dcterms:modified xsi:type="dcterms:W3CDTF">2021-10-11T13:07:07Z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5D2B669A09694999B989F424E31817AC</vt:lpwstr>
  </property>
</Properties>
</file>