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94C5" w14:textId="7303A86A" w:rsidR="003F3BE8" w:rsidRDefault="00BB4F81">
      <w:pPr>
        <w:rPr>
          <w:rStyle w:val="style-scope"/>
          <w:lang w:val="en-US"/>
        </w:rPr>
      </w:pPr>
      <w:r>
        <w:rPr>
          <w:rStyle w:val="style-scope"/>
          <w:lang w:val="en-US"/>
        </w:rPr>
        <w:t>Key=128 bits =&gt; 10 Rounds</w:t>
      </w:r>
    </w:p>
    <w:p w14:paraId="1C2C4C0A" w14:textId="2CB0F239" w:rsidR="00BB4F81" w:rsidRDefault="00BB4F81">
      <w:pPr>
        <w:rPr>
          <w:rStyle w:val="style-scope"/>
          <w:lang w:val="en-US"/>
        </w:rPr>
      </w:pPr>
      <w:r>
        <w:rPr>
          <w:rStyle w:val="style-scope"/>
          <w:lang w:val="en-US"/>
        </w:rPr>
        <w:t>Cipher= 128 bits</w:t>
      </w:r>
    </w:p>
    <w:p w14:paraId="1B495179" w14:textId="78AD3438" w:rsidR="00BB4F81" w:rsidRDefault="00BB4F81" w:rsidP="00BB4F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Key Expansion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9"/>
        <w:gridCol w:w="4127"/>
      </w:tblGrid>
      <w:tr w:rsidR="00BB4F81" w14:paraId="799DC257" w14:textId="77777777" w:rsidTr="00BB4F81">
        <w:tc>
          <w:tcPr>
            <w:tcW w:w="4508" w:type="dxa"/>
          </w:tcPr>
          <w:p w14:paraId="5494D808" w14:textId="07DF1905" w:rsidR="00BB4F81" w:rsidRPr="00BB4F81" w:rsidRDefault="00BB4F81" w:rsidP="00BB4F81">
            <w:pPr>
              <w:autoSpaceDE w:val="0"/>
              <w:autoSpaceDN w:val="0"/>
              <w:adjustRightInd w:val="0"/>
              <w:rPr>
                <w:rFonts w:ascii="TimesTen-Roman" w:hAnsi="TimesTen-Roman" w:cs="TimesTen-Roman"/>
                <w:sz w:val="16"/>
                <w:szCs w:val="16"/>
              </w:rPr>
            </w:pPr>
            <w:r w:rsidRPr="00BB4F81">
              <w:rPr>
                <w:rFonts w:ascii="TimesTen-Bold" w:hAnsi="TimesTen-Bold" w:cs="TimesTen-Bold"/>
                <w:b/>
                <w:bCs/>
                <w:sz w:val="16"/>
                <w:szCs w:val="16"/>
              </w:rPr>
              <w:t>Key Size (words/bytes/bits)</w:t>
            </w:r>
          </w:p>
        </w:tc>
        <w:tc>
          <w:tcPr>
            <w:tcW w:w="4508" w:type="dxa"/>
          </w:tcPr>
          <w:p w14:paraId="6D308651" w14:textId="210B9262" w:rsidR="00BB4F81" w:rsidRDefault="00BB4F81" w:rsidP="00BB4F8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4/16/128</w:t>
            </w:r>
          </w:p>
        </w:tc>
      </w:tr>
      <w:tr w:rsidR="00BB4F81" w14:paraId="23347C25" w14:textId="77777777" w:rsidTr="00BB4F81">
        <w:tc>
          <w:tcPr>
            <w:tcW w:w="4508" w:type="dxa"/>
          </w:tcPr>
          <w:p w14:paraId="3435799E" w14:textId="7E5393EF" w:rsidR="00BB4F81" w:rsidRDefault="00BB4F81" w:rsidP="00BB4F81">
            <w:pPr>
              <w:pStyle w:val="ListParagraph"/>
              <w:ind w:left="0"/>
              <w:rPr>
                <w:lang w:val="en-US"/>
              </w:rPr>
            </w:pPr>
            <w:r w:rsidRPr="00BB4F81">
              <w:rPr>
                <w:rFonts w:ascii="TimesTen-Bold" w:hAnsi="TimesTen-Bold" w:cs="TimesTen-Bold"/>
                <w:b/>
                <w:bCs/>
                <w:sz w:val="16"/>
                <w:szCs w:val="16"/>
              </w:rPr>
              <w:t>Plaintext Block Size (words/bytes/bits)</w:t>
            </w:r>
          </w:p>
        </w:tc>
        <w:tc>
          <w:tcPr>
            <w:tcW w:w="4508" w:type="dxa"/>
          </w:tcPr>
          <w:p w14:paraId="02877F8A" w14:textId="7F8BDC07" w:rsidR="00BB4F81" w:rsidRDefault="00BB4F81" w:rsidP="00BB4F8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4/16/128</w:t>
            </w:r>
          </w:p>
        </w:tc>
      </w:tr>
      <w:tr w:rsidR="00BB4F81" w14:paraId="3924C408" w14:textId="77777777" w:rsidTr="00BB4F81">
        <w:tc>
          <w:tcPr>
            <w:tcW w:w="4508" w:type="dxa"/>
          </w:tcPr>
          <w:p w14:paraId="2F8B54F6" w14:textId="32C6BDBD" w:rsidR="00BB4F81" w:rsidRDefault="00BB4F81" w:rsidP="00BB4F81">
            <w:pPr>
              <w:pStyle w:val="ListParagraph"/>
              <w:ind w:left="0"/>
              <w:rPr>
                <w:lang w:val="en-US"/>
              </w:rPr>
            </w:pPr>
            <w:r w:rsidRPr="00BB4F81">
              <w:rPr>
                <w:rFonts w:ascii="TimesTen-Bold" w:hAnsi="TimesTen-Bold" w:cs="TimesTen-Bold"/>
                <w:b/>
                <w:bCs/>
                <w:sz w:val="16"/>
                <w:szCs w:val="16"/>
              </w:rPr>
              <w:t>Number of Rounds</w:t>
            </w:r>
          </w:p>
        </w:tc>
        <w:tc>
          <w:tcPr>
            <w:tcW w:w="4508" w:type="dxa"/>
          </w:tcPr>
          <w:p w14:paraId="0F4730B8" w14:textId="10613C76" w:rsidR="00BB4F81" w:rsidRDefault="00BB4F81" w:rsidP="00BB4F8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BB4F81" w14:paraId="1B78304F" w14:textId="77777777" w:rsidTr="00BB4F81">
        <w:tc>
          <w:tcPr>
            <w:tcW w:w="4508" w:type="dxa"/>
          </w:tcPr>
          <w:p w14:paraId="528141CB" w14:textId="125E0444" w:rsidR="00BB4F81" w:rsidRDefault="00BB4F81" w:rsidP="00BB4F81">
            <w:pPr>
              <w:pStyle w:val="ListParagraph"/>
              <w:ind w:left="0"/>
              <w:rPr>
                <w:lang w:val="en-US"/>
              </w:rPr>
            </w:pPr>
            <w:r w:rsidRPr="00BB4F81">
              <w:rPr>
                <w:rFonts w:ascii="TimesTen-Bold" w:hAnsi="TimesTen-Bold" w:cs="TimesTen-Bold"/>
                <w:b/>
                <w:bCs/>
                <w:sz w:val="16"/>
                <w:szCs w:val="16"/>
              </w:rPr>
              <w:t>Round Key Size (words/bytes/bits)</w:t>
            </w:r>
          </w:p>
        </w:tc>
        <w:tc>
          <w:tcPr>
            <w:tcW w:w="4508" w:type="dxa"/>
          </w:tcPr>
          <w:p w14:paraId="43C5EF40" w14:textId="4CF0A769" w:rsidR="00BB4F81" w:rsidRDefault="00BB4F81" w:rsidP="00BB4F8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4/16/128</w:t>
            </w:r>
          </w:p>
        </w:tc>
      </w:tr>
      <w:tr w:rsidR="00BB4F81" w14:paraId="20FAD299" w14:textId="77777777" w:rsidTr="00BB4F81">
        <w:tc>
          <w:tcPr>
            <w:tcW w:w="4508" w:type="dxa"/>
          </w:tcPr>
          <w:p w14:paraId="6CE21A2B" w14:textId="41A5BBFC" w:rsidR="00BB4F81" w:rsidRDefault="00BB4F81" w:rsidP="00BB4F81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TimesTen-Bold" w:hAnsi="TimesTen-Bold" w:cs="TimesTen-Bold"/>
                <w:b/>
                <w:bCs/>
                <w:sz w:val="16"/>
                <w:szCs w:val="16"/>
              </w:rPr>
              <w:t>Expanded Key Size (words/bytes)</w:t>
            </w:r>
          </w:p>
        </w:tc>
        <w:tc>
          <w:tcPr>
            <w:tcW w:w="4508" w:type="dxa"/>
          </w:tcPr>
          <w:p w14:paraId="3912CACC" w14:textId="4328998C" w:rsidR="00BB4F81" w:rsidRDefault="00BB4F81" w:rsidP="00BB4F8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44/176</w:t>
            </w:r>
          </w:p>
        </w:tc>
      </w:tr>
    </w:tbl>
    <w:p w14:paraId="27B92E06" w14:textId="77777777" w:rsidR="00BB4F81" w:rsidRDefault="00BB4F81" w:rsidP="00BB4F81">
      <w:pPr>
        <w:pStyle w:val="ListParagraph"/>
        <w:rPr>
          <w:lang w:val="en-US"/>
        </w:rPr>
      </w:pPr>
    </w:p>
    <w:p w14:paraId="5F99DCF9" w14:textId="77777777" w:rsidR="00BB4F81" w:rsidRDefault="00BB4F81" w:rsidP="00BB4F81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TimesTen-Bold" w:hAnsi="TimesTen-Bold" w:cs="TimesTen-Bold"/>
          <w:b/>
          <w:bCs/>
          <w:sz w:val="20"/>
          <w:szCs w:val="20"/>
        </w:rPr>
        <w:t xml:space="preserve">3. </w:t>
      </w:r>
      <w:r>
        <w:rPr>
          <w:rFonts w:ascii="TimesTen-Roman" w:hAnsi="TimesTen-Roman" w:cs="TimesTen-Roman"/>
          <w:sz w:val="20"/>
          <w:szCs w:val="20"/>
        </w:rPr>
        <w:t>Four different stages are used, one of permutation and three of substitution:</w:t>
      </w:r>
    </w:p>
    <w:p w14:paraId="3CC3D0E2" w14:textId="594FCE3E" w:rsidR="00BB4F81" w:rsidRDefault="00BB4F81" w:rsidP="00BB4F81">
      <w:pPr>
        <w:autoSpaceDE w:val="0"/>
        <w:autoSpaceDN w:val="0"/>
        <w:adjustRightInd w:val="0"/>
        <w:spacing w:after="0" w:line="240" w:lineRule="auto"/>
        <w:ind w:firstLine="720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 xml:space="preserve">• </w:t>
      </w:r>
      <w:r>
        <w:rPr>
          <w:rFonts w:ascii="TimesTen-Bold" w:hAnsi="TimesTen-Bold" w:cs="TimesTen-Bold"/>
          <w:b/>
          <w:bCs/>
          <w:sz w:val="20"/>
          <w:szCs w:val="20"/>
        </w:rPr>
        <w:t xml:space="preserve">Substitute bytes: </w:t>
      </w:r>
      <w:r>
        <w:rPr>
          <w:rFonts w:ascii="TimesTen-Roman" w:hAnsi="TimesTen-Roman" w:cs="TimesTen-Roman"/>
          <w:sz w:val="20"/>
          <w:szCs w:val="20"/>
        </w:rPr>
        <w:t>Uses an S-box to perform a byte-by-byte substitution of</w:t>
      </w:r>
      <w:r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>the block</w:t>
      </w:r>
    </w:p>
    <w:p w14:paraId="3F313176" w14:textId="77777777" w:rsidR="00BB4F81" w:rsidRDefault="00BB4F81" w:rsidP="00BB4F81">
      <w:pPr>
        <w:autoSpaceDE w:val="0"/>
        <w:autoSpaceDN w:val="0"/>
        <w:adjustRightInd w:val="0"/>
        <w:spacing w:after="0" w:line="240" w:lineRule="auto"/>
        <w:ind w:firstLine="720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 xml:space="preserve">• </w:t>
      </w:r>
      <w:r>
        <w:rPr>
          <w:rFonts w:ascii="TimesTen-Bold" w:hAnsi="TimesTen-Bold" w:cs="TimesTen-Bold"/>
          <w:b/>
          <w:bCs/>
          <w:sz w:val="20"/>
          <w:szCs w:val="20"/>
        </w:rPr>
        <w:t xml:space="preserve">ShiftRows: </w:t>
      </w:r>
      <w:r>
        <w:rPr>
          <w:rFonts w:ascii="TimesTen-Roman" w:hAnsi="TimesTen-Roman" w:cs="TimesTen-Roman"/>
          <w:sz w:val="20"/>
          <w:szCs w:val="20"/>
        </w:rPr>
        <w:t>A simple permutation</w:t>
      </w:r>
    </w:p>
    <w:p w14:paraId="5D436105" w14:textId="77777777" w:rsidR="00BB4F81" w:rsidRDefault="00BB4F81" w:rsidP="00BB4F81">
      <w:pPr>
        <w:autoSpaceDE w:val="0"/>
        <w:autoSpaceDN w:val="0"/>
        <w:adjustRightInd w:val="0"/>
        <w:spacing w:after="0" w:line="240" w:lineRule="auto"/>
        <w:ind w:firstLine="720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 xml:space="preserve">• </w:t>
      </w:r>
      <w:r>
        <w:rPr>
          <w:rFonts w:ascii="TimesTen-Bold" w:hAnsi="TimesTen-Bold" w:cs="TimesTen-Bold"/>
          <w:b/>
          <w:bCs/>
          <w:sz w:val="20"/>
          <w:szCs w:val="20"/>
        </w:rPr>
        <w:t xml:space="preserve">MixColumns: </w:t>
      </w:r>
      <w:r>
        <w:rPr>
          <w:rFonts w:ascii="TimesTen-Roman" w:hAnsi="TimesTen-Roman" w:cs="TimesTen-Roman"/>
          <w:sz w:val="20"/>
          <w:szCs w:val="20"/>
        </w:rPr>
        <w:t>A substitution that makes use of arithmetic over</w:t>
      </w:r>
    </w:p>
    <w:p w14:paraId="2882AA32" w14:textId="667F1790" w:rsidR="00BB4F81" w:rsidRDefault="00BB4F81" w:rsidP="00BB4F81">
      <w:pPr>
        <w:autoSpaceDE w:val="0"/>
        <w:autoSpaceDN w:val="0"/>
        <w:adjustRightInd w:val="0"/>
        <w:spacing w:after="0" w:line="240" w:lineRule="auto"/>
        <w:ind w:firstLine="720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 xml:space="preserve">• </w:t>
      </w:r>
      <w:r>
        <w:rPr>
          <w:rFonts w:ascii="TimesTen-Bold" w:hAnsi="TimesTen-Bold" w:cs="TimesTen-Bold"/>
          <w:b/>
          <w:bCs/>
          <w:sz w:val="20"/>
          <w:szCs w:val="20"/>
        </w:rPr>
        <w:t xml:space="preserve">AddRoundKey: </w:t>
      </w:r>
      <w:r>
        <w:rPr>
          <w:rFonts w:ascii="TimesTen-Roman" w:hAnsi="TimesTen-Roman" w:cs="TimesTen-Roman"/>
          <w:sz w:val="20"/>
          <w:szCs w:val="20"/>
        </w:rPr>
        <w:t>A simple bitwise XOR of the current block with a portion</w:t>
      </w:r>
      <w:r>
        <w:rPr>
          <w:rFonts w:ascii="TimesTen-Roman" w:hAnsi="TimesTen-Roman" w:cs="TimesTen-Roman"/>
          <w:sz w:val="20"/>
          <w:szCs w:val="20"/>
        </w:rPr>
        <w:t xml:space="preserve"> </w:t>
      </w:r>
      <w:r w:rsidRPr="00BB4F81">
        <w:rPr>
          <w:rFonts w:ascii="TimesTen-Roman" w:hAnsi="TimesTen-Roman" w:cs="TimesTen-Roman"/>
          <w:sz w:val="20"/>
          <w:szCs w:val="20"/>
        </w:rPr>
        <w:t>of the expanded key</w:t>
      </w:r>
    </w:p>
    <w:p w14:paraId="34B7E267" w14:textId="51D93B18" w:rsidR="00BB4F81" w:rsidRDefault="00BB4F81" w:rsidP="00BB4F81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drawing>
          <wp:inline distT="0" distB="0" distL="0" distR="0" wp14:anchorId="55C9BC0E" wp14:editId="2D1A06CD">
            <wp:extent cx="5731510" cy="6003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DC8A" w14:textId="666814E4" w:rsidR="00F97BAE" w:rsidRDefault="00F97BAE" w:rsidP="00BB4F81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lastRenderedPageBreak/>
        <w:t>CIPHER MATRIX:4x4 , with each data of 8 bits == 16 x 8=128 bits</w:t>
      </w:r>
    </w:p>
    <w:p w14:paraId="18745E2D" w14:textId="07A0E4FE" w:rsidR="004501E6" w:rsidRDefault="004501E6" w:rsidP="004501E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 w:rsidRPr="004501E6">
        <w:rPr>
          <w:rFonts w:ascii="TimesTen-Roman" w:hAnsi="TimesTen-Roman" w:cs="TimesTen-Roman"/>
          <w:sz w:val="20"/>
          <w:szCs w:val="20"/>
        </w:rPr>
        <w:t>S-BOX Module</w:t>
      </w:r>
      <w:r>
        <w:rPr>
          <w:rFonts w:ascii="TimesTen-Roman" w:hAnsi="TimesTen-Roman" w:cs="TimesTen-Roman"/>
          <w:sz w:val="20"/>
          <w:szCs w:val="20"/>
        </w:rPr>
        <w:t>(Cobinational , Input 8 bit and Outptut 8 bit)</w:t>
      </w:r>
    </w:p>
    <w:p w14:paraId="7E3E6CBA" w14:textId="212C6DDC" w:rsidR="004501E6" w:rsidRDefault="004501E6" w:rsidP="004501E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>Encryption</w:t>
      </w:r>
    </w:p>
    <w:p w14:paraId="407F46CC" w14:textId="264F99DA" w:rsidR="00F97BAE" w:rsidRDefault="00F97BAE" w:rsidP="004501E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drawing>
          <wp:inline distT="0" distB="0" distL="0" distR="0" wp14:anchorId="56CDF7CB" wp14:editId="3390B76A">
            <wp:extent cx="5731510" cy="3338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C4F5" w14:textId="61849DB0" w:rsidR="004501E6" w:rsidRDefault="004501E6" w:rsidP="004501E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drawing>
          <wp:inline distT="0" distB="0" distL="0" distR="0" wp14:anchorId="37A24B18" wp14:editId="6827AF9C">
            <wp:extent cx="4400550" cy="2867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BCA4" w14:textId="5588CFFC" w:rsidR="004501E6" w:rsidRDefault="004501E6" w:rsidP="004501E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>Decryption</w:t>
      </w:r>
    </w:p>
    <w:p w14:paraId="7C9FC7FE" w14:textId="207F9BD1" w:rsidR="004501E6" w:rsidRDefault="004501E6" w:rsidP="004501E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B58C19E" wp14:editId="3708975A">
            <wp:extent cx="4095750" cy="2790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554D" w14:textId="2B9C865E" w:rsidR="00F97BAE" w:rsidRDefault="00F97BAE" w:rsidP="004501E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>TEST CASE</w:t>
      </w:r>
    </w:p>
    <w:p w14:paraId="4E82DAA1" w14:textId="2EDB9B84" w:rsidR="00F97BAE" w:rsidRDefault="00F97BAE" w:rsidP="00F97BAE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drawing>
          <wp:inline distT="0" distB="0" distL="0" distR="0" wp14:anchorId="714F7E92" wp14:editId="42C208AB">
            <wp:extent cx="5731510" cy="3806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E8DA" w14:textId="4FF76197" w:rsidR="00F97BAE" w:rsidRDefault="00F97BAE" w:rsidP="00F97BAE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67CFE6" wp14:editId="609DCF74">
            <wp:extent cx="5731510" cy="3647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34A1" w14:textId="77777777" w:rsidR="00F97BAE" w:rsidRPr="00F97BAE" w:rsidRDefault="00F97BAE" w:rsidP="00F97BAE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</w:p>
    <w:p w14:paraId="10126494" w14:textId="77777777" w:rsidR="004501E6" w:rsidRDefault="004501E6" w:rsidP="004501E6">
      <w:pPr>
        <w:autoSpaceDE w:val="0"/>
        <w:autoSpaceDN w:val="0"/>
        <w:adjustRightInd w:val="0"/>
        <w:spacing w:after="0" w:line="240" w:lineRule="auto"/>
        <w:ind w:left="360"/>
        <w:rPr>
          <w:rFonts w:ascii="TimesTen-Roman" w:hAnsi="TimesTen-Roman" w:cs="TimesTen-Roman"/>
          <w:sz w:val="20"/>
          <w:szCs w:val="20"/>
        </w:rPr>
      </w:pPr>
    </w:p>
    <w:p w14:paraId="12930C53" w14:textId="0CF5C5AC" w:rsidR="00F97BAE" w:rsidRDefault="00F97BAE" w:rsidP="004501E6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>SHIFT ROWS</w:t>
      </w:r>
    </w:p>
    <w:p w14:paraId="34D01EB7" w14:textId="66C79B05" w:rsidR="004501E6" w:rsidRDefault="004501E6" w:rsidP="004501E6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Bembo-BoldItalic" w:hAnsi="Bembo-BoldItalic" w:cs="Bembo-BoldItalic"/>
          <w:b/>
          <w:bCs/>
          <w:i/>
          <w:iCs/>
          <w:sz w:val="20"/>
          <w:szCs w:val="20"/>
        </w:rPr>
        <w:t>F</w:t>
      </w:r>
      <w:r>
        <w:rPr>
          <w:rFonts w:ascii="Bembo-BoldItalic" w:hAnsi="Bembo-BoldItalic" w:cs="Bembo-BoldItalic"/>
          <w:b/>
          <w:bCs/>
          <w:i/>
          <w:iCs/>
          <w:sz w:val="15"/>
          <w:szCs w:val="15"/>
        </w:rPr>
        <w:t xml:space="preserve">ORWARD AND </w:t>
      </w:r>
      <w:r>
        <w:rPr>
          <w:rFonts w:ascii="Bembo-BoldItalic" w:hAnsi="Bembo-BoldItalic" w:cs="Bembo-BoldItalic"/>
          <w:b/>
          <w:bCs/>
          <w:i/>
          <w:iCs/>
          <w:sz w:val="20"/>
          <w:szCs w:val="20"/>
        </w:rPr>
        <w:t>I</w:t>
      </w:r>
      <w:r>
        <w:rPr>
          <w:rFonts w:ascii="Bembo-BoldItalic" w:hAnsi="Bembo-BoldItalic" w:cs="Bembo-BoldItalic"/>
          <w:b/>
          <w:bCs/>
          <w:i/>
          <w:iCs/>
          <w:sz w:val="15"/>
          <w:szCs w:val="15"/>
        </w:rPr>
        <w:t xml:space="preserve">NVERSE </w:t>
      </w:r>
      <w:r>
        <w:rPr>
          <w:rFonts w:ascii="Bembo-BoldItalic" w:hAnsi="Bembo-BoldItalic" w:cs="Bembo-BoldItalic"/>
          <w:b/>
          <w:bCs/>
          <w:i/>
          <w:iCs/>
          <w:sz w:val="20"/>
          <w:szCs w:val="20"/>
        </w:rPr>
        <w:t>T</w:t>
      </w:r>
      <w:r>
        <w:rPr>
          <w:rFonts w:ascii="Bembo-BoldItalic" w:hAnsi="Bembo-BoldItalic" w:cs="Bembo-BoldItalic"/>
          <w:b/>
          <w:bCs/>
          <w:i/>
          <w:iCs/>
          <w:sz w:val="15"/>
          <w:szCs w:val="15"/>
        </w:rPr>
        <w:t xml:space="preserve">RANSFORMATIONS </w:t>
      </w:r>
      <w:r>
        <w:rPr>
          <w:rFonts w:ascii="TimesTen-Roman" w:hAnsi="TimesTen-Roman" w:cs="TimesTen-Roman"/>
          <w:sz w:val="20"/>
          <w:szCs w:val="20"/>
        </w:rPr>
        <w:t xml:space="preserve">The </w:t>
      </w:r>
      <w:r>
        <w:rPr>
          <w:rFonts w:ascii="TimesTen-Bold" w:hAnsi="TimesTen-Bold" w:cs="TimesTen-Bold"/>
          <w:b/>
          <w:bCs/>
          <w:sz w:val="20"/>
          <w:szCs w:val="20"/>
        </w:rPr>
        <w:t>forward shift row transformation</w:t>
      </w:r>
      <w:r w:rsidR="00F97BAE">
        <w:rPr>
          <w:rFonts w:ascii="TimesTen-Bold" w:hAnsi="TimesTen-Bold" w:cs="TimesTen-Bold"/>
          <w:b/>
          <w:bCs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>,</w:t>
      </w:r>
      <w:r w:rsidR="00F97BAE"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 xml:space="preserve">called ShiftRows, is depicted in Figure 5.7a.The first row of </w:t>
      </w:r>
      <w:r>
        <w:rPr>
          <w:rFonts w:ascii="TimesTen-Bold" w:hAnsi="TimesTen-Bold" w:cs="TimesTen-Bold"/>
          <w:b/>
          <w:bCs/>
          <w:sz w:val="20"/>
          <w:szCs w:val="20"/>
        </w:rPr>
        <w:t xml:space="preserve">State </w:t>
      </w:r>
      <w:r>
        <w:rPr>
          <w:rFonts w:ascii="TimesTen-Roman" w:hAnsi="TimesTen-Roman" w:cs="TimesTen-Roman"/>
          <w:sz w:val="20"/>
          <w:szCs w:val="20"/>
        </w:rPr>
        <w:t>is not altered. For</w:t>
      </w:r>
      <w:r w:rsidR="00F97BAE"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>the second row, a 1-byte circular left shift is performed. For the third row, a 2-byte</w:t>
      </w:r>
      <w:r w:rsidR="00F97BAE"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>circular left shift is performed. For the fourth row, a 3-byte circular left shift is</w:t>
      </w:r>
      <w:r w:rsidR="00F97BAE"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>performed.The following is an example of ShiftRows.</w:t>
      </w:r>
    </w:p>
    <w:p w14:paraId="6A38AFA2" w14:textId="4BAD16F3" w:rsidR="004501E6" w:rsidRDefault="004501E6" w:rsidP="004501E6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 xml:space="preserve">The </w:t>
      </w:r>
      <w:r>
        <w:rPr>
          <w:rFonts w:ascii="TimesTen-Bold" w:hAnsi="TimesTen-Bold" w:cs="TimesTen-Bold"/>
          <w:b/>
          <w:bCs/>
          <w:sz w:val="20"/>
          <w:szCs w:val="20"/>
        </w:rPr>
        <w:t>inverse shift row transformation</w:t>
      </w:r>
      <w:r>
        <w:rPr>
          <w:rFonts w:ascii="TimesTen-Roman" w:hAnsi="TimesTen-Roman" w:cs="TimesTen-Roman"/>
          <w:sz w:val="20"/>
          <w:szCs w:val="20"/>
        </w:rPr>
        <w:t>, called InvShiftRows, performs the circular</w:t>
      </w:r>
      <w:r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>shifts in the opposite</w:t>
      </w:r>
      <w:r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>direction for each of the last three rows, with a 1-byte</w:t>
      </w:r>
      <w:r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>circular right shift for the second row, and so on.</w:t>
      </w:r>
    </w:p>
    <w:p w14:paraId="4A563C59" w14:textId="41F64CA3" w:rsidR="00F97BAE" w:rsidRDefault="00F97BAE" w:rsidP="004501E6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drawing>
          <wp:inline distT="0" distB="0" distL="0" distR="0" wp14:anchorId="24251DAC" wp14:editId="1D0D4354">
            <wp:extent cx="5731510" cy="13633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4283" w14:textId="77777777" w:rsidR="00F97BAE" w:rsidRDefault="00F97BAE" w:rsidP="004501E6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</w:p>
    <w:p w14:paraId="20E6F2F1" w14:textId="602A9905" w:rsidR="00F97BAE" w:rsidRDefault="00F97BAE" w:rsidP="004501E6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>MIX COLUMNS</w:t>
      </w:r>
    </w:p>
    <w:p w14:paraId="5D3D3134" w14:textId="02755387" w:rsidR="00F97BAE" w:rsidRDefault="003A62B6" w:rsidP="004501E6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4E06821" wp14:editId="06082B64">
            <wp:extent cx="5731510" cy="23609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E5C" w14:textId="0A479F96" w:rsidR="003A62B6" w:rsidRDefault="003A62B6" w:rsidP="004501E6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drawing>
          <wp:inline distT="0" distB="0" distL="0" distR="0" wp14:anchorId="03278BFC" wp14:editId="4CAA95AF">
            <wp:extent cx="5731510" cy="14370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E786" w14:textId="580AB73C" w:rsidR="004B4028" w:rsidRDefault="004B4028" w:rsidP="004501E6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drawing>
          <wp:inline distT="0" distB="0" distL="0" distR="0" wp14:anchorId="0BE4B9C9" wp14:editId="70751DF2">
            <wp:extent cx="5731510" cy="1355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6F69" w14:textId="2252C57A" w:rsidR="004B4028" w:rsidRDefault="004B4028" w:rsidP="004501E6">
      <w:pPr>
        <w:autoSpaceDE w:val="0"/>
        <w:autoSpaceDN w:val="0"/>
        <w:adjustRightInd w:val="0"/>
        <w:spacing w:after="0" w:line="240" w:lineRule="auto"/>
        <w:rPr>
          <w:rFonts w:ascii="Bembo-Bold" w:hAnsi="Bembo-Bold" w:cs="Bembo-Bold"/>
          <w:b/>
          <w:bCs/>
          <w:sz w:val="24"/>
          <w:szCs w:val="24"/>
        </w:rPr>
      </w:pPr>
      <w:r>
        <w:rPr>
          <w:rFonts w:ascii="Bembo-Bold" w:hAnsi="Bembo-Bold" w:cs="Bembo-Bold"/>
          <w:b/>
          <w:bCs/>
          <w:sz w:val="24"/>
          <w:szCs w:val="24"/>
        </w:rPr>
        <w:t>AddRoundKey Transformation</w:t>
      </w:r>
    </w:p>
    <w:p w14:paraId="732199F3" w14:textId="29E44EE2" w:rsidR="004B4028" w:rsidRDefault="004B4028" w:rsidP="004B4028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Bembo-BoldItalic" w:hAnsi="Bembo-BoldItalic" w:cs="Bembo-BoldItalic"/>
          <w:b/>
          <w:bCs/>
          <w:i/>
          <w:iCs/>
          <w:sz w:val="20"/>
          <w:szCs w:val="20"/>
        </w:rPr>
        <w:t>F</w:t>
      </w:r>
      <w:r>
        <w:rPr>
          <w:rFonts w:ascii="Bembo-BoldItalic" w:hAnsi="Bembo-BoldItalic" w:cs="Bembo-BoldItalic"/>
          <w:b/>
          <w:bCs/>
          <w:i/>
          <w:iCs/>
          <w:sz w:val="15"/>
          <w:szCs w:val="15"/>
        </w:rPr>
        <w:t xml:space="preserve">ORWARD AND </w:t>
      </w:r>
      <w:r>
        <w:rPr>
          <w:rFonts w:ascii="Bembo-BoldItalic" w:hAnsi="Bembo-BoldItalic" w:cs="Bembo-BoldItalic"/>
          <w:b/>
          <w:bCs/>
          <w:i/>
          <w:iCs/>
          <w:sz w:val="20"/>
          <w:szCs w:val="20"/>
        </w:rPr>
        <w:t>I</w:t>
      </w:r>
      <w:r>
        <w:rPr>
          <w:rFonts w:ascii="Bembo-BoldItalic" w:hAnsi="Bembo-BoldItalic" w:cs="Bembo-BoldItalic"/>
          <w:b/>
          <w:bCs/>
          <w:i/>
          <w:iCs/>
          <w:sz w:val="15"/>
          <w:szCs w:val="15"/>
        </w:rPr>
        <w:t xml:space="preserve">NVERSE </w:t>
      </w:r>
      <w:r>
        <w:rPr>
          <w:rFonts w:ascii="Bembo-BoldItalic" w:hAnsi="Bembo-BoldItalic" w:cs="Bembo-BoldItalic"/>
          <w:b/>
          <w:bCs/>
          <w:i/>
          <w:iCs/>
          <w:sz w:val="20"/>
          <w:szCs w:val="20"/>
        </w:rPr>
        <w:t>T</w:t>
      </w:r>
      <w:r>
        <w:rPr>
          <w:rFonts w:ascii="Bembo-BoldItalic" w:hAnsi="Bembo-BoldItalic" w:cs="Bembo-BoldItalic"/>
          <w:b/>
          <w:bCs/>
          <w:i/>
          <w:iCs/>
          <w:sz w:val="15"/>
          <w:szCs w:val="15"/>
        </w:rPr>
        <w:t xml:space="preserve">RANSFORMATIONS </w:t>
      </w:r>
      <w:r>
        <w:rPr>
          <w:rFonts w:ascii="TimesTen-Roman" w:hAnsi="TimesTen-Roman" w:cs="TimesTen-Roman"/>
          <w:sz w:val="20"/>
          <w:szCs w:val="20"/>
        </w:rPr>
        <w:t xml:space="preserve">In the </w:t>
      </w:r>
      <w:r>
        <w:rPr>
          <w:rFonts w:ascii="TimesTen-Bold" w:hAnsi="TimesTen-Bold" w:cs="TimesTen-Bold"/>
          <w:b/>
          <w:bCs/>
          <w:sz w:val="20"/>
          <w:szCs w:val="20"/>
        </w:rPr>
        <w:t>forward add round key transformation</w:t>
      </w:r>
      <w:r>
        <w:rPr>
          <w:rFonts w:ascii="TimesTen-Roman" w:hAnsi="TimesTen-Roman" w:cs="TimesTen-Roman"/>
          <w:sz w:val="20"/>
          <w:szCs w:val="20"/>
        </w:rPr>
        <w:t>,</w:t>
      </w:r>
      <w:r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 xml:space="preserve">called AddRoundKey, the 128 bits of </w:t>
      </w:r>
      <w:r>
        <w:rPr>
          <w:rFonts w:ascii="TimesTen-Bold" w:hAnsi="TimesTen-Bold" w:cs="TimesTen-Bold"/>
          <w:b/>
          <w:bCs/>
          <w:sz w:val="20"/>
          <w:szCs w:val="20"/>
        </w:rPr>
        <w:t xml:space="preserve">State </w:t>
      </w:r>
      <w:r>
        <w:rPr>
          <w:rFonts w:ascii="TimesTen-Roman" w:hAnsi="TimesTen-Roman" w:cs="TimesTen-Roman"/>
          <w:sz w:val="20"/>
          <w:szCs w:val="20"/>
        </w:rPr>
        <w:t>are bitwise XORed with the</w:t>
      </w:r>
      <w:r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>128 bits of the round key.</w:t>
      </w:r>
      <w:r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 xml:space="preserve">The first matrix is </w:t>
      </w:r>
      <w:r>
        <w:rPr>
          <w:rFonts w:ascii="TimesTen-Bold" w:hAnsi="TimesTen-Bold" w:cs="TimesTen-Bold"/>
          <w:b/>
          <w:bCs/>
          <w:sz w:val="20"/>
          <w:szCs w:val="20"/>
        </w:rPr>
        <w:t>State</w:t>
      </w:r>
      <w:r>
        <w:rPr>
          <w:rFonts w:ascii="TimesTen-Roman" w:hAnsi="TimesTen-Roman" w:cs="TimesTen-Roman"/>
          <w:sz w:val="20"/>
          <w:szCs w:val="20"/>
        </w:rPr>
        <w:t>, and the second matrix is the round key.</w:t>
      </w:r>
    </w:p>
    <w:p w14:paraId="5FDA3D23" w14:textId="0D58D1AB" w:rsidR="004B4028" w:rsidRDefault="004B4028" w:rsidP="004B4028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 xml:space="preserve">The </w:t>
      </w:r>
      <w:r>
        <w:rPr>
          <w:rFonts w:ascii="TimesTen-Bold" w:hAnsi="TimesTen-Bold" w:cs="TimesTen-Bold"/>
          <w:b/>
          <w:bCs/>
          <w:sz w:val="20"/>
          <w:szCs w:val="20"/>
        </w:rPr>
        <w:t xml:space="preserve">inverse add round key transformation </w:t>
      </w:r>
      <w:r>
        <w:rPr>
          <w:rFonts w:ascii="TimesTen-Roman" w:hAnsi="TimesTen-Roman" w:cs="TimesTen-Roman"/>
          <w:sz w:val="20"/>
          <w:szCs w:val="20"/>
        </w:rPr>
        <w:t>is identical to the forward add</w:t>
      </w:r>
      <w:r>
        <w:rPr>
          <w:rFonts w:ascii="TimesTen-Roman" w:hAnsi="TimesTen-Roman" w:cs="TimesTen-Roman"/>
          <w:sz w:val="20"/>
          <w:szCs w:val="20"/>
        </w:rPr>
        <w:t xml:space="preserve"> </w:t>
      </w:r>
      <w:r>
        <w:rPr>
          <w:rFonts w:ascii="TimesTen-Roman" w:hAnsi="TimesTen-Roman" w:cs="TimesTen-Roman"/>
          <w:sz w:val="20"/>
          <w:szCs w:val="20"/>
        </w:rPr>
        <w:t>round key transformation, because the XOR operation is its own inverse.</w:t>
      </w:r>
    </w:p>
    <w:p w14:paraId="00B283E6" w14:textId="23703A15" w:rsidR="004B4028" w:rsidRDefault="004B4028" w:rsidP="004B4028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</w:p>
    <w:p w14:paraId="2370EA82" w14:textId="3C5B85D1" w:rsidR="004B4028" w:rsidRDefault="004B4028" w:rsidP="004B4028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>KEY EXPANSION</w:t>
      </w:r>
    </w:p>
    <w:p w14:paraId="1E2985AF" w14:textId="77777777" w:rsidR="004B4028" w:rsidRDefault="004B4028" w:rsidP="004B4028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</w:p>
    <w:p w14:paraId="10A0A8BD" w14:textId="6E1E6045" w:rsidR="003A62B6" w:rsidRDefault="004B4028" w:rsidP="004501E6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53E2F6" wp14:editId="69E76BC5">
            <wp:extent cx="5731510" cy="61144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3300" w14:textId="7F940E2B" w:rsidR="004B4028" w:rsidRPr="004501E6" w:rsidRDefault="004B4028" w:rsidP="004501E6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DF09695" wp14:editId="5C453C8A">
            <wp:extent cx="5731510" cy="44329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CDD2" w14:textId="001DC56F" w:rsidR="00BB4F81" w:rsidRDefault="00BB4F81" w:rsidP="00BB4F8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drawing>
          <wp:inline distT="0" distB="0" distL="0" distR="0" wp14:anchorId="6EB3FEBB" wp14:editId="4B5E6A38">
            <wp:extent cx="5731510" cy="3116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D3B2" w14:textId="20873201" w:rsidR="00BB4F81" w:rsidRDefault="004B4028" w:rsidP="00BB4F8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4CE4D81" wp14:editId="30F7766E">
            <wp:extent cx="5731510" cy="3639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143F" w14:textId="729FE22F" w:rsidR="004B4028" w:rsidRPr="00BB4F81" w:rsidRDefault="004B4028" w:rsidP="00BB4F8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  <w:szCs w:val="20"/>
        </w:rPr>
      </w:pPr>
      <w:r>
        <w:rPr>
          <w:rFonts w:ascii="TimesTen-Roman" w:hAnsi="TimesTen-Roman" w:cs="TimesTen-Roman"/>
          <w:sz w:val="20"/>
          <w:szCs w:val="20"/>
        </w:rPr>
        <w:t xml:space="preserve">OVERALL TESTCASE: </w:t>
      </w:r>
      <w:r>
        <w:rPr>
          <w:noProof/>
        </w:rPr>
        <w:drawing>
          <wp:inline distT="0" distB="0" distL="0" distR="0" wp14:anchorId="709B067E" wp14:editId="202A21E2">
            <wp:extent cx="5731510" cy="12465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028" w:rsidRPr="00BB4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Ten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Ten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embo-BoldItalic">
    <w:altName w:val="Bemb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embo-Bold">
    <w:altName w:val="Bemb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18F4"/>
    <w:multiLevelType w:val="hybridMultilevel"/>
    <w:tmpl w:val="E6BEA3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070DB"/>
    <w:multiLevelType w:val="hybridMultilevel"/>
    <w:tmpl w:val="B70A7E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44DC7"/>
    <w:multiLevelType w:val="hybridMultilevel"/>
    <w:tmpl w:val="B70A7E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3735B5"/>
    <w:multiLevelType w:val="hybridMultilevel"/>
    <w:tmpl w:val="92F8D4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21B"/>
    <w:rsid w:val="003A62B6"/>
    <w:rsid w:val="003F3BE8"/>
    <w:rsid w:val="004501E6"/>
    <w:rsid w:val="004B4028"/>
    <w:rsid w:val="004E421B"/>
    <w:rsid w:val="007B3A6A"/>
    <w:rsid w:val="00BB4F81"/>
    <w:rsid w:val="00F9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4B85"/>
  <w15:chartTrackingRefBased/>
  <w15:docId w15:val="{C32900E2-CD2A-48AA-AFC8-912A19943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4E421B"/>
  </w:style>
  <w:style w:type="paragraph" w:styleId="ListParagraph">
    <w:name w:val="List Paragraph"/>
    <w:basedOn w:val="Normal"/>
    <w:uiPriority w:val="34"/>
    <w:qFormat/>
    <w:rsid w:val="00BB4F81"/>
    <w:pPr>
      <w:ind w:left="720"/>
      <w:contextualSpacing/>
    </w:pPr>
  </w:style>
  <w:style w:type="table" w:styleId="TableGrid">
    <w:name w:val="Table Grid"/>
    <w:basedOn w:val="TableNormal"/>
    <w:uiPriority w:val="39"/>
    <w:rsid w:val="00BB4F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MITTAL</dc:creator>
  <cp:keywords/>
  <dc:description/>
  <cp:lastModifiedBy>PRANAV MITTAL</cp:lastModifiedBy>
  <cp:revision>2</cp:revision>
  <dcterms:created xsi:type="dcterms:W3CDTF">2021-04-21T06:54:00Z</dcterms:created>
  <dcterms:modified xsi:type="dcterms:W3CDTF">2021-04-21T08:55:00Z</dcterms:modified>
</cp:coreProperties>
</file>