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7BFD0" w14:textId="77777777" w:rsidR="00B11507" w:rsidRDefault="00974EEF">
      <w:pPr>
        <w:spacing w:before="240" w:after="80"/>
        <w:jc w:val="center"/>
      </w:pPr>
      <w:r>
        <w:rPr>
          <w:rFonts w:ascii="Calibri" w:hAnsi="Calibri"/>
          <w:b/>
          <w:color w:val="0F294A"/>
          <w:sz w:val="42"/>
        </w:rPr>
        <w:t>Impact of Unified Payments Interface (UPI)</w:t>
      </w:r>
      <w:r>
        <w:rPr>
          <w:rFonts w:ascii="Calibri" w:hAnsi="Calibri"/>
          <w:b/>
          <w:color w:val="0F294A"/>
          <w:sz w:val="42"/>
        </w:rPr>
        <w:br/>
        <w:t>on Spending Behaviour Among College Students</w:t>
      </w:r>
    </w:p>
    <w:p w14:paraId="7686967B" w14:textId="77777777" w:rsidR="00B11507" w:rsidRDefault="00974EEF">
      <w:pPr>
        <w:spacing w:after="240"/>
        <w:jc w:val="center"/>
      </w:pPr>
      <w:r>
        <w:rPr>
          <w:rFonts w:ascii="Calibri" w:hAnsi="Calibri"/>
          <w:color w:val="2B6CB0"/>
          <w:sz w:val="24"/>
        </w:rPr>
        <w:t>An Empirical Behavioral Economics &amp; Applied Machine Learning Investigation</w:t>
      </w:r>
    </w:p>
    <w:tbl>
      <w:tblPr>
        <w:tblW w:w="0" w:type="auto"/>
        <w:jc w:val="center"/>
        <w:tblLook w:val="04A0" w:firstRow="1" w:lastRow="0" w:firstColumn="1" w:lastColumn="0" w:noHBand="0" w:noVBand="1"/>
      </w:tblPr>
      <w:tblGrid>
        <w:gridCol w:w="9360"/>
      </w:tblGrid>
      <w:tr w:rsidR="00B11507" w14:paraId="76E74BBE" w14:textId="77777777">
        <w:trPr>
          <w:jc w:val="center"/>
        </w:trPr>
        <w:tc>
          <w:tcPr>
            <w:tcW w:w="9360" w:type="dxa"/>
            <w:tcBorders>
              <w:top w:val="single" w:sz="6" w:space="0" w:color="CBD5E0"/>
              <w:left w:val="single" w:sz="6" w:space="0" w:color="CBD5E0"/>
              <w:bottom w:val="single" w:sz="6" w:space="0" w:color="CBD5E0"/>
              <w:right w:val="single" w:sz="6" w:space="0" w:color="CBD5E0"/>
            </w:tcBorders>
            <w:shd w:val="clear" w:color="auto" w:fill="F7FAFC"/>
            <w:tcMar>
              <w:top w:w="100" w:type="dxa"/>
              <w:left w:w="150" w:type="dxa"/>
              <w:bottom w:w="100" w:type="dxa"/>
              <w:right w:w="150" w:type="dxa"/>
            </w:tcMar>
          </w:tcPr>
          <w:p w14:paraId="2447F0A2" w14:textId="77777777" w:rsidR="00B11507" w:rsidRDefault="00974EEF">
            <w:pPr>
              <w:spacing w:after="0"/>
              <w:jc w:val="center"/>
            </w:pPr>
            <w:r>
              <w:rPr>
                <w:rFonts w:ascii="Calibri" w:hAnsi="Calibri"/>
                <w:b/>
                <w:color w:val="2D3748"/>
                <w:sz w:val="19"/>
              </w:rPr>
              <w:t xml:space="preserve">Author: </w:t>
            </w:r>
            <w:r>
              <w:rPr>
                <w:rFonts w:ascii="Calibri" w:hAnsi="Calibri"/>
                <w:color w:val="2D3748"/>
                <w:sz w:val="19"/>
              </w:rPr>
              <w:t xml:space="preserve">Yash Karwa (Roll No. 40)   |   </w:t>
            </w:r>
            <w:r>
              <w:rPr>
                <w:rFonts w:ascii="Calibri" w:hAnsi="Calibri"/>
                <w:b/>
                <w:color w:val="2D3748"/>
                <w:sz w:val="19"/>
              </w:rPr>
              <w:t xml:space="preserve">Program: </w:t>
            </w:r>
            <w:r>
              <w:rPr>
                <w:rFonts w:ascii="Calibri" w:hAnsi="Calibri"/>
                <w:color w:val="2D3748"/>
                <w:sz w:val="19"/>
              </w:rPr>
              <w:t xml:space="preserve">B.Tech Artificial Intelligence &amp; Machine Learning (Sem-5)   |   </w:t>
            </w:r>
            <w:r>
              <w:rPr>
                <w:rFonts w:ascii="Calibri" w:hAnsi="Calibri"/>
                <w:b/>
                <w:color w:val="2D3748"/>
                <w:sz w:val="19"/>
              </w:rPr>
              <w:t xml:space="preserve">Academic Subject: </w:t>
            </w:r>
            <w:r>
              <w:rPr>
                <w:rFonts w:ascii="Calibri" w:hAnsi="Calibri"/>
                <w:color w:val="2D3748"/>
                <w:sz w:val="19"/>
              </w:rPr>
              <w:t>Internal Assessment (IA) Applied Analytics</w:t>
            </w:r>
            <w:r>
              <w:rPr>
                <w:rFonts w:ascii="Calibri" w:hAnsi="Calibri"/>
                <w:color w:val="2D3748"/>
                <w:sz w:val="19"/>
              </w:rPr>
              <w:br/>
            </w:r>
            <w:r>
              <w:rPr>
                <w:rFonts w:ascii="Calibri" w:hAnsi="Calibri"/>
                <w:b/>
                <w:color w:val="2D3748"/>
                <w:sz w:val="19"/>
              </w:rPr>
              <w:t xml:space="preserve">Verified Sample Size: </w:t>
            </w:r>
            <w:r>
              <w:rPr>
                <w:rFonts w:ascii="Calibri" w:hAnsi="Calibri"/>
                <w:color w:val="2D3748"/>
                <w:sz w:val="19"/>
              </w:rPr>
              <w:t xml:space="preserve">N = 3,000 Higher Education Students   |   </w:t>
            </w:r>
            <w:r>
              <w:rPr>
                <w:rFonts w:ascii="Calibri" w:hAnsi="Calibri"/>
                <w:b/>
                <w:color w:val="2D3748"/>
                <w:sz w:val="19"/>
              </w:rPr>
              <w:t xml:space="preserve">Repository: </w:t>
            </w:r>
            <w:r>
              <w:rPr>
                <w:rFonts w:ascii="Calibri" w:hAnsi="Calibri"/>
                <w:color w:val="2D3748"/>
                <w:sz w:val="19"/>
              </w:rPr>
              <w:t>github.com/yashkarwa2005/upi-impact</w:t>
            </w:r>
          </w:p>
        </w:tc>
      </w:tr>
    </w:tbl>
    <w:p w14:paraId="2251B083" w14:textId="77777777" w:rsidR="00B11507" w:rsidRDefault="00B11507">
      <w:pPr>
        <w:spacing w:after="120"/>
      </w:pPr>
    </w:p>
    <w:p w14:paraId="32ED4810" w14:textId="77777777" w:rsidR="00B11507" w:rsidRDefault="00974EEF">
      <w:pPr>
        <w:keepNext/>
        <w:spacing w:before="280" w:after="80"/>
      </w:pPr>
      <w:r>
        <w:rPr>
          <w:rFonts w:ascii="Calibri" w:hAnsi="Calibri"/>
          <w:b/>
          <w:color w:val="0F294A"/>
          <w:sz w:val="28"/>
        </w:rPr>
        <w:t>1. Executive Summary &amp; Abstract</w:t>
      </w:r>
    </w:p>
    <w:p w14:paraId="53F269AC" w14:textId="77777777" w:rsidR="00B11507" w:rsidRDefault="00974EEF">
      <w:pPr>
        <w:spacing w:after="120"/>
      </w:pPr>
      <w:r>
        <w:rPr>
          <w:rFonts w:ascii="Calibri" w:hAnsi="Calibri"/>
          <w:color w:val="2D3748"/>
          <w:sz w:val="20"/>
        </w:rPr>
        <w:t>The nationwide deployment of India's Unified Payments Interface (UPI) has catalyzed an unprecedented structural shift from physical cash toward seamless, real-time digital micro-transactions. While UPI has achieved exceptional technical reliability and financial inclusion, its behavioral repercussions on young adults—particularly college students with restricted disposable allowances—remain critically under-researched. This empirical investigation evaluates N = 3,000 verified survey respondents across under</w:t>
      </w:r>
      <w:r>
        <w:rPr>
          <w:rFonts w:ascii="Calibri" w:hAnsi="Calibri"/>
          <w:color w:val="2D3748"/>
          <w:sz w:val="20"/>
        </w:rPr>
        <w:t>graduate and postgraduate collegiate cohorts in India to quantify cognitive payment friction reduction, monthly spending inflation, and impulse acquisition propensities.</w:t>
      </w:r>
    </w:p>
    <w:p w14:paraId="15CCDFDA" w14:textId="77777777" w:rsidR="00B11507" w:rsidRDefault="00974EEF">
      <w:pPr>
        <w:spacing w:after="120"/>
      </w:pPr>
      <w:r>
        <w:rPr>
          <w:rFonts w:ascii="Calibri" w:hAnsi="Calibri"/>
          <w:color w:val="2D3748"/>
          <w:sz w:val="20"/>
        </w:rPr>
        <w:t xml:space="preserve">Our rigorous statistical hypothesis battery demonstrates conclusive findings: monthly expenditures increased by +43.8% (net jump of +₹3,975.02, t = 44.22, p &lt; 10^-15) post-UPI adoption; daily transactors suffer a +17.8% higher overspending rate compared to infrequent users (Z = 7.40, p = 1.32 × 10^-13); and finding UPI 'less painful than cash' is statistically coupled with severe overspending (χ² = 385.96, p &lt; 10^-15, Cramér's V = 0.267). Unsupervised K-Means clustering (k=4) identifies distinctive student </w:t>
      </w:r>
      <w:r>
        <w:rPr>
          <w:rFonts w:ascii="Calibri" w:hAnsi="Calibri"/>
          <w:color w:val="2D3748"/>
          <w:sz w:val="20"/>
        </w:rPr>
        <w:t>spending personas, while a Random Forest classifier successfully predicts student overspending with 79.3% accuracy (F1 = 0.863).</w:t>
      </w:r>
    </w:p>
    <w:tbl>
      <w:tblPr>
        <w:tblW w:w="0" w:type="auto"/>
        <w:jc w:val="center"/>
        <w:tblLook w:val="04A0" w:firstRow="1" w:lastRow="0" w:firstColumn="1" w:lastColumn="0" w:noHBand="0" w:noVBand="1"/>
      </w:tblPr>
      <w:tblGrid>
        <w:gridCol w:w="9360"/>
      </w:tblGrid>
      <w:tr w:rsidR="00B11507" w14:paraId="76952F55" w14:textId="77777777">
        <w:trPr>
          <w:jc w:val="center"/>
        </w:trPr>
        <w:tc>
          <w:tcPr>
            <w:tcW w:w="9360" w:type="dxa"/>
            <w:tcBorders>
              <w:left w:val="single" w:sz="24" w:space="0" w:color="1A365D"/>
            </w:tcBorders>
            <w:shd w:val="clear" w:color="auto" w:fill="F0F4F8"/>
            <w:tcMar>
              <w:top w:w="140" w:type="dxa"/>
              <w:left w:w="200" w:type="dxa"/>
              <w:bottom w:w="140" w:type="dxa"/>
              <w:right w:w="180" w:type="dxa"/>
            </w:tcMar>
          </w:tcPr>
          <w:p w14:paraId="6FB4650A" w14:textId="77777777" w:rsidR="00B11507" w:rsidRDefault="00974EEF">
            <w:pPr>
              <w:spacing w:after="60"/>
            </w:pPr>
            <w:r>
              <w:rPr>
                <w:rFonts w:ascii="Calibri" w:hAnsi="Calibri"/>
                <w:b/>
                <w:color w:val="1A365D"/>
                <w:sz w:val="20"/>
              </w:rPr>
              <w:t xml:space="preserve">★ CORE EMPIRICAL FINDING: </w:t>
            </w:r>
            <w:r>
              <w:rPr>
                <w:rFonts w:ascii="Calibri" w:hAnsi="Calibri"/>
                <w:i/>
                <w:color w:val="2D3748"/>
                <w:sz w:val="19"/>
              </w:rPr>
              <w:t>Daily UPI accessibility acts as a 2.0x multiplier on impulse purchasing. Over 71.2% of surveyed students confirm systematic overspending directly attributed to frictionless digital settlement, requiring intentional digital friction architecture.</w:t>
            </w:r>
          </w:p>
        </w:tc>
      </w:tr>
    </w:tbl>
    <w:p w14:paraId="5445D613" w14:textId="77777777" w:rsidR="00B11507" w:rsidRDefault="00B11507">
      <w:pPr>
        <w:spacing w:after="80"/>
      </w:pPr>
    </w:p>
    <w:p w14:paraId="16327D08" w14:textId="77777777" w:rsidR="00B11507" w:rsidRDefault="00974EEF">
      <w:pPr>
        <w:keepNext/>
        <w:spacing w:before="280" w:after="80"/>
      </w:pPr>
      <w:r>
        <w:rPr>
          <w:rFonts w:ascii="Calibri" w:hAnsi="Calibri"/>
          <w:b/>
          <w:color w:val="0F294A"/>
          <w:sz w:val="28"/>
        </w:rPr>
        <w:t>2. Theoretical Foundation &amp; Behavioral Economics Framework</w:t>
      </w:r>
    </w:p>
    <w:p w14:paraId="29F3657D" w14:textId="77777777" w:rsidR="00B11507" w:rsidRDefault="00974EEF">
      <w:pPr>
        <w:spacing w:after="120"/>
      </w:pPr>
      <w:r>
        <w:rPr>
          <w:rFonts w:ascii="Calibri" w:hAnsi="Calibri"/>
          <w:color w:val="2D3748"/>
          <w:sz w:val="20"/>
        </w:rPr>
        <w:t>To interpret how UPI alters consumption patterns, this study integrates two foundational behavioral economics paradigms:</w:t>
      </w:r>
    </w:p>
    <w:p w14:paraId="79892E1E" w14:textId="77777777" w:rsidR="00B11507" w:rsidRDefault="00974EEF">
      <w:pPr>
        <w:pStyle w:val="ListBullet"/>
        <w:spacing w:after="60"/>
      </w:pPr>
      <w:r>
        <w:rPr>
          <w:rFonts w:ascii="Calibri" w:hAnsi="Calibri"/>
          <w:b/>
          <w:color w:val="1A365D"/>
          <w:sz w:val="20"/>
        </w:rPr>
        <w:t xml:space="preserve">1. Diminished 'Pain of Paying' (Prelec &amp; Loewenstein, 1998): </w:t>
      </w:r>
      <w:r>
        <w:rPr>
          <w:rFonts w:ascii="Calibri" w:hAnsi="Calibri"/>
          <w:color w:val="2D3748"/>
          <w:sz w:val="20"/>
        </w:rPr>
        <w:t>Parting with tangible physical banknotes creates acute cognitive and visceral friction ('loss aversion'). The tactile sensation of seeing cash physically leave one's wallet serves as a real-time budgeting feedback loop. UPI digital interfaces (QR code scanning, biometrics, PIN entry) decouple the emotional pain of payment from immediate consumption, transforming payments into frictionless, near-invisible transactions.</w:t>
      </w:r>
    </w:p>
    <w:p w14:paraId="1EBB4091" w14:textId="77777777" w:rsidR="00B11507" w:rsidRDefault="00974EEF">
      <w:pPr>
        <w:pStyle w:val="ListBullet"/>
        <w:spacing w:after="60"/>
      </w:pPr>
      <w:r>
        <w:rPr>
          <w:rFonts w:ascii="Calibri" w:hAnsi="Calibri"/>
          <w:b/>
          <w:color w:val="1A365D"/>
          <w:sz w:val="20"/>
        </w:rPr>
        <w:t xml:space="preserve">2. Mental Accounting Distortions (Thaler, 1999): </w:t>
      </w:r>
      <w:r>
        <w:rPr>
          <w:rFonts w:ascii="Calibri" w:hAnsi="Calibri"/>
          <w:color w:val="2D3748"/>
          <w:sz w:val="20"/>
        </w:rPr>
        <w:t>Students maintain mental budgets across distinct categorical accounts (e.g., food, entertainment, academics). High-velocity, small-ticket micro-transactions (₹15 chai, ₹40 canteen snack, ₹30 auto-rickshaw) are psychologically coded as 'negligible' and bypass standard cognitive accounting thresholds. Cumulatively, however, these micro-debits aggregate into massive budget overruns that students fail to perceive until their monthly bank balance is exhausted.</w:t>
      </w:r>
    </w:p>
    <w:p w14:paraId="10A8C455" w14:textId="77777777" w:rsidR="00B11507" w:rsidRDefault="00974EEF">
      <w:pPr>
        <w:pStyle w:val="ListBullet"/>
        <w:spacing w:after="60"/>
      </w:pPr>
      <w:r>
        <w:rPr>
          <w:rFonts w:ascii="Calibri" w:hAnsi="Calibri"/>
          <w:b/>
          <w:color w:val="1A365D"/>
          <w:sz w:val="20"/>
        </w:rPr>
        <w:lastRenderedPageBreak/>
        <w:t xml:space="preserve">3. Cash Displacement &amp; Low Reserve Buffering: </w:t>
      </w:r>
      <w:r>
        <w:rPr>
          <w:rFonts w:ascii="Calibri" w:hAnsi="Calibri"/>
          <w:color w:val="2D3748"/>
          <w:sz w:val="20"/>
        </w:rPr>
        <w:t>Students overwhelmingly abandon physical cash reserves. The empirical mean cash carried in wallet fell to ₹660.25 (median ₹250), stripping young spenders of traditional liquidity constraints and fostering reliance on digital overdrafts or rapid parental refills.</w:t>
      </w:r>
    </w:p>
    <w:p w14:paraId="3580B98F" w14:textId="77777777" w:rsidR="00B11507" w:rsidRDefault="00974EEF">
      <w:pPr>
        <w:keepNext/>
        <w:spacing w:before="280" w:after="80"/>
      </w:pPr>
      <w:r>
        <w:rPr>
          <w:rFonts w:ascii="Calibri" w:hAnsi="Calibri"/>
          <w:b/>
          <w:color w:val="0F294A"/>
          <w:sz w:val="28"/>
        </w:rPr>
        <w:t>3. Research Questions &amp; Formal Hypothesis Battery</w:t>
      </w:r>
    </w:p>
    <w:p w14:paraId="265B8422" w14:textId="77777777" w:rsidR="00B11507" w:rsidRDefault="00974EEF">
      <w:pPr>
        <w:spacing w:after="120"/>
      </w:pPr>
      <w:r>
        <w:rPr>
          <w:rFonts w:ascii="Calibri" w:hAnsi="Calibri"/>
          <w:color w:val="2D3748"/>
          <w:sz w:val="20"/>
        </w:rPr>
        <w:t>Four formal statistical hypotheses were tested at an alpha significance threshold of α = 0.01:</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1440"/>
        <w:gridCol w:w="2880"/>
        <w:gridCol w:w="2880"/>
        <w:gridCol w:w="2160"/>
      </w:tblGrid>
      <w:tr w:rsidR="00B11507" w14:paraId="622470D8" w14:textId="77777777">
        <w:trPr>
          <w:jc w:val="center"/>
        </w:trPr>
        <w:tc>
          <w:tcPr>
            <w:tcW w:w="1440" w:type="dxa"/>
            <w:shd w:val="clear" w:color="auto" w:fill="0F294A"/>
            <w:tcMar>
              <w:top w:w="100" w:type="dxa"/>
              <w:left w:w="100" w:type="dxa"/>
              <w:bottom w:w="100" w:type="dxa"/>
              <w:right w:w="100" w:type="dxa"/>
            </w:tcMar>
          </w:tcPr>
          <w:p w14:paraId="1FE8D662" w14:textId="77777777" w:rsidR="00B11507" w:rsidRDefault="00974EEF">
            <w:pPr>
              <w:jc w:val="center"/>
            </w:pPr>
            <w:r>
              <w:rPr>
                <w:rFonts w:ascii="Calibri" w:hAnsi="Calibri"/>
                <w:b/>
                <w:color w:val="FFFFFF"/>
                <w:sz w:val="19"/>
              </w:rPr>
              <w:t>Hypothesis</w:t>
            </w:r>
          </w:p>
        </w:tc>
        <w:tc>
          <w:tcPr>
            <w:tcW w:w="2880" w:type="dxa"/>
            <w:shd w:val="clear" w:color="auto" w:fill="0F294A"/>
            <w:tcMar>
              <w:top w:w="100" w:type="dxa"/>
              <w:left w:w="100" w:type="dxa"/>
              <w:bottom w:w="100" w:type="dxa"/>
              <w:right w:w="100" w:type="dxa"/>
            </w:tcMar>
          </w:tcPr>
          <w:p w14:paraId="427532C3" w14:textId="77777777" w:rsidR="00B11507" w:rsidRDefault="00974EEF">
            <w:pPr>
              <w:jc w:val="center"/>
            </w:pPr>
            <w:r>
              <w:rPr>
                <w:rFonts w:ascii="Calibri" w:hAnsi="Calibri"/>
                <w:b/>
                <w:color w:val="FFFFFF"/>
                <w:sz w:val="19"/>
              </w:rPr>
              <w:t>Null Hypothesis (H₀)</w:t>
            </w:r>
          </w:p>
        </w:tc>
        <w:tc>
          <w:tcPr>
            <w:tcW w:w="2880" w:type="dxa"/>
            <w:shd w:val="clear" w:color="auto" w:fill="0F294A"/>
            <w:tcMar>
              <w:top w:w="100" w:type="dxa"/>
              <w:left w:w="100" w:type="dxa"/>
              <w:bottom w:w="100" w:type="dxa"/>
              <w:right w:w="100" w:type="dxa"/>
            </w:tcMar>
          </w:tcPr>
          <w:p w14:paraId="25292F6B" w14:textId="77777777" w:rsidR="00B11507" w:rsidRDefault="00974EEF">
            <w:pPr>
              <w:jc w:val="center"/>
            </w:pPr>
            <w:r>
              <w:rPr>
                <w:rFonts w:ascii="Calibri" w:hAnsi="Calibri"/>
                <w:b/>
                <w:color w:val="FFFFFF"/>
                <w:sz w:val="19"/>
              </w:rPr>
              <w:t>Alternative Hypothesis (H₁)</w:t>
            </w:r>
          </w:p>
        </w:tc>
        <w:tc>
          <w:tcPr>
            <w:tcW w:w="2160" w:type="dxa"/>
            <w:shd w:val="clear" w:color="auto" w:fill="0F294A"/>
            <w:tcMar>
              <w:top w:w="100" w:type="dxa"/>
              <w:left w:w="100" w:type="dxa"/>
              <w:bottom w:w="100" w:type="dxa"/>
              <w:right w:w="100" w:type="dxa"/>
            </w:tcMar>
          </w:tcPr>
          <w:p w14:paraId="380CE7C6" w14:textId="77777777" w:rsidR="00B11507" w:rsidRDefault="00974EEF">
            <w:pPr>
              <w:jc w:val="center"/>
            </w:pPr>
            <w:r>
              <w:rPr>
                <w:rFonts w:ascii="Calibri" w:hAnsi="Calibri"/>
                <w:b/>
                <w:color w:val="FFFFFF"/>
                <w:sz w:val="19"/>
              </w:rPr>
              <w:t>Statistical Test</w:t>
            </w:r>
          </w:p>
        </w:tc>
      </w:tr>
      <w:tr w:rsidR="00B11507" w14:paraId="6F354A4A" w14:textId="77777777">
        <w:trPr>
          <w:jc w:val="center"/>
        </w:trPr>
        <w:tc>
          <w:tcPr>
            <w:tcW w:w="1440" w:type="dxa"/>
            <w:shd w:val="clear" w:color="auto" w:fill="F7FAFC"/>
            <w:tcMar>
              <w:top w:w="80" w:type="dxa"/>
              <w:left w:w="100" w:type="dxa"/>
              <w:bottom w:w="80" w:type="dxa"/>
              <w:right w:w="100" w:type="dxa"/>
            </w:tcMar>
          </w:tcPr>
          <w:p w14:paraId="2B09E71C" w14:textId="77777777" w:rsidR="00B11507" w:rsidRDefault="00974EEF">
            <w:pPr>
              <w:spacing w:line="264" w:lineRule="auto"/>
              <w:jc w:val="center"/>
            </w:pPr>
            <w:r>
              <w:rPr>
                <w:rFonts w:ascii="Calibri" w:hAnsi="Calibri"/>
                <w:b/>
                <w:color w:val="1A365D"/>
                <w:sz w:val="18"/>
              </w:rPr>
              <w:t>H1: Spend Inflation</w:t>
            </w:r>
          </w:p>
        </w:tc>
        <w:tc>
          <w:tcPr>
            <w:tcW w:w="2880" w:type="dxa"/>
            <w:shd w:val="clear" w:color="auto" w:fill="F7FAFC"/>
            <w:tcMar>
              <w:top w:w="80" w:type="dxa"/>
              <w:left w:w="100" w:type="dxa"/>
              <w:bottom w:w="80" w:type="dxa"/>
              <w:right w:w="100" w:type="dxa"/>
            </w:tcMar>
          </w:tcPr>
          <w:p w14:paraId="35F3F271" w14:textId="77777777" w:rsidR="00B11507" w:rsidRDefault="00974EEF">
            <w:pPr>
              <w:spacing w:line="264" w:lineRule="auto"/>
            </w:pPr>
            <w:r>
              <w:rPr>
                <w:rFonts w:ascii="Calibri" w:hAnsi="Calibri"/>
                <w:sz w:val="18"/>
              </w:rPr>
              <w:t>μ_after ≤ μ_before (No spending inflation post-UPI)</w:t>
            </w:r>
          </w:p>
        </w:tc>
        <w:tc>
          <w:tcPr>
            <w:tcW w:w="2880" w:type="dxa"/>
            <w:shd w:val="clear" w:color="auto" w:fill="F7FAFC"/>
            <w:tcMar>
              <w:top w:w="80" w:type="dxa"/>
              <w:left w:w="100" w:type="dxa"/>
              <w:bottom w:w="80" w:type="dxa"/>
              <w:right w:w="100" w:type="dxa"/>
            </w:tcMar>
          </w:tcPr>
          <w:p w14:paraId="6AA8A7A6" w14:textId="77777777" w:rsidR="00B11507" w:rsidRDefault="00974EEF">
            <w:pPr>
              <w:spacing w:line="264" w:lineRule="auto"/>
            </w:pPr>
            <w:r>
              <w:rPr>
                <w:rFonts w:ascii="Calibri" w:hAnsi="Calibri"/>
                <w:sz w:val="18"/>
              </w:rPr>
              <w:t>μ_after &gt; μ_before (Monthly expenditure is significantly higher)</w:t>
            </w:r>
          </w:p>
        </w:tc>
        <w:tc>
          <w:tcPr>
            <w:tcW w:w="2160" w:type="dxa"/>
            <w:shd w:val="clear" w:color="auto" w:fill="F7FAFC"/>
            <w:tcMar>
              <w:top w:w="80" w:type="dxa"/>
              <w:left w:w="100" w:type="dxa"/>
              <w:bottom w:w="80" w:type="dxa"/>
              <w:right w:w="100" w:type="dxa"/>
            </w:tcMar>
          </w:tcPr>
          <w:p w14:paraId="633479E6" w14:textId="77777777" w:rsidR="00B11507" w:rsidRDefault="00974EEF">
            <w:pPr>
              <w:spacing w:line="264" w:lineRule="auto"/>
            </w:pPr>
            <w:r>
              <w:rPr>
                <w:rFonts w:ascii="Calibri" w:hAnsi="Calibri"/>
                <w:sz w:val="18"/>
              </w:rPr>
              <w:t>Paired Two-Sample Student's T-Test</w:t>
            </w:r>
          </w:p>
        </w:tc>
      </w:tr>
      <w:tr w:rsidR="00B11507" w14:paraId="2A64840D" w14:textId="77777777">
        <w:trPr>
          <w:jc w:val="center"/>
        </w:trPr>
        <w:tc>
          <w:tcPr>
            <w:tcW w:w="1440" w:type="dxa"/>
            <w:shd w:val="clear" w:color="auto" w:fill="FFFFFF"/>
            <w:tcMar>
              <w:top w:w="80" w:type="dxa"/>
              <w:left w:w="100" w:type="dxa"/>
              <w:bottom w:w="80" w:type="dxa"/>
              <w:right w:w="100" w:type="dxa"/>
            </w:tcMar>
          </w:tcPr>
          <w:p w14:paraId="6A6FDBA3" w14:textId="77777777" w:rsidR="00B11507" w:rsidRDefault="00974EEF">
            <w:pPr>
              <w:spacing w:line="264" w:lineRule="auto"/>
              <w:jc w:val="center"/>
            </w:pPr>
            <w:r>
              <w:rPr>
                <w:rFonts w:ascii="Calibri" w:hAnsi="Calibri"/>
                <w:b/>
                <w:color w:val="1A365D"/>
                <w:sz w:val="18"/>
              </w:rPr>
              <w:t>H2: Daily Overspend</w:t>
            </w:r>
          </w:p>
        </w:tc>
        <w:tc>
          <w:tcPr>
            <w:tcW w:w="2880" w:type="dxa"/>
            <w:shd w:val="clear" w:color="auto" w:fill="FFFFFF"/>
            <w:tcMar>
              <w:top w:w="80" w:type="dxa"/>
              <w:left w:w="100" w:type="dxa"/>
              <w:bottom w:w="80" w:type="dxa"/>
              <w:right w:w="100" w:type="dxa"/>
            </w:tcMar>
          </w:tcPr>
          <w:p w14:paraId="6049E5A3" w14:textId="77777777" w:rsidR="00B11507" w:rsidRDefault="00974EEF">
            <w:pPr>
              <w:spacing w:line="264" w:lineRule="auto"/>
            </w:pPr>
            <w:r>
              <w:rPr>
                <w:rFonts w:ascii="Calibri" w:hAnsi="Calibri"/>
                <w:sz w:val="18"/>
              </w:rPr>
              <w:t>p_daily = p_infreq (Overspending rates are equal)</w:t>
            </w:r>
          </w:p>
        </w:tc>
        <w:tc>
          <w:tcPr>
            <w:tcW w:w="2880" w:type="dxa"/>
            <w:shd w:val="clear" w:color="auto" w:fill="FFFFFF"/>
            <w:tcMar>
              <w:top w:w="80" w:type="dxa"/>
              <w:left w:w="100" w:type="dxa"/>
              <w:bottom w:w="80" w:type="dxa"/>
              <w:right w:w="100" w:type="dxa"/>
            </w:tcMar>
          </w:tcPr>
          <w:p w14:paraId="0DFB8DDD" w14:textId="77777777" w:rsidR="00B11507" w:rsidRDefault="00974EEF">
            <w:pPr>
              <w:spacing w:line="264" w:lineRule="auto"/>
            </w:pPr>
            <w:r>
              <w:rPr>
                <w:rFonts w:ascii="Calibri" w:hAnsi="Calibri"/>
                <w:sz w:val="18"/>
              </w:rPr>
              <w:t>p_daily &gt; p_infreq (Daily transactors have higher overspending rate)</w:t>
            </w:r>
          </w:p>
        </w:tc>
        <w:tc>
          <w:tcPr>
            <w:tcW w:w="2160" w:type="dxa"/>
            <w:shd w:val="clear" w:color="auto" w:fill="FFFFFF"/>
            <w:tcMar>
              <w:top w:w="80" w:type="dxa"/>
              <w:left w:w="100" w:type="dxa"/>
              <w:bottom w:w="80" w:type="dxa"/>
              <w:right w:w="100" w:type="dxa"/>
            </w:tcMar>
          </w:tcPr>
          <w:p w14:paraId="067DFD21" w14:textId="77777777" w:rsidR="00B11507" w:rsidRDefault="00974EEF">
            <w:pPr>
              <w:spacing w:line="264" w:lineRule="auto"/>
            </w:pPr>
            <w:r>
              <w:rPr>
                <w:rFonts w:ascii="Calibri" w:hAnsi="Calibri"/>
                <w:sz w:val="18"/>
              </w:rPr>
              <w:t>Two-Sample Z-Test for Proportions</w:t>
            </w:r>
          </w:p>
        </w:tc>
      </w:tr>
      <w:tr w:rsidR="00B11507" w14:paraId="0DFBBD1D" w14:textId="77777777">
        <w:trPr>
          <w:jc w:val="center"/>
        </w:trPr>
        <w:tc>
          <w:tcPr>
            <w:tcW w:w="1440" w:type="dxa"/>
            <w:shd w:val="clear" w:color="auto" w:fill="F7FAFC"/>
            <w:tcMar>
              <w:top w:w="80" w:type="dxa"/>
              <w:left w:w="100" w:type="dxa"/>
              <w:bottom w:w="80" w:type="dxa"/>
              <w:right w:w="100" w:type="dxa"/>
            </w:tcMar>
          </w:tcPr>
          <w:p w14:paraId="6D2AAEE0" w14:textId="77777777" w:rsidR="00B11507" w:rsidRDefault="00974EEF">
            <w:pPr>
              <w:spacing w:line="264" w:lineRule="auto"/>
              <w:jc w:val="center"/>
            </w:pPr>
            <w:r>
              <w:rPr>
                <w:rFonts w:ascii="Calibri" w:hAnsi="Calibri"/>
                <w:b/>
                <w:color w:val="1A365D"/>
                <w:sz w:val="18"/>
              </w:rPr>
              <w:t>H3: Pain Dependency</w:t>
            </w:r>
          </w:p>
        </w:tc>
        <w:tc>
          <w:tcPr>
            <w:tcW w:w="2880" w:type="dxa"/>
            <w:shd w:val="clear" w:color="auto" w:fill="F7FAFC"/>
            <w:tcMar>
              <w:top w:w="80" w:type="dxa"/>
              <w:left w:w="100" w:type="dxa"/>
              <w:bottom w:w="80" w:type="dxa"/>
              <w:right w:w="100" w:type="dxa"/>
            </w:tcMar>
          </w:tcPr>
          <w:p w14:paraId="1983C482" w14:textId="77777777" w:rsidR="00B11507" w:rsidRDefault="00974EEF">
            <w:pPr>
              <w:spacing w:line="264" w:lineRule="auto"/>
            </w:pPr>
            <w:r>
              <w:rPr>
                <w:rFonts w:ascii="Calibri" w:hAnsi="Calibri"/>
                <w:sz w:val="18"/>
              </w:rPr>
              <w:t>Payment Pain and Overspending are independent</w:t>
            </w:r>
          </w:p>
        </w:tc>
        <w:tc>
          <w:tcPr>
            <w:tcW w:w="2880" w:type="dxa"/>
            <w:shd w:val="clear" w:color="auto" w:fill="F7FAFC"/>
            <w:tcMar>
              <w:top w:w="80" w:type="dxa"/>
              <w:left w:w="100" w:type="dxa"/>
              <w:bottom w:w="80" w:type="dxa"/>
              <w:right w:w="100" w:type="dxa"/>
            </w:tcMar>
          </w:tcPr>
          <w:p w14:paraId="6F166FE3" w14:textId="77777777" w:rsidR="00B11507" w:rsidRDefault="00974EEF">
            <w:pPr>
              <w:spacing w:line="264" w:lineRule="auto"/>
            </w:pPr>
            <w:r>
              <w:rPr>
                <w:rFonts w:ascii="Calibri" w:hAnsi="Calibri"/>
                <w:sz w:val="18"/>
              </w:rPr>
              <w:t>Payment Pain and Overspending are statistically dependent</w:t>
            </w:r>
          </w:p>
        </w:tc>
        <w:tc>
          <w:tcPr>
            <w:tcW w:w="2160" w:type="dxa"/>
            <w:shd w:val="clear" w:color="auto" w:fill="F7FAFC"/>
            <w:tcMar>
              <w:top w:w="80" w:type="dxa"/>
              <w:left w:w="100" w:type="dxa"/>
              <w:bottom w:w="80" w:type="dxa"/>
              <w:right w:w="100" w:type="dxa"/>
            </w:tcMar>
          </w:tcPr>
          <w:p w14:paraId="4ACF4E4D" w14:textId="77777777" w:rsidR="00B11507" w:rsidRDefault="00974EEF">
            <w:pPr>
              <w:spacing w:line="264" w:lineRule="auto"/>
            </w:pPr>
            <w:r>
              <w:rPr>
                <w:rFonts w:ascii="Calibri" w:hAnsi="Calibri"/>
                <w:sz w:val="18"/>
              </w:rPr>
              <w:t>Pearson's Chi-Square (χ²) Independence</w:t>
            </w:r>
          </w:p>
        </w:tc>
      </w:tr>
      <w:tr w:rsidR="00B11507" w14:paraId="38CF3A74" w14:textId="77777777">
        <w:trPr>
          <w:jc w:val="center"/>
        </w:trPr>
        <w:tc>
          <w:tcPr>
            <w:tcW w:w="1440" w:type="dxa"/>
            <w:shd w:val="clear" w:color="auto" w:fill="FFFFFF"/>
            <w:tcMar>
              <w:top w:w="80" w:type="dxa"/>
              <w:left w:w="100" w:type="dxa"/>
              <w:bottom w:w="80" w:type="dxa"/>
              <w:right w:w="100" w:type="dxa"/>
            </w:tcMar>
          </w:tcPr>
          <w:p w14:paraId="0D92AC8C" w14:textId="77777777" w:rsidR="00B11507" w:rsidRDefault="00974EEF">
            <w:pPr>
              <w:spacing w:line="264" w:lineRule="auto"/>
              <w:jc w:val="center"/>
            </w:pPr>
            <w:r>
              <w:rPr>
                <w:rFonts w:ascii="Calibri" w:hAnsi="Calibri"/>
                <w:b/>
                <w:color w:val="1A365D"/>
                <w:sz w:val="18"/>
              </w:rPr>
              <w:t>H4: Tier Scaling</w:t>
            </w:r>
          </w:p>
        </w:tc>
        <w:tc>
          <w:tcPr>
            <w:tcW w:w="2880" w:type="dxa"/>
            <w:shd w:val="clear" w:color="auto" w:fill="FFFFFF"/>
            <w:tcMar>
              <w:top w:w="80" w:type="dxa"/>
              <w:left w:w="100" w:type="dxa"/>
              <w:bottom w:w="80" w:type="dxa"/>
              <w:right w:w="100" w:type="dxa"/>
            </w:tcMar>
          </w:tcPr>
          <w:p w14:paraId="4EF23460" w14:textId="77777777" w:rsidR="00B11507" w:rsidRDefault="00974EEF">
            <w:pPr>
              <w:spacing w:line="264" w:lineRule="auto"/>
            </w:pPr>
            <w:r>
              <w:rPr>
                <w:rFonts w:ascii="Calibri" w:hAnsi="Calibri"/>
                <w:sz w:val="18"/>
              </w:rPr>
              <w:t>μ₁ = μ₂ = μ₃ = μ₄ = μ₅ (Equal influence rating across tiers)</w:t>
            </w:r>
          </w:p>
        </w:tc>
        <w:tc>
          <w:tcPr>
            <w:tcW w:w="2880" w:type="dxa"/>
            <w:shd w:val="clear" w:color="auto" w:fill="FFFFFF"/>
            <w:tcMar>
              <w:top w:w="80" w:type="dxa"/>
              <w:left w:w="100" w:type="dxa"/>
              <w:bottom w:w="80" w:type="dxa"/>
              <w:right w:w="100" w:type="dxa"/>
            </w:tcMar>
          </w:tcPr>
          <w:p w14:paraId="3CD02596" w14:textId="77777777" w:rsidR="00B11507" w:rsidRDefault="00974EEF">
            <w:pPr>
              <w:spacing w:line="264" w:lineRule="auto"/>
            </w:pPr>
            <w:r>
              <w:rPr>
                <w:rFonts w:ascii="Calibri" w:hAnsi="Calibri"/>
                <w:sz w:val="18"/>
              </w:rPr>
              <w:t>At least one tier exhibits significantly higher influence</w:t>
            </w:r>
          </w:p>
        </w:tc>
        <w:tc>
          <w:tcPr>
            <w:tcW w:w="2160" w:type="dxa"/>
            <w:shd w:val="clear" w:color="auto" w:fill="FFFFFF"/>
            <w:tcMar>
              <w:top w:w="80" w:type="dxa"/>
              <w:left w:w="100" w:type="dxa"/>
              <w:bottom w:w="80" w:type="dxa"/>
              <w:right w:w="100" w:type="dxa"/>
            </w:tcMar>
          </w:tcPr>
          <w:p w14:paraId="183EB5C0" w14:textId="77777777" w:rsidR="00B11507" w:rsidRDefault="00974EEF">
            <w:pPr>
              <w:spacing w:line="264" w:lineRule="auto"/>
            </w:pPr>
            <w:r>
              <w:rPr>
                <w:rFonts w:ascii="Calibri" w:hAnsi="Calibri"/>
                <w:sz w:val="18"/>
              </w:rPr>
              <w:t>One-Way ANOVA (F-Test)</w:t>
            </w:r>
          </w:p>
        </w:tc>
      </w:tr>
    </w:tbl>
    <w:p w14:paraId="0102345C" w14:textId="77777777" w:rsidR="00B11507" w:rsidRDefault="00B11507">
      <w:pPr>
        <w:spacing w:after="160"/>
      </w:pPr>
    </w:p>
    <w:p w14:paraId="4C9F5416" w14:textId="77777777" w:rsidR="00B11507" w:rsidRDefault="00974EEF">
      <w:pPr>
        <w:keepNext/>
        <w:spacing w:before="280" w:after="80"/>
      </w:pPr>
      <w:r>
        <w:rPr>
          <w:rFonts w:ascii="Calibri" w:hAnsi="Calibri"/>
          <w:b/>
          <w:color w:val="0F294A"/>
          <w:sz w:val="28"/>
        </w:rPr>
        <w:t>4. Survey Methodology, Instrument Design &amp; Sample Profile</w:t>
      </w:r>
    </w:p>
    <w:p w14:paraId="17699F58" w14:textId="77777777" w:rsidR="00B11507" w:rsidRDefault="00974EEF">
      <w:pPr>
        <w:spacing w:after="120"/>
      </w:pPr>
      <w:r>
        <w:rPr>
          <w:rFonts w:ascii="Calibri" w:hAnsi="Calibri"/>
          <w:color w:val="2D3748"/>
          <w:sz w:val="20"/>
        </w:rPr>
        <w:t>A multi-stage stratified survey instrument consisting of 15 structured items was administered to N = 3,000 university students (ages 17–26; representing STEM, Commerce, Management, and Humanities faculties across major metropolitan and Tier-2 Indian hubs). Variables captured primary usage frequencies, granular expenditure brackets (pre- and post-UPI adoption), typical physical cash carried, psychometric Likert scales on impulse purchasing, regret, cashback influence, and self-rated influence scores (1–10 sc</w:t>
      </w:r>
      <w:r>
        <w:rPr>
          <w:rFonts w:ascii="Calibri" w:hAnsi="Calibri"/>
          <w:color w:val="2D3748"/>
          <w:sz w:val="20"/>
        </w:rPr>
        <w:t>ale).</w:t>
      </w:r>
    </w:p>
    <w:p w14:paraId="4A12BF9F" w14:textId="77777777" w:rsidR="00B11507" w:rsidRDefault="00974EEF">
      <w:pPr>
        <w:keepNext/>
        <w:spacing w:before="200" w:after="60"/>
      </w:pPr>
      <w:r>
        <w:rPr>
          <w:rFonts w:ascii="Calibri" w:hAnsi="Calibri"/>
          <w:b/>
          <w:color w:val="2B6CB0"/>
          <w:sz w:val="23"/>
        </w:rPr>
        <w:t>Table 1: Descriptive Statistics of Quantitative Behavioral Features (N = 3,000)</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1152"/>
        <w:gridCol w:w="1008"/>
        <w:gridCol w:w="1008"/>
        <w:gridCol w:w="1296"/>
        <w:gridCol w:w="1152"/>
        <w:gridCol w:w="1152"/>
      </w:tblGrid>
      <w:tr w:rsidR="00B11507" w14:paraId="65C53E30" w14:textId="77777777">
        <w:trPr>
          <w:jc w:val="center"/>
        </w:trPr>
        <w:tc>
          <w:tcPr>
            <w:tcW w:w="2592" w:type="dxa"/>
            <w:shd w:val="clear" w:color="auto" w:fill="0F294A"/>
            <w:tcMar>
              <w:top w:w="80" w:type="dxa"/>
              <w:left w:w="60" w:type="dxa"/>
              <w:bottom w:w="80" w:type="dxa"/>
              <w:right w:w="60" w:type="dxa"/>
            </w:tcMar>
          </w:tcPr>
          <w:p w14:paraId="4C4E09A2" w14:textId="77777777" w:rsidR="00B11507" w:rsidRDefault="00974EEF">
            <w:pPr>
              <w:jc w:val="center"/>
            </w:pPr>
            <w:r>
              <w:rPr>
                <w:rFonts w:ascii="Calibri" w:hAnsi="Calibri"/>
                <w:b/>
                <w:color w:val="FFFFFF"/>
                <w:sz w:val="18"/>
              </w:rPr>
              <w:t>Feature Variable</w:t>
            </w:r>
          </w:p>
        </w:tc>
        <w:tc>
          <w:tcPr>
            <w:tcW w:w="1152" w:type="dxa"/>
            <w:shd w:val="clear" w:color="auto" w:fill="0F294A"/>
            <w:tcMar>
              <w:top w:w="80" w:type="dxa"/>
              <w:left w:w="60" w:type="dxa"/>
              <w:bottom w:w="80" w:type="dxa"/>
              <w:right w:w="60" w:type="dxa"/>
            </w:tcMar>
          </w:tcPr>
          <w:p w14:paraId="68D461A4" w14:textId="77777777" w:rsidR="00B11507" w:rsidRDefault="00974EEF">
            <w:pPr>
              <w:jc w:val="center"/>
            </w:pPr>
            <w:r>
              <w:rPr>
                <w:rFonts w:ascii="Calibri" w:hAnsi="Calibri"/>
                <w:b/>
                <w:color w:val="FFFFFF"/>
                <w:sz w:val="18"/>
              </w:rPr>
              <w:t>Mean</w:t>
            </w:r>
          </w:p>
        </w:tc>
        <w:tc>
          <w:tcPr>
            <w:tcW w:w="1008" w:type="dxa"/>
            <w:shd w:val="clear" w:color="auto" w:fill="0F294A"/>
            <w:tcMar>
              <w:top w:w="80" w:type="dxa"/>
              <w:left w:w="60" w:type="dxa"/>
              <w:bottom w:w="80" w:type="dxa"/>
              <w:right w:w="60" w:type="dxa"/>
            </w:tcMar>
          </w:tcPr>
          <w:p w14:paraId="36B2CFF5" w14:textId="77777777" w:rsidR="00B11507" w:rsidRDefault="00974EEF">
            <w:pPr>
              <w:jc w:val="center"/>
            </w:pPr>
            <w:r>
              <w:rPr>
                <w:rFonts w:ascii="Calibri" w:hAnsi="Calibri"/>
                <w:b/>
                <w:color w:val="FFFFFF"/>
                <w:sz w:val="18"/>
              </w:rPr>
              <w:t>Median</w:t>
            </w:r>
          </w:p>
        </w:tc>
        <w:tc>
          <w:tcPr>
            <w:tcW w:w="1008" w:type="dxa"/>
            <w:shd w:val="clear" w:color="auto" w:fill="0F294A"/>
            <w:tcMar>
              <w:top w:w="80" w:type="dxa"/>
              <w:left w:w="60" w:type="dxa"/>
              <w:bottom w:w="80" w:type="dxa"/>
              <w:right w:w="60" w:type="dxa"/>
            </w:tcMar>
          </w:tcPr>
          <w:p w14:paraId="04E0BBC1" w14:textId="77777777" w:rsidR="00B11507" w:rsidRDefault="00974EEF">
            <w:pPr>
              <w:jc w:val="center"/>
            </w:pPr>
            <w:r>
              <w:rPr>
                <w:rFonts w:ascii="Calibri" w:hAnsi="Calibri"/>
                <w:b/>
                <w:color w:val="FFFFFF"/>
                <w:sz w:val="18"/>
              </w:rPr>
              <w:t>Mode</w:t>
            </w:r>
          </w:p>
        </w:tc>
        <w:tc>
          <w:tcPr>
            <w:tcW w:w="1296" w:type="dxa"/>
            <w:shd w:val="clear" w:color="auto" w:fill="0F294A"/>
            <w:tcMar>
              <w:top w:w="80" w:type="dxa"/>
              <w:left w:w="60" w:type="dxa"/>
              <w:bottom w:w="80" w:type="dxa"/>
              <w:right w:w="60" w:type="dxa"/>
            </w:tcMar>
          </w:tcPr>
          <w:p w14:paraId="3C8F951C" w14:textId="77777777" w:rsidR="00B11507" w:rsidRDefault="00974EEF">
            <w:pPr>
              <w:jc w:val="center"/>
            </w:pPr>
            <w:r>
              <w:rPr>
                <w:rFonts w:ascii="Calibri" w:hAnsi="Calibri"/>
                <w:b/>
                <w:color w:val="FFFFFF"/>
                <w:sz w:val="18"/>
              </w:rPr>
              <w:t>Std Dev</w:t>
            </w:r>
          </w:p>
        </w:tc>
        <w:tc>
          <w:tcPr>
            <w:tcW w:w="1152" w:type="dxa"/>
            <w:shd w:val="clear" w:color="auto" w:fill="0F294A"/>
            <w:tcMar>
              <w:top w:w="80" w:type="dxa"/>
              <w:left w:w="60" w:type="dxa"/>
              <w:bottom w:w="80" w:type="dxa"/>
              <w:right w:w="60" w:type="dxa"/>
            </w:tcMar>
          </w:tcPr>
          <w:p w14:paraId="6B581D46" w14:textId="77777777" w:rsidR="00B11507" w:rsidRDefault="00974EEF">
            <w:pPr>
              <w:jc w:val="center"/>
            </w:pPr>
            <w:r>
              <w:rPr>
                <w:rFonts w:ascii="Calibri" w:hAnsi="Calibri"/>
                <w:b/>
                <w:color w:val="FFFFFF"/>
                <w:sz w:val="18"/>
              </w:rPr>
              <w:t>IQR</w:t>
            </w:r>
          </w:p>
        </w:tc>
        <w:tc>
          <w:tcPr>
            <w:tcW w:w="1152" w:type="dxa"/>
            <w:shd w:val="clear" w:color="auto" w:fill="0F294A"/>
            <w:tcMar>
              <w:top w:w="80" w:type="dxa"/>
              <w:left w:w="60" w:type="dxa"/>
              <w:bottom w:w="80" w:type="dxa"/>
              <w:right w:w="60" w:type="dxa"/>
            </w:tcMar>
          </w:tcPr>
          <w:p w14:paraId="2E67F8EC" w14:textId="77777777" w:rsidR="00B11507" w:rsidRDefault="00974EEF">
            <w:pPr>
              <w:jc w:val="center"/>
            </w:pPr>
            <w:r>
              <w:rPr>
                <w:rFonts w:ascii="Calibri" w:hAnsi="Calibri"/>
                <w:b/>
                <w:color w:val="FFFFFF"/>
                <w:sz w:val="18"/>
              </w:rPr>
              <w:t>Skewness</w:t>
            </w:r>
          </w:p>
        </w:tc>
      </w:tr>
      <w:tr w:rsidR="00B11507" w14:paraId="507CE6FB" w14:textId="77777777">
        <w:trPr>
          <w:jc w:val="center"/>
        </w:trPr>
        <w:tc>
          <w:tcPr>
            <w:tcW w:w="2592" w:type="dxa"/>
            <w:shd w:val="clear" w:color="auto" w:fill="F7FAFC"/>
            <w:tcMar>
              <w:top w:w="70" w:type="dxa"/>
              <w:left w:w="60" w:type="dxa"/>
              <w:bottom w:w="70" w:type="dxa"/>
              <w:right w:w="60" w:type="dxa"/>
            </w:tcMar>
          </w:tcPr>
          <w:p w14:paraId="5AEFAA14" w14:textId="77777777" w:rsidR="00B11507" w:rsidRDefault="00974EEF">
            <w:r>
              <w:rPr>
                <w:rFonts w:ascii="Calibri" w:hAnsi="Calibri"/>
                <w:b/>
                <w:sz w:val="17"/>
              </w:rPr>
              <w:t>Monthly UPI Spend (₹)</w:t>
            </w:r>
          </w:p>
        </w:tc>
        <w:tc>
          <w:tcPr>
            <w:tcW w:w="1152" w:type="dxa"/>
            <w:shd w:val="clear" w:color="auto" w:fill="F7FAFC"/>
            <w:tcMar>
              <w:top w:w="70" w:type="dxa"/>
              <w:left w:w="60" w:type="dxa"/>
              <w:bottom w:w="70" w:type="dxa"/>
              <w:right w:w="60" w:type="dxa"/>
            </w:tcMar>
          </w:tcPr>
          <w:p w14:paraId="375C97A9" w14:textId="77777777" w:rsidR="00B11507" w:rsidRDefault="00974EEF">
            <w:pPr>
              <w:jc w:val="right"/>
            </w:pPr>
            <w:r>
              <w:rPr>
                <w:rFonts w:ascii="Calibri" w:hAnsi="Calibri"/>
                <w:sz w:val="17"/>
              </w:rPr>
              <w:t>₹</w:t>
            </w:r>
            <w:r>
              <w:rPr>
                <w:rFonts w:ascii="Calibri" w:hAnsi="Calibri"/>
                <w:sz w:val="17"/>
              </w:rPr>
              <w:t>13,178.83</w:t>
            </w:r>
          </w:p>
        </w:tc>
        <w:tc>
          <w:tcPr>
            <w:tcW w:w="1008" w:type="dxa"/>
            <w:shd w:val="clear" w:color="auto" w:fill="F7FAFC"/>
            <w:tcMar>
              <w:top w:w="70" w:type="dxa"/>
              <w:left w:w="60" w:type="dxa"/>
              <w:bottom w:w="70" w:type="dxa"/>
              <w:right w:w="60" w:type="dxa"/>
            </w:tcMar>
          </w:tcPr>
          <w:p w14:paraId="7632F26D" w14:textId="77777777" w:rsidR="00B11507" w:rsidRDefault="00974EEF">
            <w:pPr>
              <w:jc w:val="right"/>
            </w:pPr>
            <w:r>
              <w:rPr>
                <w:rFonts w:ascii="Calibri" w:hAnsi="Calibri"/>
                <w:sz w:val="17"/>
              </w:rPr>
              <w:t>₹</w:t>
            </w:r>
            <w:r>
              <w:rPr>
                <w:rFonts w:ascii="Calibri" w:hAnsi="Calibri"/>
                <w:sz w:val="17"/>
              </w:rPr>
              <w:t>7,500.00</w:t>
            </w:r>
          </w:p>
        </w:tc>
        <w:tc>
          <w:tcPr>
            <w:tcW w:w="1008" w:type="dxa"/>
            <w:shd w:val="clear" w:color="auto" w:fill="F7FAFC"/>
            <w:tcMar>
              <w:top w:w="70" w:type="dxa"/>
              <w:left w:w="60" w:type="dxa"/>
              <w:bottom w:w="70" w:type="dxa"/>
              <w:right w:w="60" w:type="dxa"/>
            </w:tcMar>
          </w:tcPr>
          <w:p w14:paraId="1B8B3D1B" w14:textId="77777777" w:rsidR="00B11507" w:rsidRDefault="00974EEF">
            <w:pPr>
              <w:jc w:val="right"/>
            </w:pPr>
            <w:r>
              <w:rPr>
                <w:rFonts w:ascii="Calibri" w:hAnsi="Calibri"/>
                <w:sz w:val="17"/>
              </w:rPr>
              <w:t>₹</w:t>
            </w:r>
            <w:r>
              <w:rPr>
                <w:rFonts w:ascii="Calibri" w:hAnsi="Calibri"/>
                <w:sz w:val="17"/>
              </w:rPr>
              <w:t>7,500.00</w:t>
            </w:r>
          </w:p>
        </w:tc>
        <w:tc>
          <w:tcPr>
            <w:tcW w:w="1296" w:type="dxa"/>
            <w:shd w:val="clear" w:color="auto" w:fill="F7FAFC"/>
            <w:tcMar>
              <w:top w:w="70" w:type="dxa"/>
              <w:left w:w="60" w:type="dxa"/>
              <w:bottom w:w="70" w:type="dxa"/>
              <w:right w:w="60" w:type="dxa"/>
            </w:tcMar>
          </w:tcPr>
          <w:p w14:paraId="47B3F1E0" w14:textId="77777777" w:rsidR="00B11507" w:rsidRDefault="00974EEF">
            <w:pPr>
              <w:jc w:val="right"/>
            </w:pPr>
            <w:r>
              <w:rPr>
                <w:rFonts w:ascii="Calibri" w:hAnsi="Calibri"/>
                <w:sz w:val="17"/>
              </w:rPr>
              <w:t>₹</w:t>
            </w:r>
            <w:r>
              <w:rPr>
                <w:rFonts w:ascii="Calibri" w:hAnsi="Calibri"/>
                <w:sz w:val="17"/>
              </w:rPr>
              <w:t>9,070.42</w:t>
            </w:r>
          </w:p>
        </w:tc>
        <w:tc>
          <w:tcPr>
            <w:tcW w:w="1152" w:type="dxa"/>
            <w:shd w:val="clear" w:color="auto" w:fill="F7FAFC"/>
            <w:tcMar>
              <w:top w:w="70" w:type="dxa"/>
              <w:left w:w="60" w:type="dxa"/>
              <w:bottom w:w="70" w:type="dxa"/>
              <w:right w:w="60" w:type="dxa"/>
            </w:tcMar>
          </w:tcPr>
          <w:p w14:paraId="5D52F9A3" w14:textId="77777777" w:rsidR="00B11507" w:rsidRDefault="00974EEF">
            <w:pPr>
              <w:jc w:val="right"/>
            </w:pPr>
            <w:r>
              <w:rPr>
                <w:rFonts w:ascii="Calibri" w:hAnsi="Calibri"/>
                <w:sz w:val="17"/>
              </w:rPr>
              <w:t>₹</w:t>
            </w:r>
            <w:r>
              <w:rPr>
                <w:rFonts w:ascii="Calibri" w:hAnsi="Calibri"/>
                <w:sz w:val="17"/>
              </w:rPr>
              <w:t>7,500.00</w:t>
            </w:r>
          </w:p>
        </w:tc>
        <w:tc>
          <w:tcPr>
            <w:tcW w:w="1152" w:type="dxa"/>
            <w:shd w:val="clear" w:color="auto" w:fill="F7FAFC"/>
            <w:tcMar>
              <w:top w:w="70" w:type="dxa"/>
              <w:left w:w="60" w:type="dxa"/>
              <w:bottom w:w="70" w:type="dxa"/>
              <w:right w:w="60" w:type="dxa"/>
            </w:tcMar>
          </w:tcPr>
          <w:p w14:paraId="533FC532" w14:textId="77777777" w:rsidR="00B11507" w:rsidRDefault="00974EEF">
            <w:pPr>
              <w:jc w:val="right"/>
            </w:pPr>
            <w:r>
              <w:rPr>
                <w:rFonts w:ascii="Calibri" w:hAnsi="Calibri"/>
                <w:sz w:val="17"/>
              </w:rPr>
              <w:t>+1.000</w:t>
            </w:r>
          </w:p>
        </w:tc>
      </w:tr>
      <w:tr w:rsidR="00B11507" w14:paraId="065FC0E2" w14:textId="77777777">
        <w:trPr>
          <w:jc w:val="center"/>
        </w:trPr>
        <w:tc>
          <w:tcPr>
            <w:tcW w:w="2592" w:type="dxa"/>
            <w:shd w:val="clear" w:color="auto" w:fill="FFFFFF"/>
            <w:tcMar>
              <w:top w:w="70" w:type="dxa"/>
              <w:left w:w="60" w:type="dxa"/>
              <w:bottom w:w="70" w:type="dxa"/>
              <w:right w:w="60" w:type="dxa"/>
            </w:tcMar>
          </w:tcPr>
          <w:p w14:paraId="62B60086" w14:textId="77777777" w:rsidR="00B11507" w:rsidRDefault="00974EEF">
            <w:r>
              <w:rPr>
                <w:rFonts w:ascii="Calibri" w:hAnsi="Calibri"/>
                <w:b/>
                <w:sz w:val="17"/>
              </w:rPr>
              <w:t>Monthly Spend Before UPI (₹)</w:t>
            </w:r>
          </w:p>
        </w:tc>
        <w:tc>
          <w:tcPr>
            <w:tcW w:w="1152" w:type="dxa"/>
            <w:shd w:val="clear" w:color="auto" w:fill="FFFFFF"/>
            <w:tcMar>
              <w:top w:w="70" w:type="dxa"/>
              <w:left w:w="60" w:type="dxa"/>
              <w:bottom w:w="70" w:type="dxa"/>
              <w:right w:w="60" w:type="dxa"/>
            </w:tcMar>
          </w:tcPr>
          <w:p w14:paraId="7B3F109C" w14:textId="77777777" w:rsidR="00B11507" w:rsidRDefault="00974EEF">
            <w:pPr>
              <w:jc w:val="right"/>
            </w:pPr>
            <w:r>
              <w:rPr>
                <w:rFonts w:ascii="Calibri" w:hAnsi="Calibri"/>
                <w:sz w:val="17"/>
              </w:rPr>
              <w:t>₹</w:t>
            </w:r>
            <w:r>
              <w:rPr>
                <w:rFonts w:ascii="Calibri" w:hAnsi="Calibri"/>
                <w:sz w:val="17"/>
              </w:rPr>
              <w:t>9,081.62</w:t>
            </w:r>
          </w:p>
        </w:tc>
        <w:tc>
          <w:tcPr>
            <w:tcW w:w="1008" w:type="dxa"/>
            <w:shd w:val="clear" w:color="auto" w:fill="FFFFFF"/>
            <w:tcMar>
              <w:top w:w="70" w:type="dxa"/>
              <w:left w:w="60" w:type="dxa"/>
              <w:bottom w:w="70" w:type="dxa"/>
              <w:right w:w="60" w:type="dxa"/>
            </w:tcMar>
          </w:tcPr>
          <w:p w14:paraId="3D6D1B25" w14:textId="77777777" w:rsidR="00B11507" w:rsidRDefault="00974EEF">
            <w:pPr>
              <w:jc w:val="right"/>
            </w:pPr>
            <w:r>
              <w:rPr>
                <w:rFonts w:ascii="Calibri" w:hAnsi="Calibri"/>
                <w:sz w:val="17"/>
              </w:rPr>
              <w:t>₹</w:t>
            </w:r>
            <w:r>
              <w:rPr>
                <w:rFonts w:ascii="Calibri" w:hAnsi="Calibri"/>
                <w:sz w:val="17"/>
              </w:rPr>
              <w:t>7,500.00</w:t>
            </w:r>
          </w:p>
        </w:tc>
        <w:tc>
          <w:tcPr>
            <w:tcW w:w="1008" w:type="dxa"/>
            <w:shd w:val="clear" w:color="auto" w:fill="FFFFFF"/>
            <w:tcMar>
              <w:top w:w="70" w:type="dxa"/>
              <w:left w:w="60" w:type="dxa"/>
              <w:bottom w:w="70" w:type="dxa"/>
              <w:right w:w="60" w:type="dxa"/>
            </w:tcMar>
          </w:tcPr>
          <w:p w14:paraId="1DB738A1" w14:textId="77777777" w:rsidR="00B11507" w:rsidRDefault="00974EEF">
            <w:pPr>
              <w:jc w:val="right"/>
            </w:pPr>
            <w:r>
              <w:rPr>
                <w:rFonts w:ascii="Calibri" w:hAnsi="Calibri"/>
                <w:sz w:val="17"/>
              </w:rPr>
              <w:t>₹</w:t>
            </w:r>
            <w:r>
              <w:rPr>
                <w:rFonts w:ascii="Calibri" w:hAnsi="Calibri"/>
                <w:sz w:val="17"/>
              </w:rPr>
              <w:t>7,500.00</w:t>
            </w:r>
          </w:p>
        </w:tc>
        <w:tc>
          <w:tcPr>
            <w:tcW w:w="1296" w:type="dxa"/>
            <w:shd w:val="clear" w:color="auto" w:fill="FFFFFF"/>
            <w:tcMar>
              <w:top w:w="70" w:type="dxa"/>
              <w:left w:w="60" w:type="dxa"/>
              <w:bottom w:w="70" w:type="dxa"/>
              <w:right w:w="60" w:type="dxa"/>
            </w:tcMar>
          </w:tcPr>
          <w:p w14:paraId="19043854" w14:textId="77777777" w:rsidR="00B11507" w:rsidRDefault="00974EEF">
            <w:pPr>
              <w:jc w:val="right"/>
            </w:pPr>
            <w:r>
              <w:rPr>
                <w:rFonts w:ascii="Calibri" w:hAnsi="Calibri"/>
                <w:sz w:val="17"/>
              </w:rPr>
              <w:t>₹</w:t>
            </w:r>
            <w:r>
              <w:rPr>
                <w:rFonts w:ascii="Calibri" w:hAnsi="Calibri"/>
                <w:sz w:val="17"/>
              </w:rPr>
              <w:t>5,412.18</w:t>
            </w:r>
          </w:p>
        </w:tc>
        <w:tc>
          <w:tcPr>
            <w:tcW w:w="1152" w:type="dxa"/>
            <w:shd w:val="clear" w:color="auto" w:fill="FFFFFF"/>
            <w:tcMar>
              <w:top w:w="70" w:type="dxa"/>
              <w:left w:w="60" w:type="dxa"/>
              <w:bottom w:w="70" w:type="dxa"/>
              <w:right w:w="60" w:type="dxa"/>
            </w:tcMar>
          </w:tcPr>
          <w:p w14:paraId="51F1BF10" w14:textId="77777777" w:rsidR="00B11507" w:rsidRDefault="00974EEF">
            <w:pPr>
              <w:jc w:val="right"/>
            </w:pPr>
            <w:r>
              <w:rPr>
                <w:rFonts w:ascii="Calibri" w:hAnsi="Calibri"/>
                <w:sz w:val="17"/>
              </w:rPr>
              <w:t>₹</w:t>
            </w:r>
            <w:r>
              <w:rPr>
                <w:rFonts w:ascii="Calibri" w:hAnsi="Calibri"/>
                <w:sz w:val="17"/>
              </w:rPr>
              <w:t>4,000.00</w:t>
            </w:r>
          </w:p>
        </w:tc>
        <w:tc>
          <w:tcPr>
            <w:tcW w:w="1152" w:type="dxa"/>
            <w:shd w:val="clear" w:color="auto" w:fill="FFFFFF"/>
            <w:tcMar>
              <w:top w:w="70" w:type="dxa"/>
              <w:left w:w="60" w:type="dxa"/>
              <w:bottom w:w="70" w:type="dxa"/>
              <w:right w:w="60" w:type="dxa"/>
            </w:tcMar>
          </w:tcPr>
          <w:p w14:paraId="423BACC4" w14:textId="77777777" w:rsidR="00B11507" w:rsidRDefault="00974EEF">
            <w:pPr>
              <w:jc w:val="right"/>
            </w:pPr>
            <w:r>
              <w:rPr>
                <w:rFonts w:ascii="Calibri" w:hAnsi="Calibri"/>
                <w:sz w:val="17"/>
              </w:rPr>
              <w:t>+0.842</w:t>
            </w:r>
          </w:p>
        </w:tc>
      </w:tr>
      <w:tr w:rsidR="00B11507" w14:paraId="1F5E3A95" w14:textId="77777777">
        <w:trPr>
          <w:jc w:val="center"/>
        </w:trPr>
        <w:tc>
          <w:tcPr>
            <w:tcW w:w="2592" w:type="dxa"/>
            <w:shd w:val="clear" w:color="auto" w:fill="F7FAFC"/>
            <w:tcMar>
              <w:top w:w="70" w:type="dxa"/>
              <w:left w:w="60" w:type="dxa"/>
              <w:bottom w:w="70" w:type="dxa"/>
              <w:right w:w="60" w:type="dxa"/>
            </w:tcMar>
          </w:tcPr>
          <w:p w14:paraId="2277643D" w14:textId="77777777" w:rsidR="00B11507" w:rsidRDefault="00974EEF">
            <w:r>
              <w:rPr>
                <w:rFonts w:ascii="Calibri" w:hAnsi="Calibri"/>
                <w:b/>
                <w:sz w:val="17"/>
              </w:rPr>
              <w:t>Monthly Spend After UPI (₹)</w:t>
            </w:r>
          </w:p>
        </w:tc>
        <w:tc>
          <w:tcPr>
            <w:tcW w:w="1152" w:type="dxa"/>
            <w:shd w:val="clear" w:color="auto" w:fill="F7FAFC"/>
            <w:tcMar>
              <w:top w:w="70" w:type="dxa"/>
              <w:left w:w="60" w:type="dxa"/>
              <w:bottom w:w="70" w:type="dxa"/>
              <w:right w:w="60" w:type="dxa"/>
            </w:tcMar>
          </w:tcPr>
          <w:p w14:paraId="594D2C3C" w14:textId="77777777" w:rsidR="00B11507" w:rsidRDefault="00974EEF">
            <w:pPr>
              <w:jc w:val="right"/>
            </w:pPr>
            <w:r>
              <w:rPr>
                <w:rFonts w:ascii="Calibri" w:hAnsi="Calibri"/>
                <w:sz w:val="17"/>
              </w:rPr>
              <w:t>₹</w:t>
            </w:r>
            <w:r>
              <w:rPr>
                <w:rFonts w:ascii="Calibri" w:hAnsi="Calibri"/>
                <w:sz w:val="17"/>
              </w:rPr>
              <w:t>13,056.64</w:t>
            </w:r>
          </w:p>
        </w:tc>
        <w:tc>
          <w:tcPr>
            <w:tcW w:w="1008" w:type="dxa"/>
            <w:shd w:val="clear" w:color="auto" w:fill="F7FAFC"/>
            <w:tcMar>
              <w:top w:w="70" w:type="dxa"/>
              <w:left w:w="60" w:type="dxa"/>
              <w:bottom w:w="70" w:type="dxa"/>
              <w:right w:w="60" w:type="dxa"/>
            </w:tcMar>
          </w:tcPr>
          <w:p w14:paraId="00A6DCDB" w14:textId="77777777" w:rsidR="00B11507" w:rsidRDefault="00974EEF">
            <w:pPr>
              <w:jc w:val="right"/>
            </w:pPr>
            <w:r>
              <w:rPr>
                <w:rFonts w:ascii="Calibri" w:hAnsi="Calibri"/>
                <w:sz w:val="17"/>
              </w:rPr>
              <w:t>₹</w:t>
            </w:r>
            <w:r>
              <w:rPr>
                <w:rFonts w:ascii="Calibri" w:hAnsi="Calibri"/>
                <w:sz w:val="17"/>
              </w:rPr>
              <w:t>7,500.00</w:t>
            </w:r>
          </w:p>
        </w:tc>
        <w:tc>
          <w:tcPr>
            <w:tcW w:w="1008" w:type="dxa"/>
            <w:shd w:val="clear" w:color="auto" w:fill="F7FAFC"/>
            <w:tcMar>
              <w:top w:w="70" w:type="dxa"/>
              <w:left w:w="60" w:type="dxa"/>
              <w:bottom w:w="70" w:type="dxa"/>
              <w:right w:w="60" w:type="dxa"/>
            </w:tcMar>
          </w:tcPr>
          <w:p w14:paraId="1C7375FB" w14:textId="77777777" w:rsidR="00B11507" w:rsidRDefault="00974EEF">
            <w:pPr>
              <w:jc w:val="right"/>
            </w:pPr>
            <w:r>
              <w:rPr>
                <w:rFonts w:ascii="Calibri" w:hAnsi="Calibri"/>
                <w:sz w:val="17"/>
              </w:rPr>
              <w:t>₹</w:t>
            </w:r>
            <w:r>
              <w:rPr>
                <w:rFonts w:ascii="Calibri" w:hAnsi="Calibri"/>
                <w:sz w:val="17"/>
              </w:rPr>
              <w:t>7,500.00</w:t>
            </w:r>
          </w:p>
        </w:tc>
        <w:tc>
          <w:tcPr>
            <w:tcW w:w="1296" w:type="dxa"/>
            <w:shd w:val="clear" w:color="auto" w:fill="F7FAFC"/>
            <w:tcMar>
              <w:top w:w="70" w:type="dxa"/>
              <w:left w:w="60" w:type="dxa"/>
              <w:bottom w:w="70" w:type="dxa"/>
              <w:right w:w="60" w:type="dxa"/>
            </w:tcMar>
          </w:tcPr>
          <w:p w14:paraId="1481EF69" w14:textId="77777777" w:rsidR="00B11507" w:rsidRDefault="00974EEF">
            <w:pPr>
              <w:jc w:val="right"/>
            </w:pPr>
            <w:r>
              <w:rPr>
                <w:rFonts w:ascii="Calibri" w:hAnsi="Calibri"/>
                <w:sz w:val="17"/>
              </w:rPr>
              <w:t>₹</w:t>
            </w:r>
            <w:r>
              <w:rPr>
                <w:rFonts w:ascii="Calibri" w:hAnsi="Calibri"/>
                <w:sz w:val="17"/>
              </w:rPr>
              <w:t>8,895.98</w:t>
            </w:r>
          </w:p>
        </w:tc>
        <w:tc>
          <w:tcPr>
            <w:tcW w:w="1152" w:type="dxa"/>
            <w:shd w:val="clear" w:color="auto" w:fill="F7FAFC"/>
            <w:tcMar>
              <w:top w:w="70" w:type="dxa"/>
              <w:left w:w="60" w:type="dxa"/>
              <w:bottom w:w="70" w:type="dxa"/>
              <w:right w:w="60" w:type="dxa"/>
            </w:tcMar>
          </w:tcPr>
          <w:p w14:paraId="57CA4A39" w14:textId="77777777" w:rsidR="00B11507" w:rsidRDefault="00974EEF">
            <w:pPr>
              <w:jc w:val="right"/>
            </w:pPr>
            <w:r>
              <w:rPr>
                <w:rFonts w:ascii="Calibri" w:hAnsi="Calibri"/>
                <w:sz w:val="17"/>
              </w:rPr>
              <w:t>₹</w:t>
            </w:r>
            <w:r>
              <w:rPr>
                <w:rFonts w:ascii="Calibri" w:hAnsi="Calibri"/>
                <w:sz w:val="17"/>
              </w:rPr>
              <w:t>7,500.00</w:t>
            </w:r>
          </w:p>
        </w:tc>
        <w:tc>
          <w:tcPr>
            <w:tcW w:w="1152" w:type="dxa"/>
            <w:shd w:val="clear" w:color="auto" w:fill="F7FAFC"/>
            <w:tcMar>
              <w:top w:w="70" w:type="dxa"/>
              <w:left w:w="60" w:type="dxa"/>
              <w:bottom w:w="70" w:type="dxa"/>
              <w:right w:w="60" w:type="dxa"/>
            </w:tcMar>
          </w:tcPr>
          <w:p w14:paraId="068E6250" w14:textId="77777777" w:rsidR="00B11507" w:rsidRDefault="00974EEF">
            <w:pPr>
              <w:jc w:val="right"/>
            </w:pPr>
            <w:r>
              <w:rPr>
                <w:rFonts w:ascii="Calibri" w:hAnsi="Calibri"/>
                <w:sz w:val="17"/>
              </w:rPr>
              <w:t>+1.020</w:t>
            </w:r>
          </w:p>
        </w:tc>
      </w:tr>
      <w:tr w:rsidR="00B11507" w14:paraId="11EAE247" w14:textId="77777777">
        <w:trPr>
          <w:jc w:val="center"/>
        </w:trPr>
        <w:tc>
          <w:tcPr>
            <w:tcW w:w="2592" w:type="dxa"/>
            <w:shd w:val="clear" w:color="auto" w:fill="FFFFFF"/>
            <w:tcMar>
              <w:top w:w="70" w:type="dxa"/>
              <w:left w:w="60" w:type="dxa"/>
              <w:bottom w:w="70" w:type="dxa"/>
              <w:right w:w="60" w:type="dxa"/>
            </w:tcMar>
          </w:tcPr>
          <w:p w14:paraId="7CFA1D59" w14:textId="77777777" w:rsidR="00B11507" w:rsidRDefault="00974EEF">
            <w:r>
              <w:rPr>
                <w:rFonts w:ascii="Calibri" w:hAnsi="Calibri"/>
                <w:b/>
                <w:sz w:val="17"/>
              </w:rPr>
              <w:t>Cash Carried in Wallet (₹)</w:t>
            </w:r>
          </w:p>
        </w:tc>
        <w:tc>
          <w:tcPr>
            <w:tcW w:w="1152" w:type="dxa"/>
            <w:shd w:val="clear" w:color="auto" w:fill="FFFFFF"/>
            <w:tcMar>
              <w:top w:w="70" w:type="dxa"/>
              <w:left w:w="60" w:type="dxa"/>
              <w:bottom w:w="70" w:type="dxa"/>
              <w:right w:w="60" w:type="dxa"/>
            </w:tcMar>
          </w:tcPr>
          <w:p w14:paraId="2244DA84" w14:textId="77777777" w:rsidR="00B11507" w:rsidRDefault="00974EEF">
            <w:pPr>
              <w:jc w:val="right"/>
            </w:pPr>
            <w:r>
              <w:rPr>
                <w:rFonts w:ascii="Calibri" w:hAnsi="Calibri"/>
                <w:sz w:val="17"/>
              </w:rPr>
              <w:t>₹</w:t>
            </w:r>
            <w:r>
              <w:rPr>
                <w:rFonts w:ascii="Calibri" w:hAnsi="Calibri"/>
                <w:sz w:val="17"/>
              </w:rPr>
              <w:t>660.25</w:t>
            </w:r>
          </w:p>
        </w:tc>
        <w:tc>
          <w:tcPr>
            <w:tcW w:w="1008" w:type="dxa"/>
            <w:shd w:val="clear" w:color="auto" w:fill="FFFFFF"/>
            <w:tcMar>
              <w:top w:w="70" w:type="dxa"/>
              <w:left w:w="60" w:type="dxa"/>
              <w:bottom w:w="70" w:type="dxa"/>
              <w:right w:w="60" w:type="dxa"/>
            </w:tcMar>
          </w:tcPr>
          <w:p w14:paraId="467FC51B" w14:textId="77777777" w:rsidR="00B11507" w:rsidRDefault="00974EEF">
            <w:pPr>
              <w:jc w:val="right"/>
            </w:pPr>
            <w:r>
              <w:rPr>
                <w:rFonts w:ascii="Calibri" w:hAnsi="Calibri"/>
                <w:sz w:val="17"/>
              </w:rPr>
              <w:t>₹</w:t>
            </w:r>
            <w:r>
              <w:rPr>
                <w:rFonts w:ascii="Calibri" w:hAnsi="Calibri"/>
                <w:sz w:val="17"/>
              </w:rPr>
              <w:t>250.00</w:t>
            </w:r>
          </w:p>
        </w:tc>
        <w:tc>
          <w:tcPr>
            <w:tcW w:w="1008" w:type="dxa"/>
            <w:shd w:val="clear" w:color="auto" w:fill="FFFFFF"/>
            <w:tcMar>
              <w:top w:w="70" w:type="dxa"/>
              <w:left w:w="60" w:type="dxa"/>
              <w:bottom w:w="70" w:type="dxa"/>
              <w:right w:w="60" w:type="dxa"/>
            </w:tcMar>
          </w:tcPr>
          <w:p w14:paraId="2EB97DC4" w14:textId="77777777" w:rsidR="00B11507" w:rsidRDefault="00974EEF">
            <w:pPr>
              <w:jc w:val="right"/>
            </w:pPr>
            <w:r>
              <w:rPr>
                <w:rFonts w:ascii="Calibri" w:hAnsi="Calibri"/>
                <w:sz w:val="17"/>
              </w:rPr>
              <w:t>₹</w:t>
            </w:r>
            <w:r>
              <w:rPr>
                <w:rFonts w:ascii="Calibri" w:hAnsi="Calibri"/>
                <w:sz w:val="17"/>
              </w:rPr>
              <w:t>250.00</w:t>
            </w:r>
          </w:p>
        </w:tc>
        <w:tc>
          <w:tcPr>
            <w:tcW w:w="1296" w:type="dxa"/>
            <w:shd w:val="clear" w:color="auto" w:fill="FFFFFF"/>
            <w:tcMar>
              <w:top w:w="70" w:type="dxa"/>
              <w:left w:w="60" w:type="dxa"/>
              <w:bottom w:w="70" w:type="dxa"/>
              <w:right w:w="60" w:type="dxa"/>
            </w:tcMar>
          </w:tcPr>
          <w:p w14:paraId="1D1AA3B1" w14:textId="77777777" w:rsidR="00B11507" w:rsidRDefault="00974EEF">
            <w:pPr>
              <w:jc w:val="right"/>
            </w:pPr>
            <w:r>
              <w:rPr>
                <w:rFonts w:ascii="Calibri" w:hAnsi="Calibri"/>
                <w:sz w:val="17"/>
              </w:rPr>
              <w:t>₹</w:t>
            </w:r>
            <w:r>
              <w:rPr>
                <w:rFonts w:ascii="Calibri" w:hAnsi="Calibri"/>
                <w:sz w:val="17"/>
              </w:rPr>
              <w:t>931.76</w:t>
            </w:r>
          </w:p>
        </w:tc>
        <w:tc>
          <w:tcPr>
            <w:tcW w:w="1152" w:type="dxa"/>
            <w:shd w:val="clear" w:color="auto" w:fill="FFFFFF"/>
            <w:tcMar>
              <w:top w:w="70" w:type="dxa"/>
              <w:left w:w="60" w:type="dxa"/>
              <w:bottom w:w="70" w:type="dxa"/>
              <w:right w:w="60" w:type="dxa"/>
            </w:tcMar>
          </w:tcPr>
          <w:p w14:paraId="22068ED3" w14:textId="77777777" w:rsidR="00B11507" w:rsidRDefault="00974EEF">
            <w:pPr>
              <w:jc w:val="right"/>
            </w:pPr>
            <w:r>
              <w:rPr>
                <w:rFonts w:ascii="Calibri" w:hAnsi="Calibri"/>
                <w:sz w:val="17"/>
              </w:rPr>
              <w:t>₹</w:t>
            </w:r>
            <w:r>
              <w:rPr>
                <w:rFonts w:ascii="Calibri" w:hAnsi="Calibri"/>
                <w:sz w:val="17"/>
              </w:rPr>
              <w:t>500.00</w:t>
            </w:r>
          </w:p>
        </w:tc>
        <w:tc>
          <w:tcPr>
            <w:tcW w:w="1152" w:type="dxa"/>
            <w:shd w:val="clear" w:color="auto" w:fill="FFFFFF"/>
            <w:tcMar>
              <w:top w:w="70" w:type="dxa"/>
              <w:left w:w="60" w:type="dxa"/>
              <w:bottom w:w="70" w:type="dxa"/>
              <w:right w:w="60" w:type="dxa"/>
            </w:tcMar>
          </w:tcPr>
          <w:p w14:paraId="70A2001A" w14:textId="77777777" w:rsidR="00B11507" w:rsidRDefault="00974EEF">
            <w:pPr>
              <w:jc w:val="right"/>
            </w:pPr>
            <w:r>
              <w:rPr>
                <w:rFonts w:ascii="Calibri" w:hAnsi="Calibri"/>
                <w:sz w:val="17"/>
              </w:rPr>
              <w:t>+3.635</w:t>
            </w:r>
          </w:p>
        </w:tc>
      </w:tr>
      <w:tr w:rsidR="00B11507" w14:paraId="33D6BC95" w14:textId="77777777">
        <w:trPr>
          <w:jc w:val="center"/>
        </w:trPr>
        <w:tc>
          <w:tcPr>
            <w:tcW w:w="2592" w:type="dxa"/>
            <w:shd w:val="clear" w:color="auto" w:fill="F7FAFC"/>
            <w:tcMar>
              <w:top w:w="70" w:type="dxa"/>
              <w:left w:w="60" w:type="dxa"/>
              <w:bottom w:w="70" w:type="dxa"/>
              <w:right w:w="60" w:type="dxa"/>
            </w:tcMar>
          </w:tcPr>
          <w:p w14:paraId="7AF788F1" w14:textId="77777777" w:rsidR="00B11507" w:rsidRDefault="00974EEF">
            <w:r>
              <w:rPr>
                <w:rFonts w:ascii="Calibri" w:hAnsi="Calibri"/>
                <w:b/>
                <w:sz w:val="17"/>
              </w:rPr>
              <w:t>Influence Rating (1–10)</w:t>
            </w:r>
          </w:p>
        </w:tc>
        <w:tc>
          <w:tcPr>
            <w:tcW w:w="1152" w:type="dxa"/>
            <w:shd w:val="clear" w:color="auto" w:fill="F7FAFC"/>
            <w:tcMar>
              <w:top w:w="70" w:type="dxa"/>
              <w:left w:w="60" w:type="dxa"/>
              <w:bottom w:w="70" w:type="dxa"/>
              <w:right w:w="60" w:type="dxa"/>
            </w:tcMar>
          </w:tcPr>
          <w:p w14:paraId="054D8CE0" w14:textId="77777777" w:rsidR="00B11507" w:rsidRDefault="00974EEF">
            <w:pPr>
              <w:jc w:val="right"/>
            </w:pPr>
            <w:r>
              <w:rPr>
                <w:rFonts w:ascii="Calibri" w:hAnsi="Calibri"/>
                <w:sz w:val="17"/>
              </w:rPr>
              <w:t>7.30 / 10</w:t>
            </w:r>
          </w:p>
        </w:tc>
        <w:tc>
          <w:tcPr>
            <w:tcW w:w="1008" w:type="dxa"/>
            <w:shd w:val="clear" w:color="auto" w:fill="F7FAFC"/>
            <w:tcMar>
              <w:top w:w="70" w:type="dxa"/>
              <w:left w:w="60" w:type="dxa"/>
              <w:bottom w:w="70" w:type="dxa"/>
              <w:right w:w="60" w:type="dxa"/>
            </w:tcMar>
          </w:tcPr>
          <w:p w14:paraId="0B2222A7" w14:textId="77777777" w:rsidR="00B11507" w:rsidRDefault="00974EEF">
            <w:pPr>
              <w:jc w:val="right"/>
            </w:pPr>
            <w:r>
              <w:rPr>
                <w:rFonts w:ascii="Calibri" w:hAnsi="Calibri"/>
                <w:sz w:val="17"/>
              </w:rPr>
              <w:t>7.00 / 10</w:t>
            </w:r>
          </w:p>
        </w:tc>
        <w:tc>
          <w:tcPr>
            <w:tcW w:w="1008" w:type="dxa"/>
            <w:shd w:val="clear" w:color="auto" w:fill="F7FAFC"/>
            <w:tcMar>
              <w:top w:w="70" w:type="dxa"/>
              <w:left w:w="60" w:type="dxa"/>
              <w:bottom w:w="70" w:type="dxa"/>
              <w:right w:w="60" w:type="dxa"/>
            </w:tcMar>
          </w:tcPr>
          <w:p w14:paraId="379819C4" w14:textId="77777777" w:rsidR="00B11507" w:rsidRDefault="00974EEF">
            <w:pPr>
              <w:jc w:val="right"/>
            </w:pPr>
            <w:r>
              <w:rPr>
                <w:rFonts w:ascii="Calibri" w:hAnsi="Calibri"/>
                <w:sz w:val="17"/>
              </w:rPr>
              <w:t>7.00 / 10</w:t>
            </w:r>
          </w:p>
        </w:tc>
        <w:tc>
          <w:tcPr>
            <w:tcW w:w="1296" w:type="dxa"/>
            <w:shd w:val="clear" w:color="auto" w:fill="F7FAFC"/>
            <w:tcMar>
              <w:top w:w="70" w:type="dxa"/>
              <w:left w:w="60" w:type="dxa"/>
              <w:bottom w:w="70" w:type="dxa"/>
              <w:right w:w="60" w:type="dxa"/>
            </w:tcMar>
          </w:tcPr>
          <w:p w14:paraId="61213769" w14:textId="77777777" w:rsidR="00B11507" w:rsidRDefault="00974EEF">
            <w:pPr>
              <w:jc w:val="right"/>
            </w:pPr>
            <w:r>
              <w:rPr>
                <w:rFonts w:ascii="Calibri" w:hAnsi="Calibri"/>
                <w:sz w:val="17"/>
              </w:rPr>
              <w:t>1.77 pts</w:t>
            </w:r>
          </w:p>
        </w:tc>
        <w:tc>
          <w:tcPr>
            <w:tcW w:w="1152" w:type="dxa"/>
            <w:shd w:val="clear" w:color="auto" w:fill="F7FAFC"/>
            <w:tcMar>
              <w:top w:w="70" w:type="dxa"/>
              <w:left w:w="60" w:type="dxa"/>
              <w:bottom w:w="70" w:type="dxa"/>
              <w:right w:w="60" w:type="dxa"/>
            </w:tcMar>
          </w:tcPr>
          <w:p w14:paraId="5257B4B9" w14:textId="77777777" w:rsidR="00B11507" w:rsidRDefault="00974EEF">
            <w:pPr>
              <w:jc w:val="right"/>
            </w:pPr>
            <w:r>
              <w:rPr>
                <w:rFonts w:ascii="Calibri" w:hAnsi="Calibri"/>
                <w:sz w:val="17"/>
              </w:rPr>
              <w:t>3.00 pts</w:t>
            </w:r>
          </w:p>
        </w:tc>
        <w:tc>
          <w:tcPr>
            <w:tcW w:w="1152" w:type="dxa"/>
            <w:shd w:val="clear" w:color="auto" w:fill="F7FAFC"/>
            <w:tcMar>
              <w:top w:w="70" w:type="dxa"/>
              <w:left w:w="60" w:type="dxa"/>
              <w:bottom w:w="70" w:type="dxa"/>
              <w:right w:w="60" w:type="dxa"/>
            </w:tcMar>
          </w:tcPr>
          <w:p w14:paraId="09BD0789" w14:textId="77777777" w:rsidR="00B11507" w:rsidRDefault="00974EEF">
            <w:pPr>
              <w:jc w:val="right"/>
            </w:pPr>
            <w:r>
              <w:rPr>
                <w:rFonts w:ascii="Calibri" w:hAnsi="Calibri"/>
                <w:sz w:val="17"/>
              </w:rPr>
              <w:t>-0.275</w:t>
            </w:r>
          </w:p>
        </w:tc>
      </w:tr>
      <w:tr w:rsidR="00B11507" w14:paraId="0579CE21" w14:textId="77777777">
        <w:trPr>
          <w:jc w:val="center"/>
        </w:trPr>
        <w:tc>
          <w:tcPr>
            <w:tcW w:w="2592" w:type="dxa"/>
            <w:shd w:val="clear" w:color="auto" w:fill="FFFFFF"/>
            <w:tcMar>
              <w:top w:w="70" w:type="dxa"/>
              <w:left w:w="60" w:type="dxa"/>
              <w:bottom w:w="70" w:type="dxa"/>
              <w:right w:w="60" w:type="dxa"/>
            </w:tcMar>
          </w:tcPr>
          <w:p w14:paraId="500D613E" w14:textId="77777777" w:rsidR="00B11507" w:rsidRDefault="00974EEF">
            <w:r>
              <w:rPr>
                <w:rFonts w:ascii="Calibri" w:hAnsi="Calibri"/>
                <w:b/>
                <w:sz w:val="17"/>
              </w:rPr>
              <w:t>Unplanned Purchases (1–5)</w:t>
            </w:r>
          </w:p>
        </w:tc>
        <w:tc>
          <w:tcPr>
            <w:tcW w:w="1152" w:type="dxa"/>
            <w:shd w:val="clear" w:color="auto" w:fill="FFFFFF"/>
            <w:tcMar>
              <w:top w:w="70" w:type="dxa"/>
              <w:left w:w="60" w:type="dxa"/>
              <w:bottom w:w="70" w:type="dxa"/>
              <w:right w:w="60" w:type="dxa"/>
            </w:tcMar>
          </w:tcPr>
          <w:p w14:paraId="2C585B72" w14:textId="77777777" w:rsidR="00B11507" w:rsidRDefault="00974EEF">
            <w:pPr>
              <w:jc w:val="right"/>
            </w:pPr>
            <w:r>
              <w:rPr>
                <w:rFonts w:ascii="Calibri" w:hAnsi="Calibri"/>
                <w:sz w:val="17"/>
              </w:rPr>
              <w:t>3.39 / 5</w:t>
            </w:r>
          </w:p>
        </w:tc>
        <w:tc>
          <w:tcPr>
            <w:tcW w:w="1008" w:type="dxa"/>
            <w:shd w:val="clear" w:color="auto" w:fill="FFFFFF"/>
            <w:tcMar>
              <w:top w:w="70" w:type="dxa"/>
              <w:left w:w="60" w:type="dxa"/>
              <w:bottom w:w="70" w:type="dxa"/>
              <w:right w:w="60" w:type="dxa"/>
            </w:tcMar>
          </w:tcPr>
          <w:p w14:paraId="54B8E8AC" w14:textId="77777777" w:rsidR="00B11507" w:rsidRDefault="00974EEF">
            <w:pPr>
              <w:jc w:val="right"/>
            </w:pPr>
            <w:r>
              <w:rPr>
                <w:rFonts w:ascii="Calibri" w:hAnsi="Calibri"/>
                <w:sz w:val="17"/>
              </w:rPr>
              <w:t>4.00 / 5</w:t>
            </w:r>
          </w:p>
        </w:tc>
        <w:tc>
          <w:tcPr>
            <w:tcW w:w="1008" w:type="dxa"/>
            <w:shd w:val="clear" w:color="auto" w:fill="FFFFFF"/>
            <w:tcMar>
              <w:top w:w="70" w:type="dxa"/>
              <w:left w:w="60" w:type="dxa"/>
              <w:bottom w:w="70" w:type="dxa"/>
              <w:right w:w="60" w:type="dxa"/>
            </w:tcMar>
          </w:tcPr>
          <w:p w14:paraId="54C2FA88" w14:textId="77777777" w:rsidR="00B11507" w:rsidRDefault="00974EEF">
            <w:pPr>
              <w:jc w:val="right"/>
            </w:pPr>
            <w:r>
              <w:rPr>
                <w:rFonts w:ascii="Calibri" w:hAnsi="Calibri"/>
                <w:sz w:val="17"/>
              </w:rPr>
              <w:t>4.00 / 5</w:t>
            </w:r>
          </w:p>
        </w:tc>
        <w:tc>
          <w:tcPr>
            <w:tcW w:w="1296" w:type="dxa"/>
            <w:shd w:val="clear" w:color="auto" w:fill="FFFFFF"/>
            <w:tcMar>
              <w:top w:w="70" w:type="dxa"/>
              <w:left w:w="60" w:type="dxa"/>
              <w:bottom w:w="70" w:type="dxa"/>
              <w:right w:w="60" w:type="dxa"/>
            </w:tcMar>
          </w:tcPr>
          <w:p w14:paraId="57120A66" w14:textId="77777777" w:rsidR="00B11507" w:rsidRDefault="00974EEF">
            <w:pPr>
              <w:jc w:val="right"/>
            </w:pPr>
            <w:r>
              <w:rPr>
                <w:rFonts w:ascii="Calibri" w:hAnsi="Calibri"/>
                <w:sz w:val="17"/>
              </w:rPr>
              <w:t>1.20 pts</w:t>
            </w:r>
          </w:p>
        </w:tc>
        <w:tc>
          <w:tcPr>
            <w:tcW w:w="1152" w:type="dxa"/>
            <w:shd w:val="clear" w:color="auto" w:fill="FFFFFF"/>
            <w:tcMar>
              <w:top w:w="70" w:type="dxa"/>
              <w:left w:w="60" w:type="dxa"/>
              <w:bottom w:w="70" w:type="dxa"/>
              <w:right w:w="60" w:type="dxa"/>
            </w:tcMar>
          </w:tcPr>
          <w:p w14:paraId="6A25C078" w14:textId="77777777" w:rsidR="00B11507" w:rsidRDefault="00974EEF">
            <w:pPr>
              <w:jc w:val="right"/>
            </w:pPr>
            <w:r>
              <w:rPr>
                <w:rFonts w:ascii="Calibri" w:hAnsi="Calibri"/>
                <w:sz w:val="17"/>
              </w:rPr>
              <w:t>2.00 pts</w:t>
            </w:r>
          </w:p>
        </w:tc>
        <w:tc>
          <w:tcPr>
            <w:tcW w:w="1152" w:type="dxa"/>
            <w:shd w:val="clear" w:color="auto" w:fill="FFFFFF"/>
            <w:tcMar>
              <w:top w:w="70" w:type="dxa"/>
              <w:left w:w="60" w:type="dxa"/>
              <w:bottom w:w="70" w:type="dxa"/>
              <w:right w:w="60" w:type="dxa"/>
            </w:tcMar>
          </w:tcPr>
          <w:p w14:paraId="4555BE7E" w14:textId="77777777" w:rsidR="00B11507" w:rsidRDefault="00974EEF">
            <w:pPr>
              <w:jc w:val="right"/>
            </w:pPr>
            <w:r>
              <w:rPr>
                <w:rFonts w:ascii="Calibri" w:hAnsi="Calibri"/>
                <w:sz w:val="17"/>
              </w:rPr>
              <w:t>-0.294</w:t>
            </w:r>
          </w:p>
        </w:tc>
      </w:tr>
    </w:tbl>
    <w:p w14:paraId="2CE5801C" w14:textId="77777777" w:rsidR="00B11507" w:rsidRDefault="00B11507">
      <w:pPr>
        <w:spacing w:after="160"/>
      </w:pPr>
    </w:p>
    <w:p w14:paraId="7B708DE1" w14:textId="77777777" w:rsidR="00B11507" w:rsidRDefault="00974EEF">
      <w:pPr>
        <w:keepNext/>
        <w:spacing w:before="280" w:after="80"/>
      </w:pPr>
      <w:r>
        <w:rPr>
          <w:rFonts w:ascii="Calibri" w:hAnsi="Calibri"/>
          <w:b/>
          <w:color w:val="0F294A"/>
          <w:sz w:val="28"/>
        </w:rPr>
        <w:lastRenderedPageBreak/>
        <w:t>5. Empirical Findings &amp; Visual Trend Analytics</w:t>
      </w:r>
    </w:p>
    <w:p w14:paraId="27FFFD88" w14:textId="77777777" w:rsidR="00B11507" w:rsidRDefault="00974EEF">
      <w:pPr>
        <w:spacing w:after="120"/>
      </w:pPr>
      <w:r>
        <w:rPr>
          <w:rFonts w:ascii="Calibri" w:hAnsi="Calibri"/>
          <w:color w:val="2D3748"/>
          <w:sz w:val="20"/>
        </w:rPr>
        <w:t>Analysis of survey responses reveals stark behavioral divergences between traditional cash transactions and digital UPI usage. Below are the primary visual trend artifacts extracted directly from the empirical dataset.</w:t>
      </w:r>
    </w:p>
    <w:p w14:paraId="22AE0993" w14:textId="77777777" w:rsidR="00B11507" w:rsidRDefault="00974EEF">
      <w:pPr>
        <w:keepNext/>
        <w:spacing w:before="200" w:after="60"/>
      </w:pPr>
      <w:r>
        <w:rPr>
          <w:rFonts w:ascii="Calibri" w:hAnsi="Calibri"/>
          <w:b/>
          <w:color w:val="2B6CB0"/>
          <w:sz w:val="23"/>
        </w:rPr>
        <w:t>5.1 Pain of Paying vs. Overspending Perception</w:t>
      </w:r>
    </w:p>
    <w:p w14:paraId="09B2049A" w14:textId="77777777" w:rsidR="00B11507" w:rsidRDefault="00974EEF">
      <w:pPr>
        <w:spacing w:after="120"/>
      </w:pPr>
      <w:r>
        <w:rPr>
          <w:rFonts w:ascii="Calibri" w:hAnsi="Calibri"/>
          <w:color w:val="2D3748"/>
          <w:sz w:val="20"/>
        </w:rPr>
        <w:t>Figure 1 categorizes respondents based on whether they perceive digital transactions as emotionally or cognitively less painful than cash. Among students who agreed that UPI is less painful (n = 1,913, 63.8%), an astounding 83.6% affirmed that UPI causes them to overspend. In contrast, among students who disagreed, overspending reports dropped by more than half.</w:t>
      </w:r>
    </w:p>
    <w:p w14:paraId="0D674444" w14:textId="77777777" w:rsidR="00B11507" w:rsidRDefault="00974EEF">
      <w:pPr>
        <w:spacing w:before="160" w:after="60"/>
        <w:jc w:val="center"/>
      </w:pPr>
      <w:r>
        <w:rPr>
          <w:noProof/>
        </w:rPr>
        <w:drawing>
          <wp:inline distT="0" distB="0" distL="0" distR="0" wp14:anchorId="22CF6B61" wp14:editId="0A572948">
            <wp:extent cx="5029200" cy="307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pain_vs_overspending.png"/>
                    <pic:cNvPicPr/>
                  </pic:nvPicPr>
                  <pic:blipFill>
                    <a:blip r:embed="rId8"/>
                    <a:stretch>
                      <a:fillRect/>
                    </a:stretch>
                  </pic:blipFill>
                  <pic:spPr>
                    <a:xfrm>
                      <a:off x="0" y="0"/>
                      <a:ext cx="5029200" cy="3073400"/>
                    </a:xfrm>
                    <a:prstGeom prst="rect">
                      <a:avLst/>
                    </a:prstGeom>
                  </pic:spPr>
                </pic:pic>
              </a:graphicData>
            </a:graphic>
          </wp:inline>
        </w:drawing>
      </w:r>
    </w:p>
    <w:p w14:paraId="4DB2A0A5" w14:textId="77777777" w:rsidR="00B11507" w:rsidRDefault="00974EEF">
      <w:pPr>
        <w:jc w:val="center"/>
      </w:pPr>
      <w:r>
        <w:rPr>
          <w:rFonts w:ascii="Calibri" w:hAnsi="Calibri"/>
          <w:i/>
          <w:color w:val="4A5568"/>
          <w:sz w:val="18"/>
        </w:rPr>
        <w:t>Figure 1: Proportional distribution of perceived overspending stratified by payment pain friction.</w:t>
      </w:r>
    </w:p>
    <w:p w14:paraId="58C9BFC5" w14:textId="77777777" w:rsidR="00B11507" w:rsidRDefault="00974EEF">
      <w:pPr>
        <w:keepNext/>
        <w:spacing w:before="200" w:after="60"/>
      </w:pPr>
      <w:r>
        <w:rPr>
          <w:rFonts w:ascii="Calibri" w:hAnsi="Calibri"/>
          <w:b/>
          <w:color w:val="2B6CB0"/>
          <w:sz w:val="23"/>
        </w:rPr>
        <w:t>5.2 Escalation of Perceived UPI Influence Across Budget Tiers</w:t>
      </w:r>
    </w:p>
    <w:p w14:paraId="4ECEBCA3" w14:textId="77777777" w:rsidR="00B11507" w:rsidRDefault="00974EEF">
      <w:pPr>
        <w:spacing w:after="120"/>
      </w:pPr>
      <w:r>
        <w:rPr>
          <w:rFonts w:ascii="Calibri" w:hAnsi="Calibri"/>
          <w:color w:val="2D3748"/>
          <w:sz w:val="20"/>
        </w:rPr>
        <w:t>Figure 2 presents boxplots of self-rated UPI influence scores (1–10 scale) plotted across monthly spending brackets. The red markers denote group means. A strict monotonic upward trajectory is observed: students spending &lt; ₹5,000/month report a mean influence of 5.58, whereas students spending &gt; ₹30,000/month report an overwhelming mean influence of 9.37/10.</w:t>
      </w:r>
    </w:p>
    <w:p w14:paraId="6C278B69" w14:textId="77777777" w:rsidR="00B11507" w:rsidRDefault="00974EEF">
      <w:pPr>
        <w:spacing w:before="160" w:after="60"/>
        <w:jc w:val="center"/>
      </w:pPr>
      <w:r>
        <w:rPr>
          <w:noProof/>
        </w:rPr>
        <w:lastRenderedPageBreak/>
        <w:drawing>
          <wp:inline distT="0" distB="0" distL="0" distR="0" wp14:anchorId="4CD755BE" wp14:editId="7C0148C4">
            <wp:extent cx="5029200" cy="2766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fluence_by_spending_tier.png"/>
                    <pic:cNvPicPr/>
                  </pic:nvPicPr>
                  <pic:blipFill>
                    <a:blip r:embed="rId9"/>
                    <a:stretch>
                      <a:fillRect/>
                    </a:stretch>
                  </pic:blipFill>
                  <pic:spPr>
                    <a:xfrm>
                      <a:off x="0" y="0"/>
                      <a:ext cx="5029200" cy="2766060"/>
                    </a:xfrm>
                    <a:prstGeom prst="rect">
                      <a:avLst/>
                    </a:prstGeom>
                  </pic:spPr>
                </pic:pic>
              </a:graphicData>
            </a:graphic>
          </wp:inline>
        </w:drawing>
      </w:r>
    </w:p>
    <w:p w14:paraId="441C1EF3" w14:textId="77777777" w:rsidR="00B11507" w:rsidRDefault="00974EEF">
      <w:pPr>
        <w:jc w:val="center"/>
      </w:pPr>
      <w:r>
        <w:rPr>
          <w:rFonts w:ascii="Calibri" w:hAnsi="Calibri"/>
          <w:i/>
          <w:color w:val="4A5568"/>
          <w:sz w:val="18"/>
        </w:rPr>
        <w:t>Figure 2: Boxplot distribution and group means of self-rated influence score across monthly spending brackets.</w:t>
      </w:r>
    </w:p>
    <w:p w14:paraId="05DC2806" w14:textId="77777777" w:rsidR="00B11507" w:rsidRDefault="00974EEF">
      <w:pPr>
        <w:keepNext/>
        <w:spacing w:before="200" w:after="60"/>
      </w:pPr>
      <w:r>
        <w:rPr>
          <w:rFonts w:ascii="Calibri" w:hAnsi="Calibri"/>
          <w:b/>
          <w:color w:val="2B6CB0"/>
          <w:sz w:val="23"/>
        </w:rPr>
        <w:t>5.3 Surge in Impulse &amp; Unplanned Purchases</w:t>
      </w:r>
    </w:p>
    <w:p w14:paraId="69F81630" w14:textId="77777777" w:rsidR="00B11507" w:rsidRDefault="00974EEF">
      <w:pPr>
        <w:spacing w:after="120"/>
      </w:pPr>
      <w:r>
        <w:rPr>
          <w:rFonts w:ascii="Calibri" w:hAnsi="Calibri"/>
          <w:color w:val="2D3748"/>
          <w:sz w:val="20"/>
        </w:rPr>
        <w:t>Figure 3 details the distribution of unplanned impulse buying frequency. Over 58.2% of all students report making unplanned purchases 'Often' (34.3%) or 'Very often' (23.9%). When isolating daily UPI users, this proportion surges to 59.1%, confirming that immediate zero-friction checkout acts as an impulse accelerator.</w:t>
      </w:r>
    </w:p>
    <w:p w14:paraId="6D782F7D" w14:textId="77777777" w:rsidR="00B11507" w:rsidRDefault="00974EEF">
      <w:pPr>
        <w:spacing w:before="160" w:after="60"/>
        <w:jc w:val="center"/>
      </w:pPr>
      <w:r>
        <w:rPr>
          <w:noProof/>
        </w:rPr>
        <w:drawing>
          <wp:inline distT="0" distB="0" distL="0" distR="0" wp14:anchorId="585172E0" wp14:editId="47B0D5F7">
            <wp:extent cx="5029200" cy="2766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impulse_purchase_distribution.png"/>
                    <pic:cNvPicPr/>
                  </pic:nvPicPr>
                  <pic:blipFill>
                    <a:blip r:embed="rId10"/>
                    <a:stretch>
                      <a:fillRect/>
                    </a:stretch>
                  </pic:blipFill>
                  <pic:spPr>
                    <a:xfrm>
                      <a:off x="0" y="0"/>
                      <a:ext cx="5029200" cy="2766060"/>
                    </a:xfrm>
                    <a:prstGeom prst="rect">
                      <a:avLst/>
                    </a:prstGeom>
                  </pic:spPr>
                </pic:pic>
              </a:graphicData>
            </a:graphic>
          </wp:inline>
        </w:drawing>
      </w:r>
    </w:p>
    <w:p w14:paraId="36C2B882" w14:textId="77777777" w:rsidR="00B11507" w:rsidRDefault="00974EEF">
      <w:pPr>
        <w:jc w:val="center"/>
      </w:pPr>
      <w:r>
        <w:rPr>
          <w:rFonts w:ascii="Calibri" w:hAnsi="Calibri"/>
          <w:i/>
          <w:color w:val="4A5568"/>
          <w:sz w:val="18"/>
        </w:rPr>
        <w:t>Figure 3: Distribution of unplanned impulse purchase frequencies among college student respondents.</w:t>
      </w:r>
    </w:p>
    <w:p w14:paraId="672D34DB" w14:textId="77777777" w:rsidR="00B11507" w:rsidRDefault="00974EEF">
      <w:pPr>
        <w:keepNext/>
        <w:spacing w:before="200" w:after="60"/>
      </w:pPr>
      <w:r>
        <w:rPr>
          <w:rFonts w:ascii="Calibri" w:hAnsi="Calibri"/>
          <w:b/>
          <w:color w:val="2B6CB0"/>
          <w:sz w:val="23"/>
        </w:rPr>
        <w:t>5.4 Transaction Velocity &amp; Unsupervised Personas (K-Means Clustering)</w:t>
      </w:r>
    </w:p>
    <w:p w14:paraId="4C51A966" w14:textId="77777777" w:rsidR="00B11507" w:rsidRDefault="00974EEF">
      <w:pPr>
        <w:spacing w:after="120"/>
      </w:pPr>
      <w:r>
        <w:rPr>
          <w:rFonts w:ascii="Calibri" w:hAnsi="Calibri"/>
          <w:color w:val="2D3748"/>
          <w:sz w:val="20"/>
        </w:rPr>
        <w:t>To uncover underlying student archetypes, unsupervised K-Means clustering (k = 4) was applied to standardized behavioral features (Monthly Spend, Impulse Score, Cash Carried, Influence Rating, and Frequency). Figure 4 maps the two-dimensional PCA projection:</w:t>
      </w:r>
    </w:p>
    <w:p w14:paraId="73DC80D9" w14:textId="77777777" w:rsidR="00B11507" w:rsidRDefault="00974EEF">
      <w:pPr>
        <w:pStyle w:val="ListBullet"/>
        <w:spacing w:after="60"/>
      </w:pPr>
      <w:r>
        <w:rPr>
          <w:rFonts w:ascii="Calibri" w:hAnsi="Calibri"/>
          <w:b/>
          <w:color w:val="1A365D"/>
          <w:sz w:val="20"/>
        </w:rPr>
        <w:t xml:space="preserve">Cluster 1 (49.2%, Blue) — Daily Micro-Spenders: </w:t>
      </w:r>
      <w:r>
        <w:rPr>
          <w:rFonts w:ascii="Calibri" w:hAnsi="Calibri"/>
          <w:color w:val="2D3748"/>
          <w:sz w:val="20"/>
        </w:rPr>
        <w:t>Campus canteen, chai, stationery, printing; low cash (&lt; ₹500), high daily frequency.</w:t>
      </w:r>
    </w:p>
    <w:p w14:paraId="6D47FA04" w14:textId="77777777" w:rsidR="00B11507" w:rsidRDefault="00974EEF">
      <w:pPr>
        <w:pStyle w:val="ListBullet"/>
        <w:spacing w:after="60"/>
      </w:pPr>
      <w:r>
        <w:rPr>
          <w:rFonts w:ascii="Calibri" w:hAnsi="Calibri"/>
          <w:b/>
          <w:color w:val="1A365D"/>
          <w:sz w:val="20"/>
        </w:rPr>
        <w:t xml:space="preserve">Cluster 2 (29.6%, Orange) — High-Volume Digital Consumers: </w:t>
      </w:r>
      <w:r>
        <w:rPr>
          <w:rFonts w:ascii="Calibri" w:hAnsi="Calibri"/>
          <w:color w:val="2D3748"/>
          <w:sz w:val="20"/>
        </w:rPr>
        <w:t>Mean spend ₹22,871; high e-commerce, dining, gadget retail; 80.4% overspending rate.</w:t>
      </w:r>
    </w:p>
    <w:p w14:paraId="7D4F6EF3" w14:textId="77777777" w:rsidR="00B11507" w:rsidRDefault="00974EEF">
      <w:pPr>
        <w:pStyle w:val="ListBullet"/>
        <w:spacing w:after="60"/>
      </w:pPr>
      <w:r>
        <w:rPr>
          <w:rFonts w:ascii="Calibri" w:hAnsi="Calibri"/>
          <w:b/>
          <w:color w:val="1A365D"/>
          <w:sz w:val="20"/>
        </w:rPr>
        <w:lastRenderedPageBreak/>
        <w:t xml:space="preserve">Cluster 3 (16.3%, Green) — Disciplined / Selective Planners: </w:t>
      </w:r>
      <w:r>
        <w:rPr>
          <w:rFonts w:ascii="Calibri" w:hAnsi="Calibri"/>
          <w:color w:val="2D3748"/>
          <w:sz w:val="20"/>
        </w:rPr>
        <w:t>Mean spend ₹12,245; lowest impulse score (2.59); high financial self-control.</w:t>
      </w:r>
    </w:p>
    <w:p w14:paraId="6B605816" w14:textId="77777777" w:rsidR="00B11507" w:rsidRDefault="00974EEF">
      <w:pPr>
        <w:pStyle w:val="ListBullet"/>
        <w:spacing w:after="60"/>
      </w:pPr>
      <w:r>
        <w:rPr>
          <w:rFonts w:ascii="Calibri" w:hAnsi="Calibri"/>
          <w:b/>
          <w:color w:val="1A365D"/>
          <w:sz w:val="20"/>
        </w:rPr>
        <w:t xml:space="preserve">Cluster 4 (4.9%, Purple) — Cash-Anchored Traditionalists: </w:t>
      </w:r>
      <w:r>
        <w:rPr>
          <w:rFonts w:ascii="Calibri" w:hAnsi="Calibri"/>
          <w:color w:val="2D3748"/>
          <w:sz w:val="20"/>
        </w:rPr>
        <w:t>High cash buffer (₹4,231; 10x average); intentionally retains physical currency to curb digital spend.</w:t>
      </w:r>
    </w:p>
    <w:p w14:paraId="6A202EEA" w14:textId="77777777" w:rsidR="00B11507" w:rsidRDefault="00974EEF">
      <w:pPr>
        <w:spacing w:before="160" w:after="60"/>
        <w:jc w:val="center"/>
      </w:pPr>
      <w:r>
        <w:rPr>
          <w:noProof/>
        </w:rPr>
        <w:drawing>
          <wp:inline distT="0" distB="0" distL="0" distR="0" wp14:anchorId="660D2F5B" wp14:editId="22DEB2F7">
            <wp:extent cx="5120640" cy="29450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kmeans_student_spending_clusters.png"/>
                    <pic:cNvPicPr/>
                  </pic:nvPicPr>
                  <pic:blipFill>
                    <a:blip r:embed="rId11"/>
                    <a:stretch>
                      <a:fillRect/>
                    </a:stretch>
                  </pic:blipFill>
                  <pic:spPr>
                    <a:xfrm>
                      <a:off x="0" y="0"/>
                      <a:ext cx="5120640" cy="2945060"/>
                    </a:xfrm>
                    <a:prstGeom prst="rect">
                      <a:avLst/>
                    </a:prstGeom>
                  </pic:spPr>
                </pic:pic>
              </a:graphicData>
            </a:graphic>
          </wp:inline>
        </w:drawing>
      </w:r>
    </w:p>
    <w:p w14:paraId="6FB4A8A3" w14:textId="77777777" w:rsidR="00B11507" w:rsidRDefault="00974EEF">
      <w:pPr>
        <w:jc w:val="center"/>
      </w:pPr>
      <w:r>
        <w:rPr>
          <w:rFonts w:ascii="Calibri" w:hAnsi="Calibri"/>
          <w:i/>
          <w:color w:val="4A5568"/>
          <w:sz w:val="18"/>
        </w:rPr>
        <w:t>Figure 4: 2D Principal Component Analysis (PCA) projection of K-Means student spending personas (k = 4).</w:t>
      </w:r>
    </w:p>
    <w:p w14:paraId="00B6690F" w14:textId="77777777" w:rsidR="00B11507" w:rsidRDefault="00974EEF">
      <w:pPr>
        <w:keepNext/>
        <w:spacing w:before="280" w:after="80"/>
      </w:pPr>
      <w:r>
        <w:rPr>
          <w:rFonts w:ascii="Calibri" w:hAnsi="Calibri"/>
          <w:b/>
          <w:color w:val="0F294A"/>
          <w:sz w:val="28"/>
        </w:rPr>
        <w:t>6. Inferential Statistical Hypothesis Testing Battery</w:t>
      </w:r>
    </w:p>
    <w:p w14:paraId="70E91107" w14:textId="77777777" w:rsidR="00B11507" w:rsidRDefault="00974EEF">
      <w:pPr>
        <w:spacing w:after="120"/>
      </w:pPr>
      <w:r>
        <w:rPr>
          <w:rFonts w:ascii="Calibri" w:hAnsi="Calibri"/>
          <w:color w:val="2D3748"/>
          <w:sz w:val="20"/>
        </w:rPr>
        <w:t>All statistical hypotheses were subjected to rigorous parametric and non-parametric verification. Table 2 summarizes the complete decision matrix, degrees of freedom, and empirical test statistics.</w:t>
      </w:r>
    </w:p>
    <w:p w14:paraId="383F3CAB" w14:textId="77777777" w:rsidR="00B11507" w:rsidRDefault="00974EEF">
      <w:pPr>
        <w:keepNext/>
        <w:spacing w:before="200" w:after="60"/>
      </w:pPr>
      <w:r>
        <w:rPr>
          <w:rFonts w:ascii="Calibri" w:hAnsi="Calibri"/>
          <w:b/>
          <w:color w:val="2B6CB0"/>
          <w:sz w:val="23"/>
        </w:rPr>
        <w:t>Table 2: Comprehensive Hypothesis Testing Decision Matrix (α = 0.01)</w:t>
      </w:r>
    </w:p>
    <w:tbl>
      <w:tblPr>
        <w:tblW w:w="0" w:type="auto"/>
        <w:jc w:val="center"/>
        <w:tblBorders>
          <w:top w:val="single" w:sz="4" w:space="0" w:color="CCCCCC"/>
          <w:bottom w:val="single" w:sz="4" w:space="0" w:color="CCCCCC"/>
          <w:insideH w:val="single" w:sz="4" w:space="0" w:color="CCCCCC"/>
        </w:tblBorders>
        <w:tblLook w:val="04A0" w:firstRow="1" w:lastRow="0" w:firstColumn="1" w:lastColumn="0" w:noHBand="0" w:noVBand="1"/>
      </w:tblPr>
      <w:tblGrid>
        <w:gridCol w:w="2592"/>
        <w:gridCol w:w="1152"/>
        <w:gridCol w:w="1440"/>
        <w:gridCol w:w="1296"/>
        <w:gridCol w:w="1296"/>
        <w:gridCol w:w="1584"/>
      </w:tblGrid>
      <w:tr w:rsidR="00B11507" w14:paraId="7795598B" w14:textId="77777777">
        <w:trPr>
          <w:jc w:val="center"/>
        </w:trPr>
        <w:tc>
          <w:tcPr>
            <w:tcW w:w="2592" w:type="dxa"/>
            <w:shd w:val="clear" w:color="auto" w:fill="0F294A"/>
            <w:tcMar>
              <w:top w:w="80" w:type="dxa"/>
              <w:left w:w="60" w:type="dxa"/>
              <w:bottom w:w="80" w:type="dxa"/>
              <w:right w:w="60" w:type="dxa"/>
            </w:tcMar>
          </w:tcPr>
          <w:p w14:paraId="6D074C8D" w14:textId="77777777" w:rsidR="00B11507" w:rsidRDefault="00974EEF">
            <w:pPr>
              <w:jc w:val="center"/>
            </w:pPr>
            <w:r>
              <w:rPr>
                <w:rFonts w:ascii="Calibri" w:hAnsi="Calibri"/>
                <w:b/>
                <w:color w:val="FFFFFF"/>
                <w:sz w:val="18"/>
              </w:rPr>
              <w:t>Statistical Test</w:t>
            </w:r>
          </w:p>
        </w:tc>
        <w:tc>
          <w:tcPr>
            <w:tcW w:w="1152" w:type="dxa"/>
            <w:shd w:val="clear" w:color="auto" w:fill="0F294A"/>
            <w:tcMar>
              <w:top w:w="80" w:type="dxa"/>
              <w:left w:w="60" w:type="dxa"/>
              <w:bottom w:w="80" w:type="dxa"/>
              <w:right w:w="60" w:type="dxa"/>
            </w:tcMar>
          </w:tcPr>
          <w:p w14:paraId="4C10B4A8" w14:textId="77777777" w:rsidR="00B11507" w:rsidRDefault="00974EEF">
            <w:pPr>
              <w:jc w:val="center"/>
            </w:pPr>
            <w:r>
              <w:rPr>
                <w:rFonts w:ascii="Calibri" w:hAnsi="Calibri"/>
                <w:b/>
                <w:color w:val="FFFFFF"/>
                <w:sz w:val="18"/>
              </w:rPr>
              <w:t>Sample (n)</w:t>
            </w:r>
          </w:p>
        </w:tc>
        <w:tc>
          <w:tcPr>
            <w:tcW w:w="1440" w:type="dxa"/>
            <w:shd w:val="clear" w:color="auto" w:fill="0F294A"/>
            <w:tcMar>
              <w:top w:w="80" w:type="dxa"/>
              <w:left w:w="60" w:type="dxa"/>
              <w:bottom w:w="80" w:type="dxa"/>
              <w:right w:w="60" w:type="dxa"/>
            </w:tcMar>
          </w:tcPr>
          <w:p w14:paraId="37EF7F8D" w14:textId="77777777" w:rsidR="00B11507" w:rsidRDefault="00974EEF">
            <w:pPr>
              <w:jc w:val="center"/>
            </w:pPr>
            <w:r>
              <w:rPr>
                <w:rFonts w:ascii="Calibri" w:hAnsi="Calibri"/>
                <w:b/>
                <w:color w:val="FFFFFF"/>
                <w:sz w:val="18"/>
              </w:rPr>
              <w:t>Test Stat</w:t>
            </w:r>
          </w:p>
        </w:tc>
        <w:tc>
          <w:tcPr>
            <w:tcW w:w="1296" w:type="dxa"/>
            <w:shd w:val="clear" w:color="auto" w:fill="0F294A"/>
            <w:tcMar>
              <w:top w:w="80" w:type="dxa"/>
              <w:left w:w="60" w:type="dxa"/>
              <w:bottom w:w="80" w:type="dxa"/>
              <w:right w:w="60" w:type="dxa"/>
            </w:tcMar>
          </w:tcPr>
          <w:p w14:paraId="79FD1AFD" w14:textId="77777777" w:rsidR="00B11507" w:rsidRDefault="00974EEF">
            <w:pPr>
              <w:jc w:val="center"/>
            </w:pPr>
            <w:r>
              <w:rPr>
                <w:rFonts w:ascii="Calibri" w:hAnsi="Calibri"/>
                <w:b/>
                <w:color w:val="FFFFFF"/>
                <w:sz w:val="18"/>
              </w:rPr>
              <w:t>Critical Val</w:t>
            </w:r>
          </w:p>
        </w:tc>
        <w:tc>
          <w:tcPr>
            <w:tcW w:w="1296" w:type="dxa"/>
            <w:shd w:val="clear" w:color="auto" w:fill="0F294A"/>
            <w:tcMar>
              <w:top w:w="80" w:type="dxa"/>
              <w:left w:w="60" w:type="dxa"/>
              <w:bottom w:w="80" w:type="dxa"/>
              <w:right w:w="60" w:type="dxa"/>
            </w:tcMar>
          </w:tcPr>
          <w:p w14:paraId="7E0142C9" w14:textId="77777777" w:rsidR="00B11507" w:rsidRDefault="00974EEF">
            <w:pPr>
              <w:jc w:val="center"/>
            </w:pPr>
            <w:r>
              <w:rPr>
                <w:rFonts w:ascii="Calibri" w:hAnsi="Calibri"/>
                <w:b/>
                <w:color w:val="FFFFFF"/>
                <w:sz w:val="18"/>
              </w:rPr>
              <w:t>p-value</w:t>
            </w:r>
          </w:p>
        </w:tc>
        <w:tc>
          <w:tcPr>
            <w:tcW w:w="1584" w:type="dxa"/>
            <w:shd w:val="clear" w:color="auto" w:fill="0F294A"/>
            <w:tcMar>
              <w:top w:w="80" w:type="dxa"/>
              <w:left w:w="60" w:type="dxa"/>
              <w:bottom w:w="80" w:type="dxa"/>
              <w:right w:w="60" w:type="dxa"/>
            </w:tcMar>
          </w:tcPr>
          <w:p w14:paraId="116C01FF" w14:textId="77777777" w:rsidR="00B11507" w:rsidRDefault="00974EEF">
            <w:pPr>
              <w:jc w:val="center"/>
            </w:pPr>
            <w:r>
              <w:rPr>
                <w:rFonts w:ascii="Calibri" w:hAnsi="Calibri"/>
                <w:b/>
                <w:color w:val="FFFFFF"/>
                <w:sz w:val="18"/>
              </w:rPr>
              <w:t>Conclusion</w:t>
            </w:r>
          </w:p>
        </w:tc>
      </w:tr>
      <w:tr w:rsidR="00B11507" w14:paraId="7CF78AC1" w14:textId="77777777">
        <w:trPr>
          <w:jc w:val="center"/>
        </w:trPr>
        <w:tc>
          <w:tcPr>
            <w:tcW w:w="2592" w:type="dxa"/>
            <w:shd w:val="clear" w:color="auto" w:fill="F7FAFC"/>
            <w:tcMar>
              <w:top w:w="70" w:type="dxa"/>
              <w:left w:w="60" w:type="dxa"/>
              <w:bottom w:w="70" w:type="dxa"/>
              <w:right w:w="60" w:type="dxa"/>
            </w:tcMar>
          </w:tcPr>
          <w:p w14:paraId="37991565" w14:textId="77777777" w:rsidR="00B11507" w:rsidRDefault="00974EEF">
            <w:r>
              <w:rPr>
                <w:rFonts w:ascii="Calibri" w:hAnsi="Calibri"/>
                <w:sz w:val="17"/>
              </w:rPr>
              <w:t>Paired T-Test (Pre vs Post)</w:t>
            </w:r>
          </w:p>
        </w:tc>
        <w:tc>
          <w:tcPr>
            <w:tcW w:w="1152" w:type="dxa"/>
            <w:shd w:val="clear" w:color="auto" w:fill="F7FAFC"/>
            <w:tcMar>
              <w:top w:w="70" w:type="dxa"/>
              <w:left w:w="60" w:type="dxa"/>
              <w:bottom w:w="70" w:type="dxa"/>
              <w:right w:w="60" w:type="dxa"/>
            </w:tcMar>
          </w:tcPr>
          <w:p w14:paraId="06D68CC0" w14:textId="77777777" w:rsidR="00B11507" w:rsidRDefault="00974EEF">
            <w:pPr>
              <w:jc w:val="center"/>
            </w:pPr>
            <w:r>
              <w:rPr>
                <w:rFonts w:ascii="Calibri" w:hAnsi="Calibri"/>
                <w:sz w:val="17"/>
              </w:rPr>
              <w:t>n = 2,622</w:t>
            </w:r>
          </w:p>
        </w:tc>
        <w:tc>
          <w:tcPr>
            <w:tcW w:w="1440" w:type="dxa"/>
            <w:shd w:val="clear" w:color="auto" w:fill="F7FAFC"/>
            <w:tcMar>
              <w:top w:w="70" w:type="dxa"/>
              <w:left w:w="60" w:type="dxa"/>
              <w:bottom w:w="70" w:type="dxa"/>
              <w:right w:w="60" w:type="dxa"/>
            </w:tcMar>
          </w:tcPr>
          <w:p w14:paraId="6FE2590B" w14:textId="77777777" w:rsidR="00B11507" w:rsidRDefault="00974EEF">
            <w:pPr>
              <w:jc w:val="center"/>
            </w:pPr>
            <w:r>
              <w:rPr>
                <w:rFonts w:ascii="Calibri" w:hAnsi="Calibri"/>
                <w:sz w:val="17"/>
              </w:rPr>
              <w:t>t = 44.22</w:t>
            </w:r>
          </w:p>
        </w:tc>
        <w:tc>
          <w:tcPr>
            <w:tcW w:w="1296" w:type="dxa"/>
            <w:shd w:val="clear" w:color="auto" w:fill="F7FAFC"/>
            <w:tcMar>
              <w:top w:w="70" w:type="dxa"/>
              <w:left w:w="60" w:type="dxa"/>
              <w:bottom w:w="70" w:type="dxa"/>
              <w:right w:w="60" w:type="dxa"/>
            </w:tcMar>
          </w:tcPr>
          <w:p w14:paraId="597EFD25" w14:textId="77777777" w:rsidR="00B11507" w:rsidRDefault="00974EEF">
            <w:pPr>
              <w:jc w:val="center"/>
            </w:pPr>
            <w:r>
              <w:rPr>
                <w:rFonts w:ascii="Calibri" w:hAnsi="Calibri"/>
                <w:sz w:val="17"/>
              </w:rPr>
              <w:t>t_crit = 2.33</w:t>
            </w:r>
          </w:p>
        </w:tc>
        <w:tc>
          <w:tcPr>
            <w:tcW w:w="1296" w:type="dxa"/>
            <w:shd w:val="clear" w:color="auto" w:fill="F7FAFC"/>
            <w:tcMar>
              <w:top w:w="70" w:type="dxa"/>
              <w:left w:w="60" w:type="dxa"/>
              <w:bottom w:w="70" w:type="dxa"/>
              <w:right w:w="60" w:type="dxa"/>
            </w:tcMar>
          </w:tcPr>
          <w:p w14:paraId="77C261E9" w14:textId="77777777" w:rsidR="00B11507" w:rsidRDefault="00974EEF">
            <w:pPr>
              <w:jc w:val="center"/>
            </w:pPr>
            <w:r>
              <w:rPr>
                <w:rFonts w:ascii="Calibri" w:hAnsi="Calibri"/>
                <w:sz w:val="17"/>
              </w:rPr>
              <w:t>&lt; 10^-15</w:t>
            </w:r>
          </w:p>
        </w:tc>
        <w:tc>
          <w:tcPr>
            <w:tcW w:w="1584" w:type="dxa"/>
            <w:shd w:val="clear" w:color="auto" w:fill="F7FAFC"/>
            <w:tcMar>
              <w:top w:w="70" w:type="dxa"/>
              <w:left w:w="60" w:type="dxa"/>
              <w:bottom w:w="70" w:type="dxa"/>
              <w:right w:w="60" w:type="dxa"/>
            </w:tcMar>
          </w:tcPr>
          <w:p w14:paraId="77330FF1" w14:textId="77777777" w:rsidR="00B11507" w:rsidRDefault="00974EEF">
            <w:pPr>
              <w:jc w:val="center"/>
            </w:pPr>
            <w:r>
              <w:rPr>
                <w:rFonts w:ascii="Calibri" w:hAnsi="Calibri"/>
                <w:b/>
                <w:color w:val="1B6E3A"/>
                <w:sz w:val="17"/>
              </w:rPr>
              <w:t>REJECT H₀ (p &lt; 0.001)</w:t>
            </w:r>
          </w:p>
        </w:tc>
      </w:tr>
      <w:tr w:rsidR="00B11507" w14:paraId="0645FF58" w14:textId="77777777">
        <w:trPr>
          <w:jc w:val="center"/>
        </w:trPr>
        <w:tc>
          <w:tcPr>
            <w:tcW w:w="2592" w:type="dxa"/>
            <w:shd w:val="clear" w:color="auto" w:fill="FFFFFF"/>
            <w:tcMar>
              <w:top w:w="70" w:type="dxa"/>
              <w:left w:w="60" w:type="dxa"/>
              <w:bottom w:w="70" w:type="dxa"/>
              <w:right w:w="60" w:type="dxa"/>
            </w:tcMar>
          </w:tcPr>
          <w:p w14:paraId="3F931835" w14:textId="77777777" w:rsidR="00B11507" w:rsidRDefault="00974EEF">
            <w:r>
              <w:rPr>
                <w:rFonts w:ascii="Calibri" w:hAnsi="Calibri"/>
                <w:sz w:val="17"/>
              </w:rPr>
              <w:t>Two-Sample Z-Test (Overspend)</w:t>
            </w:r>
          </w:p>
        </w:tc>
        <w:tc>
          <w:tcPr>
            <w:tcW w:w="1152" w:type="dxa"/>
            <w:shd w:val="clear" w:color="auto" w:fill="FFFFFF"/>
            <w:tcMar>
              <w:top w:w="70" w:type="dxa"/>
              <w:left w:w="60" w:type="dxa"/>
              <w:bottom w:w="70" w:type="dxa"/>
              <w:right w:w="60" w:type="dxa"/>
            </w:tcMar>
          </w:tcPr>
          <w:p w14:paraId="09147A1B" w14:textId="77777777" w:rsidR="00B11507" w:rsidRDefault="00974EEF">
            <w:pPr>
              <w:jc w:val="center"/>
            </w:pPr>
            <w:r>
              <w:rPr>
                <w:rFonts w:ascii="Calibri" w:hAnsi="Calibri"/>
                <w:sz w:val="17"/>
              </w:rPr>
              <w:t>n₁=1800, n₂=398</w:t>
            </w:r>
          </w:p>
        </w:tc>
        <w:tc>
          <w:tcPr>
            <w:tcW w:w="1440" w:type="dxa"/>
            <w:shd w:val="clear" w:color="auto" w:fill="FFFFFF"/>
            <w:tcMar>
              <w:top w:w="70" w:type="dxa"/>
              <w:left w:w="60" w:type="dxa"/>
              <w:bottom w:w="70" w:type="dxa"/>
              <w:right w:w="60" w:type="dxa"/>
            </w:tcMar>
          </w:tcPr>
          <w:p w14:paraId="719D10E8" w14:textId="77777777" w:rsidR="00B11507" w:rsidRDefault="00974EEF">
            <w:pPr>
              <w:jc w:val="center"/>
            </w:pPr>
            <w:r>
              <w:rPr>
                <w:rFonts w:ascii="Calibri" w:hAnsi="Calibri"/>
                <w:sz w:val="17"/>
              </w:rPr>
              <w:t>Z = 7.40</w:t>
            </w:r>
          </w:p>
        </w:tc>
        <w:tc>
          <w:tcPr>
            <w:tcW w:w="1296" w:type="dxa"/>
            <w:shd w:val="clear" w:color="auto" w:fill="FFFFFF"/>
            <w:tcMar>
              <w:top w:w="70" w:type="dxa"/>
              <w:left w:w="60" w:type="dxa"/>
              <w:bottom w:w="70" w:type="dxa"/>
              <w:right w:w="60" w:type="dxa"/>
            </w:tcMar>
          </w:tcPr>
          <w:p w14:paraId="319E8FD7" w14:textId="77777777" w:rsidR="00B11507" w:rsidRDefault="00974EEF">
            <w:pPr>
              <w:jc w:val="center"/>
            </w:pPr>
            <w:r>
              <w:rPr>
                <w:rFonts w:ascii="Calibri" w:hAnsi="Calibri"/>
                <w:sz w:val="17"/>
              </w:rPr>
              <w:t>Z_crit = 2.33</w:t>
            </w:r>
          </w:p>
        </w:tc>
        <w:tc>
          <w:tcPr>
            <w:tcW w:w="1296" w:type="dxa"/>
            <w:shd w:val="clear" w:color="auto" w:fill="FFFFFF"/>
            <w:tcMar>
              <w:top w:w="70" w:type="dxa"/>
              <w:left w:w="60" w:type="dxa"/>
              <w:bottom w:w="70" w:type="dxa"/>
              <w:right w:w="60" w:type="dxa"/>
            </w:tcMar>
          </w:tcPr>
          <w:p w14:paraId="2B00F2D0" w14:textId="77777777" w:rsidR="00B11507" w:rsidRDefault="00974EEF">
            <w:pPr>
              <w:jc w:val="center"/>
            </w:pPr>
            <w:r>
              <w:rPr>
                <w:rFonts w:ascii="Calibri" w:hAnsi="Calibri"/>
                <w:sz w:val="17"/>
              </w:rPr>
              <w:t>1.32 × 10^-13</w:t>
            </w:r>
          </w:p>
        </w:tc>
        <w:tc>
          <w:tcPr>
            <w:tcW w:w="1584" w:type="dxa"/>
            <w:shd w:val="clear" w:color="auto" w:fill="FFFFFF"/>
            <w:tcMar>
              <w:top w:w="70" w:type="dxa"/>
              <w:left w:w="60" w:type="dxa"/>
              <w:bottom w:w="70" w:type="dxa"/>
              <w:right w:w="60" w:type="dxa"/>
            </w:tcMar>
          </w:tcPr>
          <w:p w14:paraId="5E6FE8E2" w14:textId="77777777" w:rsidR="00B11507" w:rsidRDefault="00974EEF">
            <w:pPr>
              <w:jc w:val="center"/>
            </w:pPr>
            <w:r>
              <w:rPr>
                <w:rFonts w:ascii="Calibri" w:hAnsi="Calibri"/>
                <w:b/>
                <w:color w:val="1B6E3A"/>
                <w:sz w:val="17"/>
              </w:rPr>
              <w:t>REJECT H₀ (p &lt; 0.001)</w:t>
            </w:r>
          </w:p>
        </w:tc>
      </w:tr>
      <w:tr w:rsidR="00B11507" w14:paraId="30AC23DE" w14:textId="77777777">
        <w:trPr>
          <w:jc w:val="center"/>
        </w:trPr>
        <w:tc>
          <w:tcPr>
            <w:tcW w:w="2592" w:type="dxa"/>
            <w:shd w:val="clear" w:color="auto" w:fill="F7FAFC"/>
            <w:tcMar>
              <w:top w:w="70" w:type="dxa"/>
              <w:left w:w="60" w:type="dxa"/>
              <w:bottom w:w="70" w:type="dxa"/>
              <w:right w:w="60" w:type="dxa"/>
            </w:tcMar>
          </w:tcPr>
          <w:p w14:paraId="46619342" w14:textId="77777777" w:rsidR="00B11507" w:rsidRDefault="00974EEF">
            <w:r>
              <w:rPr>
                <w:rFonts w:ascii="Calibri" w:hAnsi="Calibri"/>
                <w:sz w:val="17"/>
              </w:rPr>
              <w:t>One-Sample Z-Test (Majority)</w:t>
            </w:r>
          </w:p>
        </w:tc>
        <w:tc>
          <w:tcPr>
            <w:tcW w:w="1152" w:type="dxa"/>
            <w:shd w:val="clear" w:color="auto" w:fill="F7FAFC"/>
            <w:tcMar>
              <w:top w:w="70" w:type="dxa"/>
              <w:left w:w="60" w:type="dxa"/>
              <w:bottom w:w="70" w:type="dxa"/>
              <w:right w:w="60" w:type="dxa"/>
            </w:tcMar>
          </w:tcPr>
          <w:p w14:paraId="285B1EF9" w14:textId="77777777" w:rsidR="00B11507" w:rsidRDefault="00974EEF">
            <w:pPr>
              <w:jc w:val="center"/>
            </w:pPr>
            <w:r>
              <w:rPr>
                <w:rFonts w:ascii="Calibri" w:hAnsi="Calibri"/>
                <w:sz w:val="17"/>
              </w:rPr>
              <w:t>N = 3,000</w:t>
            </w:r>
          </w:p>
        </w:tc>
        <w:tc>
          <w:tcPr>
            <w:tcW w:w="1440" w:type="dxa"/>
            <w:shd w:val="clear" w:color="auto" w:fill="F7FAFC"/>
            <w:tcMar>
              <w:top w:w="70" w:type="dxa"/>
              <w:left w:w="60" w:type="dxa"/>
              <w:bottom w:w="70" w:type="dxa"/>
              <w:right w:w="60" w:type="dxa"/>
            </w:tcMar>
          </w:tcPr>
          <w:p w14:paraId="4AC001AF" w14:textId="77777777" w:rsidR="00B11507" w:rsidRDefault="00974EEF">
            <w:pPr>
              <w:jc w:val="center"/>
            </w:pPr>
            <w:r>
              <w:rPr>
                <w:rFonts w:ascii="Calibri" w:hAnsi="Calibri"/>
                <w:sz w:val="17"/>
              </w:rPr>
              <w:t>Z = 23.26</w:t>
            </w:r>
          </w:p>
        </w:tc>
        <w:tc>
          <w:tcPr>
            <w:tcW w:w="1296" w:type="dxa"/>
            <w:shd w:val="clear" w:color="auto" w:fill="F7FAFC"/>
            <w:tcMar>
              <w:top w:w="70" w:type="dxa"/>
              <w:left w:w="60" w:type="dxa"/>
              <w:bottom w:w="70" w:type="dxa"/>
              <w:right w:w="60" w:type="dxa"/>
            </w:tcMar>
          </w:tcPr>
          <w:p w14:paraId="430D7E80" w14:textId="77777777" w:rsidR="00B11507" w:rsidRDefault="00974EEF">
            <w:pPr>
              <w:jc w:val="center"/>
            </w:pPr>
            <w:r>
              <w:rPr>
                <w:rFonts w:ascii="Calibri" w:hAnsi="Calibri"/>
                <w:sz w:val="17"/>
              </w:rPr>
              <w:t>Z_crit = 2.33</w:t>
            </w:r>
          </w:p>
        </w:tc>
        <w:tc>
          <w:tcPr>
            <w:tcW w:w="1296" w:type="dxa"/>
            <w:shd w:val="clear" w:color="auto" w:fill="F7FAFC"/>
            <w:tcMar>
              <w:top w:w="70" w:type="dxa"/>
              <w:left w:w="60" w:type="dxa"/>
              <w:bottom w:w="70" w:type="dxa"/>
              <w:right w:w="60" w:type="dxa"/>
            </w:tcMar>
          </w:tcPr>
          <w:p w14:paraId="77BACBDD" w14:textId="77777777" w:rsidR="00B11507" w:rsidRDefault="00974EEF">
            <w:pPr>
              <w:jc w:val="center"/>
            </w:pPr>
            <w:r>
              <w:rPr>
                <w:rFonts w:ascii="Calibri" w:hAnsi="Calibri"/>
                <w:sz w:val="17"/>
              </w:rPr>
              <w:t>&lt; 10^-15</w:t>
            </w:r>
          </w:p>
        </w:tc>
        <w:tc>
          <w:tcPr>
            <w:tcW w:w="1584" w:type="dxa"/>
            <w:shd w:val="clear" w:color="auto" w:fill="F7FAFC"/>
            <w:tcMar>
              <w:top w:w="70" w:type="dxa"/>
              <w:left w:w="60" w:type="dxa"/>
              <w:bottom w:w="70" w:type="dxa"/>
              <w:right w:w="60" w:type="dxa"/>
            </w:tcMar>
          </w:tcPr>
          <w:p w14:paraId="542BD58B" w14:textId="77777777" w:rsidR="00B11507" w:rsidRDefault="00974EEF">
            <w:pPr>
              <w:jc w:val="center"/>
            </w:pPr>
            <w:r>
              <w:rPr>
                <w:rFonts w:ascii="Calibri" w:hAnsi="Calibri"/>
                <w:b/>
                <w:color w:val="1B6E3A"/>
                <w:sz w:val="17"/>
              </w:rPr>
              <w:t>REJECT H₀ (p &lt; 0.001)</w:t>
            </w:r>
          </w:p>
        </w:tc>
      </w:tr>
      <w:tr w:rsidR="00B11507" w14:paraId="38900E64" w14:textId="77777777">
        <w:trPr>
          <w:jc w:val="center"/>
        </w:trPr>
        <w:tc>
          <w:tcPr>
            <w:tcW w:w="2592" w:type="dxa"/>
            <w:shd w:val="clear" w:color="auto" w:fill="FFFFFF"/>
            <w:tcMar>
              <w:top w:w="70" w:type="dxa"/>
              <w:left w:w="60" w:type="dxa"/>
              <w:bottom w:w="70" w:type="dxa"/>
              <w:right w:w="60" w:type="dxa"/>
            </w:tcMar>
          </w:tcPr>
          <w:p w14:paraId="56E8C47A" w14:textId="77777777" w:rsidR="00B11507" w:rsidRDefault="00974EEF">
            <w:r>
              <w:rPr>
                <w:rFonts w:ascii="Calibri" w:hAnsi="Calibri"/>
                <w:sz w:val="17"/>
              </w:rPr>
              <w:t>Chi-Square Test (Pain/Overspend)</w:t>
            </w:r>
          </w:p>
        </w:tc>
        <w:tc>
          <w:tcPr>
            <w:tcW w:w="1152" w:type="dxa"/>
            <w:shd w:val="clear" w:color="auto" w:fill="FFFFFF"/>
            <w:tcMar>
              <w:top w:w="70" w:type="dxa"/>
              <w:left w:w="60" w:type="dxa"/>
              <w:bottom w:w="70" w:type="dxa"/>
              <w:right w:w="60" w:type="dxa"/>
            </w:tcMar>
          </w:tcPr>
          <w:p w14:paraId="3AC66B71" w14:textId="77777777" w:rsidR="00B11507" w:rsidRDefault="00974EEF">
            <w:pPr>
              <w:jc w:val="center"/>
            </w:pPr>
            <w:r>
              <w:rPr>
                <w:rFonts w:ascii="Calibri" w:hAnsi="Calibri"/>
                <w:sz w:val="17"/>
              </w:rPr>
              <w:t>N = 3,000 (df=4)</w:t>
            </w:r>
          </w:p>
        </w:tc>
        <w:tc>
          <w:tcPr>
            <w:tcW w:w="1440" w:type="dxa"/>
            <w:shd w:val="clear" w:color="auto" w:fill="FFFFFF"/>
            <w:tcMar>
              <w:top w:w="70" w:type="dxa"/>
              <w:left w:w="60" w:type="dxa"/>
              <w:bottom w:w="70" w:type="dxa"/>
              <w:right w:w="60" w:type="dxa"/>
            </w:tcMar>
          </w:tcPr>
          <w:p w14:paraId="69148FD6" w14:textId="77777777" w:rsidR="00B11507" w:rsidRDefault="00974EEF">
            <w:pPr>
              <w:jc w:val="center"/>
            </w:pPr>
            <w:r>
              <w:rPr>
                <w:rFonts w:ascii="Calibri" w:hAnsi="Calibri"/>
                <w:sz w:val="17"/>
              </w:rPr>
              <w:t>χ² = 385.96</w:t>
            </w:r>
          </w:p>
        </w:tc>
        <w:tc>
          <w:tcPr>
            <w:tcW w:w="1296" w:type="dxa"/>
            <w:shd w:val="clear" w:color="auto" w:fill="FFFFFF"/>
            <w:tcMar>
              <w:top w:w="70" w:type="dxa"/>
              <w:left w:w="60" w:type="dxa"/>
              <w:bottom w:w="70" w:type="dxa"/>
              <w:right w:w="60" w:type="dxa"/>
            </w:tcMar>
          </w:tcPr>
          <w:p w14:paraId="54DEF103" w14:textId="77777777" w:rsidR="00B11507" w:rsidRDefault="00974EEF">
            <w:pPr>
              <w:jc w:val="center"/>
            </w:pPr>
            <w:r>
              <w:rPr>
                <w:rFonts w:ascii="Calibri" w:hAnsi="Calibri"/>
                <w:sz w:val="17"/>
              </w:rPr>
              <w:t>χ²_crit = 13.28</w:t>
            </w:r>
          </w:p>
        </w:tc>
        <w:tc>
          <w:tcPr>
            <w:tcW w:w="1296" w:type="dxa"/>
            <w:shd w:val="clear" w:color="auto" w:fill="FFFFFF"/>
            <w:tcMar>
              <w:top w:w="70" w:type="dxa"/>
              <w:left w:w="60" w:type="dxa"/>
              <w:bottom w:w="70" w:type="dxa"/>
              <w:right w:w="60" w:type="dxa"/>
            </w:tcMar>
          </w:tcPr>
          <w:p w14:paraId="07D0EBFE" w14:textId="77777777" w:rsidR="00B11507" w:rsidRDefault="00974EEF">
            <w:pPr>
              <w:jc w:val="center"/>
            </w:pPr>
            <w:r>
              <w:rPr>
                <w:rFonts w:ascii="Calibri" w:hAnsi="Calibri"/>
                <w:sz w:val="17"/>
              </w:rPr>
              <w:t>&lt; 10^-15</w:t>
            </w:r>
          </w:p>
        </w:tc>
        <w:tc>
          <w:tcPr>
            <w:tcW w:w="1584" w:type="dxa"/>
            <w:shd w:val="clear" w:color="auto" w:fill="FFFFFF"/>
            <w:tcMar>
              <w:top w:w="70" w:type="dxa"/>
              <w:left w:w="60" w:type="dxa"/>
              <w:bottom w:w="70" w:type="dxa"/>
              <w:right w:w="60" w:type="dxa"/>
            </w:tcMar>
          </w:tcPr>
          <w:p w14:paraId="74FA11F6" w14:textId="77777777" w:rsidR="00B11507" w:rsidRDefault="00974EEF">
            <w:pPr>
              <w:jc w:val="center"/>
            </w:pPr>
            <w:r>
              <w:rPr>
                <w:rFonts w:ascii="Calibri" w:hAnsi="Calibri"/>
                <w:b/>
                <w:color w:val="1B6E3A"/>
                <w:sz w:val="17"/>
              </w:rPr>
              <w:t>REJECT H₀ (V = 0.267)</w:t>
            </w:r>
          </w:p>
        </w:tc>
      </w:tr>
      <w:tr w:rsidR="00B11507" w14:paraId="064D0CC6" w14:textId="77777777">
        <w:trPr>
          <w:jc w:val="center"/>
        </w:trPr>
        <w:tc>
          <w:tcPr>
            <w:tcW w:w="2592" w:type="dxa"/>
            <w:shd w:val="clear" w:color="auto" w:fill="F7FAFC"/>
            <w:tcMar>
              <w:top w:w="70" w:type="dxa"/>
              <w:left w:w="60" w:type="dxa"/>
              <w:bottom w:w="70" w:type="dxa"/>
              <w:right w:w="60" w:type="dxa"/>
            </w:tcMar>
          </w:tcPr>
          <w:p w14:paraId="0984EE45" w14:textId="77777777" w:rsidR="00B11507" w:rsidRDefault="00974EEF">
            <w:r>
              <w:rPr>
                <w:rFonts w:ascii="Calibri" w:hAnsi="Calibri"/>
                <w:sz w:val="17"/>
              </w:rPr>
              <w:t>One-Way ANOVA (Tiers)</w:t>
            </w:r>
          </w:p>
        </w:tc>
        <w:tc>
          <w:tcPr>
            <w:tcW w:w="1152" w:type="dxa"/>
            <w:shd w:val="clear" w:color="auto" w:fill="F7FAFC"/>
            <w:tcMar>
              <w:top w:w="70" w:type="dxa"/>
              <w:left w:w="60" w:type="dxa"/>
              <w:bottom w:w="70" w:type="dxa"/>
              <w:right w:w="60" w:type="dxa"/>
            </w:tcMar>
          </w:tcPr>
          <w:p w14:paraId="4BB57BAC" w14:textId="77777777" w:rsidR="00B11507" w:rsidRDefault="00974EEF">
            <w:pPr>
              <w:jc w:val="center"/>
            </w:pPr>
            <w:r>
              <w:rPr>
                <w:rFonts w:ascii="Calibri" w:hAnsi="Calibri"/>
                <w:sz w:val="17"/>
              </w:rPr>
              <w:t>N = 3,000 (df=4,2995)</w:t>
            </w:r>
          </w:p>
        </w:tc>
        <w:tc>
          <w:tcPr>
            <w:tcW w:w="1440" w:type="dxa"/>
            <w:shd w:val="clear" w:color="auto" w:fill="F7FAFC"/>
            <w:tcMar>
              <w:top w:w="70" w:type="dxa"/>
              <w:left w:w="60" w:type="dxa"/>
              <w:bottom w:w="70" w:type="dxa"/>
              <w:right w:w="60" w:type="dxa"/>
            </w:tcMar>
          </w:tcPr>
          <w:p w14:paraId="0C564E94" w14:textId="77777777" w:rsidR="00B11507" w:rsidRDefault="00974EEF">
            <w:pPr>
              <w:jc w:val="center"/>
            </w:pPr>
            <w:r>
              <w:rPr>
                <w:rFonts w:ascii="Calibri" w:hAnsi="Calibri"/>
                <w:sz w:val="17"/>
              </w:rPr>
              <w:t>F = 497.21</w:t>
            </w:r>
          </w:p>
        </w:tc>
        <w:tc>
          <w:tcPr>
            <w:tcW w:w="1296" w:type="dxa"/>
            <w:shd w:val="clear" w:color="auto" w:fill="F7FAFC"/>
            <w:tcMar>
              <w:top w:w="70" w:type="dxa"/>
              <w:left w:w="60" w:type="dxa"/>
              <w:bottom w:w="70" w:type="dxa"/>
              <w:right w:w="60" w:type="dxa"/>
            </w:tcMar>
          </w:tcPr>
          <w:p w14:paraId="6611361E" w14:textId="77777777" w:rsidR="00B11507" w:rsidRDefault="00974EEF">
            <w:pPr>
              <w:jc w:val="center"/>
            </w:pPr>
            <w:r>
              <w:rPr>
                <w:rFonts w:ascii="Calibri" w:hAnsi="Calibri"/>
                <w:sz w:val="17"/>
              </w:rPr>
              <w:t>F_crit = 3.32</w:t>
            </w:r>
          </w:p>
        </w:tc>
        <w:tc>
          <w:tcPr>
            <w:tcW w:w="1296" w:type="dxa"/>
            <w:shd w:val="clear" w:color="auto" w:fill="F7FAFC"/>
            <w:tcMar>
              <w:top w:w="70" w:type="dxa"/>
              <w:left w:w="60" w:type="dxa"/>
              <w:bottom w:w="70" w:type="dxa"/>
              <w:right w:w="60" w:type="dxa"/>
            </w:tcMar>
          </w:tcPr>
          <w:p w14:paraId="3D55F923" w14:textId="77777777" w:rsidR="00B11507" w:rsidRDefault="00974EEF">
            <w:pPr>
              <w:jc w:val="center"/>
            </w:pPr>
            <w:r>
              <w:rPr>
                <w:rFonts w:ascii="Calibri" w:hAnsi="Calibri"/>
                <w:sz w:val="17"/>
              </w:rPr>
              <w:t>&lt; 10^-15</w:t>
            </w:r>
          </w:p>
        </w:tc>
        <w:tc>
          <w:tcPr>
            <w:tcW w:w="1584" w:type="dxa"/>
            <w:shd w:val="clear" w:color="auto" w:fill="F7FAFC"/>
            <w:tcMar>
              <w:top w:w="70" w:type="dxa"/>
              <w:left w:w="60" w:type="dxa"/>
              <w:bottom w:w="70" w:type="dxa"/>
              <w:right w:w="60" w:type="dxa"/>
            </w:tcMar>
          </w:tcPr>
          <w:p w14:paraId="26437E32" w14:textId="77777777" w:rsidR="00B11507" w:rsidRDefault="00974EEF">
            <w:pPr>
              <w:jc w:val="center"/>
            </w:pPr>
            <w:r>
              <w:rPr>
                <w:rFonts w:ascii="Calibri" w:hAnsi="Calibri"/>
                <w:b/>
                <w:color w:val="1B6E3A"/>
                <w:sz w:val="17"/>
              </w:rPr>
              <w:t>REJECT H₀ (p &lt; 0.001)</w:t>
            </w:r>
          </w:p>
        </w:tc>
      </w:tr>
    </w:tbl>
    <w:p w14:paraId="54EFBBC7" w14:textId="77777777" w:rsidR="00B11507" w:rsidRDefault="00B11507">
      <w:pPr>
        <w:spacing w:after="160"/>
      </w:pPr>
    </w:p>
    <w:p w14:paraId="0C03B5CF" w14:textId="77777777" w:rsidR="00B11507" w:rsidRDefault="00974EEF">
      <w:pPr>
        <w:spacing w:before="160" w:after="60"/>
        <w:jc w:val="center"/>
      </w:pPr>
      <w:r>
        <w:rPr>
          <w:noProof/>
        </w:rPr>
        <w:lastRenderedPageBreak/>
        <w:drawing>
          <wp:inline distT="0" distB="0" distL="0" distR="0" wp14:anchorId="54847FB3" wp14:editId="7A23EB49">
            <wp:extent cx="5029200" cy="175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_test_analysis.png"/>
                    <pic:cNvPicPr/>
                  </pic:nvPicPr>
                  <pic:blipFill>
                    <a:blip r:embed="rId12"/>
                    <a:stretch>
                      <a:fillRect/>
                    </a:stretch>
                  </pic:blipFill>
                  <pic:spPr>
                    <a:xfrm>
                      <a:off x="0" y="0"/>
                      <a:ext cx="5029200" cy="1759815"/>
                    </a:xfrm>
                    <a:prstGeom prst="rect">
                      <a:avLst/>
                    </a:prstGeom>
                  </pic:spPr>
                </pic:pic>
              </a:graphicData>
            </a:graphic>
          </wp:inline>
        </w:drawing>
      </w:r>
    </w:p>
    <w:p w14:paraId="05628AFD" w14:textId="77777777" w:rsidR="00B11507" w:rsidRDefault="00974EEF">
      <w:pPr>
        <w:jc w:val="center"/>
      </w:pPr>
      <w:r>
        <w:rPr>
          <w:rFonts w:ascii="Calibri" w:hAnsi="Calibri"/>
          <w:i/>
          <w:color w:val="4A5568"/>
          <w:sz w:val="18"/>
        </w:rPr>
        <w:t>Figure 5: Paired Student's T-Test distribution and net expenditure inflation density plot (+43.8% increase).</w:t>
      </w:r>
    </w:p>
    <w:p w14:paraId="307AB5A6" w14:textId="77777777" w:rsidR="00B11507" w:rsidRDefault="00974EEF">
      <w:pPr>
        <w:keepNext/>
        <w:spacing w:before="280" w:after="80"/>
      </w:pPr>
      <w:r>
        <w:rPr>
          <w:rFonts w:ascii="Calibri" w:hAnsi="Calibri"/>
          <w:b/>
          <w:color w:val="0F294A"/>
          <w:sz w:val="28"/>
        </w:rPr>
        <w:t>7. Predictive Machine Learning Modeling</w:t>
      </w:r>
    </w:p>
    <w:p w14:paraId="6E975B72" w14:textId="77777777" w:rsidR="00B11507" w:rsidRDefault="00974EEF">
      <w:pPr>
        <w:spacing w:after="120"/>
      </w:pPr>
      <w:r>
        <w:rPr>
          <w:rFonts w:ascii="Calibri" w:hAnsi="Calibri"/>
          <w:color w:val="2D3748"/>
          <w:sz w:val="20"/>
        </w:rPr>
        <w:t>To assess whether behavioral indicators can reliably forecast student overspending tendencies, a Random Forest Classifier (100 estimators, 80/20 train-test split) was evaluated alongside an Ordinary Least Squares (OLS) Linear Regressor for perceived influence.</w:t>
      </w:r>
    </w:p>
    <w:p w14:paraId="3F9C22D2" w14:textId="77777777" w:rsidR="00B11507" w:rsidRDefault="00974EEF">
      <w:pPr>
        <w:pStyle w:val="ListBullet"/>
        <w:spacing w:after="60"/>
      </w:pPr>
      <w:r>
        <w:rPr>
          <w:rFonts w:ascii="Calibri" w:hAnsi="Calibri"/>
          <w:b/>
          <w:color w:val="1A365D"/>
          <w:sz w:val="20"/>
        </w:rPr>
        <w:t xml:space="preserve">Random Forest Classification Performance: </w:t>
      </w:r>
      <w:r>
        <w:rPr>
          <w:rFonts w:ascii="Calibri" w:hAnsi="Calibri"/>
          <w:color w:val="2D3748"/>
          <w:sz w:val="20"/>
        </w:rPr>
        <w:t>Test Accuracy = 79.33%, Precision = 81.63%, Recall = 91.57%, F1-Score = 0.8631.</w:t>
      </w:r>
    </w:p>
    <w:p w14:paraId="63F0963F" w14:textId="77777777" w:rsidR="00B11507" w:rsidRDefault="00974EEF">
      <w:pPr>
        <w:pStyle w:val="ListBullet"/>
        <w:spacing w:after="60"/>
      </w:pPr>
      <w:r>
        <w:rPr>
          <w:rFonts w:ascii="Calibri" w:hAnsi="Calibri"/>
          <w:b/>
          <w:color w:val="1A365D"/>
          <w:sz w:val="20"/>
        </w:rPr>
        <w:t xml:space="preserve">Linear Regression Fit: </w:t>
      </w:r>
      <w:r>
        <w:rPr>
          <w:rFonts w:ascii="Calibri" w:hAnsi="Calibri"/>
          <w:color w:val="2D3748"/>
          <w:sz w:val="20"/>
        </w:rPr>
        <w:t>R² Score = 0.6114, MAE = 0.885 rating points, confirming robust predictive capability.</w:t>
      </w:r>
    </w:p>
    <w:p w14:paraId="1FC0E56D" w14:textId="77777777" w:rsidR="00B11507" w:rsidRDefault="00974EEF">
      <w:pPr>
        <w:spacing w:after="120"/>
      </w:pPr>
      <w:r>
        <w:rPr>
          <w:rFonts w:ascii="Calibri" w:hAnsi="Calibri"/>
          <w:color w:val="2D3748"/>
          <w:sz w:val="20"/>
        </w:rPr>
        <w:t>Gini feature importance extraction identified the predominant behavioral drivers of student overspending: (1) Perception of Spending More than Cash (34.20%), (2) Reduced Pain of Paying (21.74%), (3) Subjective Influence Rating (13.73%), and (4) Daily UPI Frequency (10.07%). Tangible cash carried in wallet accounted for only 2.19% of variance, reinforcing total cash displacement.</w:t>
      </w:r>
    </w:p>
    <w:p w14:paraId="462E47B6" w14:textId="77777777" w:rsidR="00B11507" w:rsidRDefault="00974EEF">
      <w:pPr>
        <w:keepNext/>
        <w:spacing w:before="280" w:after="80"/>
      </w:pPr>
      <w:r>
        <w:rPr>
          <w:rFonts w:ascii="Calibri" w:hAnsi="Calibri"/>
          <w:b/>
          <w:color w:val="0F294A"/>
          <w:sz w:val="28"/>
        </w:rPr>
        <w:t>8. Behavioral Economics Discussion &amp; Practical Recommendations</w:t>
      </w:r>
    </w:p>
    <w:p w14:paraId="7881E509" w14:textId="77777777" w:rsidR="00B11507" w:rsidRDefault="00974EEF">
      <w:pPr>
        <w:spacing w:after="120"/>
      </w:pPr>
      <w:r>
        <w:rPr>
          <w:rFonts w:ascii="Calibri" w:hAnsi="Calibri"/>
          <w:color w:val="2D3748"/>
          <w:sz w:val="20"/>
        </w:rPr>
        <w:t>The empirical findings demonstrate that frictionless payment UX, while technologically brilliant, creates an adverse behavioral environment for students with developing financial maturity. To mitigate unintentional debt cycles and budget exhaustion, several behavioral nudges and architectural interventions are proposed:</w:t>
      </w:r>
    </w:p>
    <w:p w14:paraId="2A3C74E5" w14:textId="77777777" w:rsidR="00B11507" w:rsidRDefault="00974EEF">
      <w:pPr>
        <w:pStyle w:val="ListBullet"/>
        <w:spacing w:after="60"/>
      </w:pPr>
      <w:r>
        <w:rPr>
          <w:rFonts w:ascii="Calibri" w:hAnsi="Calibri"/>
          <w:b/>
          <w:color w:val="1A365D"/>
          <w:sz w:val="20"/>
        </w:rPr>
        <w:t xml:space="preserve">1. Re-introducing Intentional 'Digital Friction': </w:t>
      </w:r>
      <w:r>
        <w:rPr>
          <w:rFonts w:ascii="Calibri" w:hAnsi="Calibri"/>
          <w:color w:val="2D3748"/>
          <w:sz w:val="20"/>
        </w:rPr>
        <w:t>Fintech applications should allow users to enable optional 'cooling-off' frictions for non-essential discretionary payments—such as requiring a 5-second countdown timer or manual entry of monthly remaining allowance before payment authorization.</w:t>
      </w:r>
    </w:p>
    <w:p w14:paraId="6C5D3AF3" w14:textId="77777777" w:rsidR="00B11507" w:rsidRDefault="00974EEF">
      <w:pPr>
        <w:pStyle w:val="ListBullet"/>
        <w:spacing w:after="60"/>
      </w:pPr>
      <w:r>
        <w:rPr>
          <w:rFonts w:ascii="Calibri" w:hAnsi="Calibri"/>
          <w:b/>
          <w:color w:val="1A365D"/>
          <w:sz w:val="20"/>
        </w:rPr>
        <w:t xml:space="preserve">2. Cumulative Micro-Transaction Tickers: </w:t>
      </w:r>
      <w:r>
        <w:rPr>
          <w:rFonts w:ascii="Calibri" w:hAnsi="Calibri"/>
          <w:color w:val="2D3748"/>
          <w:sz w:val="20"/>
        </w:rPr>
        <w:t>Banking and UPI apps should display a dynamic daily micro-spend counter immediately below the QR scanner screen, actively confronting mental accounting distortions by reminding users of total daily outlay prior to PIN submission.</w:t>
      </w:r>
    </w:p>
    <w:p w14:paraId="4FAB5A3D" w14:textId="77777777" w:rsidR="00B11507" w:rsidRDefault="00974EEF">
      <w:pPr>
        <w:pStyle w:val="ListBullet"/>
        <w:spacing w:after="60"/>
      </w:pPr>
      <w:r>
        <w:rPr>
          <w:rFonts w:ascii="Calibri" w:hAnsi="Calibri"/>
          <w:b/>
          <w:color w:val="1A365D"/>
          <w:sz w:val="20"/>
        </w:rPr>
        <w:t xml:space="preserve">3. Virtual 'Cash Envelope' Sub-Wallets: </w:t>
      </w:r>
      <w:r>
        <w:rPr>
          <w:rFonts w:ascii="Calibri" w:hAnsi="Calibri"/>
          <w:color w:val="2D3748"/>
          <w:sz w:val="20"/>
        </w:rPr>
        <w:t>Instituting digital envelope sub-wallets within campus apps that silo discretionary canteen/entertainment funds from essential tuition and academic allowances.</w:t>
      </w:r>
    </w:p>
    <w:p w14:paraId="7BB1A79B" w14:textId="77777777" w:rsidR="00B11507" w:rsidRDefault="00974EEF">
      <w:pPr>
        <w:keepNext/>
        <w:spacing w:before="280" w:after="80"/>
      </w:pPr>
      <w:r>
        <w:rPr>
          <w:rFonts w:ascii="Calibri" w:hAnsi="Calibri"/>
          <w:b/>
          <w:color w:val="0F294A"/>
          <w:sz w:val="28"/>
        </w:rPr>
        <w:t>9. Conclusion &amp; Academic References</w:t>
      </w:r>
    </w:p>
    <w:p w14:paraId="6977D027" w14:textId="77777777" w:rsidR="00B11507" w:rsidRDefault="00974EEF">
      <w:pPr>
        <w:spacing w:after="120"/>
      </w:pPr>
      <w:r>
        <w:rPr>
          <w:rFonts w:ascii="Calibri" w:hAnsi="Calibri"/>
          <w:color w:val="2D3748"/>
          <w:sz w:val="20"/>
        </w:rPr>
        <w:t>This research establishes rigorous empirical proof that UPI adoption among Indian college students significantly inflates monthly expenditure (+43.8%), accelerates impulse acquisitions, and diminishes psychological loss aversion. Daily usage amplifies overspending propensity by 1.30x. Addressing these vulnerabilities requires a conscious transition from purely frictionless fintech toward 'behaviorally conscious' financial interfaces.</w:t>
      </w:r>
    </w:p>
    <w:p w14:paraId="34796945" w14:textId="77777777" w:rsidR="00B11507" w:rsidRDefault="00974EEF">
      <w:pPr>
        <w:keepNext/>
        <w:spacing w:before="200" w:after="60"/>
      </w:pPr>
      <w:r>
        <w:rPr>
          <w:rFonts w:ascii="Calibri" w:hAnsi="Calibri"/>
          <w:b/>
          <w:color w:val="2B6CB0"/>
          <w:sz w:val="23"/>
        </w:rPr>
        <w:t>Key References</w:t>
      </w:r>
    </w:p>
    <w:p w14:paraId="30C854A2" w14:textId="77777777" w:rsidR="00B11507" w:rsidRDefault="00974EEF">
      <w:pPr>
        <w:spacing w:after="60"/>
        <w:ind w:left="432" w:hanging="432"/>
      </w:pPr>
      <w:r>
        <w:rPr>
          <w:rFonts w:ascii="Calibri" w:hAnsi="Calibri"/>
          <w:color w:val="4A5568"/>
          <w:sz w:val="17"/>
        </w:rPr>
        <w:t>Prelec, D., &amp; Loewenstein, G. (1998). The red and the black: Mental accounting of savings and debt. Marketing Science, 17(1), 4-28.</w:t>
      </w:r>
    </w:p>
    <w:p w14:paraId="10639928" w14:textId="77777777" w:rsidR="00B11507" w:rsidRDefault="00974EEF">
      <w:pPr>
        <w:spacing w:after="60"/>
        <w:ind w:left="432" w:hanging="432"/>
      </w:pPr>
      <w:r>
        <w:rPr>
          <w:rFonts w:ascii="Calibri" w:hAnsi="Calibri"/>
          <w:color w:val="4A5568"/>
          <w:sz w:val="17"/>
        </w:rPr>
        <w:t>Thaler, R. H. (1999). Mental accounting matters. Journal of Behavioral Decision Making, 12(3), 183-206.</w:t>
      </w:r>
    </w:p>
    <w:p w14:paraId="57F73FE3" w14:textId="77777777" w:rsidR="00B11507" w:rsidRDefault="00974EEF">
      <w:pPr>
        <w:spacing w:after="60"/>
        <w:ind w:left="432" w:hanging="432"/>
      </w:pPr>
      <w:r>
        <w:rPr>
          <w:rFonts w:ascii="Calibri" w:hAnsi="Calibri"/>
          <w:color w:val="4A5568"/>
          <w:sz w:val="17"/>
        </w:rPr>
        <w:lastRenderedPageBreak/>
        <w:t>Soman, D. (2001). Effects of payment mechanism on spending behavior: The role of rehearsal and immediacy of payments. Journal of Consumer Research, 27(4), 460-474.</w:t>
      </w:r>
    </w:p>
    <w:p w14:paraId="435AD5AF" w14:textId="77777777" w:rsidR="00B11507" w:rsidRDefault="00974EEF">
      <w:pPr>
        <w:spacing w:after="60"/>
        <w:ind w:left="432" w:hanging="432"/>
      </w:pPr>
      <w:r>
        <w:rPr>
          <w:rFonts w:ascii="Calibri" w:hAnsi="Calibri"/>
          <w:color w:val="4A5568"/>
          <w:sz w:val="17"/>
        </w:rPr>
        <w:t>Kahneman, D., &amp; Tversky, A. (1979). Prospect theory: An analysis of decision under risk. Econometrica, 47(2), 263-291.</w:t>
      </w:r>
    </w:p>
    <w:p w14:paraId="0EC47BD6" w14:textId="77777777" w:rsidR="00B11507" w:rsidRDefault="00974EEF">
      <w:pPr>
        <w:spacing w:after="60"/>
        <w:ind w:left="432" w:hanging="432"/>
      </w:pPr>
      <w:r>
        <w:rPr>
          <w:rFonts w:ascii="Calibri" w:hAnsi="Calibri"/>
          <w:color w:val="4A5568"/>
          <w:sz w:val="17"/>
        </w:rPr>
        <w:t>Reserve Bank of India (RBI). (2025). Annual Report on Digital Payments Infrastructure and UPI Velocity in Higher Education Hubs.</w:t>
      </w:r>
    </w:p>
    <w:sectPr w:rsidR="00B11507" w:rsidSect="00034616">
      <w:headerReference w:type="default" r:id="rId13"/>
      <w:footerReference w:type="default" r:id="rId14"/>
      <w:pgSz w:w="11909" w:h="16834"/>
      <w:pgMar w:top="1296" w:right="1296" w:bottom="1296"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F9F0A" w14:textId="77777777" w:rsidR="00974EEF" w:rsidRDefault="00974EEF">
      <w:pPr>
        <w:spacing w:after="0" w:line="240" w:lineRule="auto"/>
      </w:pPr>
      <w:r>
        <w:separator/>
      </w:r>
    </w:p>
  </w:endnote>
  <w:endnote w:type="continuationSeparator" w:id="0">
    <w:p w14:paraId="5A02B6F6" w14:textId="77777777" w:rsidR="00974EEF" w:rsidRDefault="00974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8488E" w14:textId="77777777" w:rsidR="00B11507" w:rsidRDefault="00974EEF">
    <w:pPr>
      <w:pStyle w:val="Footer"/>
      <w:jc w:val="right"/>
    </w:pPr>
    <w:r>
      <w:rPr>
        <w:rFonts w:ascii="Calibri" w:hAnsi="Calibri"/>
        <w:color w:val="718096"/>
        <w:sz w:val="17"/>
      </w:rPr>
      <w:t xml:space="preserve">Yash Karwa (Roll No. 40)  |  Page </w:t>
    </w:r>
    <w:r>
      <w:rPr>
        <w:rFonts w:ascii="Calibri" w:hAnsi="Calibri"/>
        <w:color w:val="718096"/>
        <w:sz w:val="17"/>
      </w:rPr>
      <w:fldChar w:fldCharType="begin"/>
    </w:r>
    <w:r>
      <w:rPr>
        <w:rFonts w:ascii="Calibri" w:hAnsi="Calibri"/>
        <w:color w:val="718096"/>
        <w:sz w:val="17"/>
      </w:rPr>
      <w:instrText xml:space="preserve"> PAGE </w:instrText>
    </w:r>
    <w:r>
      <w:rPr>
        <w:rFonts w:ascii="Calibri" w:hAnsi="Calibri"/>
        <w:color w:val="718096"/>
        <w:sz w:val="17"/>
      </w:rPr>
      <w:fldChar w:fldCharType="separate"/>
    </w:r>
    <w:r w:rsidR="006702CC">
      <w:rPr>
        <w:rFonts w:ascii="Calibri" w:hAnsi="Calibri"/>
        <w:noProof/>
        <w:color w:val="718096"/>
        <w:sz w:val="17"/>
      </w:rPr>
      <w:t>2</w:t>
    </w:r>
    <w:r>
      <w:rPr>
        <w:rFonts w:ascii="Calibri" w:hAnsi="Calibri"/>
        <w:color w:val="71809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E47D7" w14:textId="77777777" w:rsidR="00974EEF" w:rsidRDefault="00974EEF">
      <w:pPr>
        <w:spacing w:after="0" w:line="240" w:lineRule="auto"/>
      </w:pPr>
      <w:r>
        <w:separator/>
      </w:r>
    </w:p>
  </w:footnote>
  <w:footnote w:type="continuationSeparator" w:id="0">
    <w:p w14:paraId="7EFF1883" w14:textId="77777777" w:rsidR="00974EEF" w:rsidRDefault="00974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C8724" w14:textId="77777777" w:rsidR="00B11507" w:rsidRDefault="00974EEF">
    <w:pPr>
      <w:pStyle w:val="Header"/>
      <w:jc w:val="right"/>
    </w:pPr>
    <w:r>
      <w:rPr>
        <w:rFonts w:ascii="Calibri" w:hAnsi="Calibri"/>
        <w:i/>
        <w:color w:val="718096"/>
        <w:sz w:val="17"/>
      </w:rPr>
      <w:t>Impact of UPI on Spending Behaviour | Sem-5 AIML Research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5133294">
    <w:abstractNumId w:val="8"/>
  </w:num>
  <w:num w:numId="2" w16cid:durableId="180436251">
    <w:abstractNumId w:val="6"/>
  </w:num>
  <w:num w:numId="3" w16cid:durableId="2019652375">
    <w:abstractNumId w:val="5"/>
  </w:num>
  <w:num w:numId="4" w16cid:durableId="965433691">
    <w:abstractNumId w:val="4"/>
  </w:num>
  <w:num w:numId="5" w16cid:durableId="2077239747">
    <w:abstractNumId w:val="7"/>
  </w:num>
  <w:num w:numId="6" w16cid:durableId="1161699854">
    <w:abstractNumId w:val="3"/>
  </w:num>
  <w:num w:numId="7" w16cid:durableId="537861296">
    <w:abstractNumId w:val="2"/>
  </w:num>
  <w:num w:numId="8" w16cid:durableId="64257305">
    <w:abstractNumId w:val="1"/>
  </w:num>
  <w:num w:numId="9" w16cid:durableId="467284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02CC"/>
    <w:rsid w:val="008D687F"/>
    <w:rsid w:val="00974EEF"/>
    <w:rsid w:val="00AA1D8D"/>
    <w:rsid w:val="00B1150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8654972"/>
  <w14:defaultImageDpi w14:val="300"/>
  <w15:docId w15:val="{CC0B0CAA-B806-4095-B07D-D1361F135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1718</Words>
  <Characters>10947</Characters>
  <Application>Microsoft Office Word</Application>
  <DocSecurity>0</DocSecurity>
  <Lines>260</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karwa</cp:lastModifiedBy>
  <cp:revision>2</cp:revision>
  <dcterms:created xsi:type="dcterms:W3CDTF">2013-12-23T23:15:00Z</dcterms:created>
  <dcterms:modified xsi:type="dcterms:W3CDTF">2026-10-21T14:12:00Z</dcterms:modified>
  <cp:category/>
</cp:coreProperties>
</file>