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8F097" w14:textId="77777777" w:rsidR="006578B3" w:rsidRDefault="00000000">
      <w:pPr>
        <w:spacing w:after="60"/>
      </w:pPr>
      <w:r>
        <w:rPr>
          <w:b/>
          <w:bCs/>
          <w:color w:val="1F3864"/>
          <w:sz w:val="40"/>
          <w:szCs w:val="40"/>
        </w:rPr>
        <w:t>Social Media Advertising Performance Dashboard</w:t>
      </w:r>
    </w:p>
    <w:p w14:paraId="62F2A107" w14:textId="77777777" w:rsidR="006578B3" w:rsidRDefault="00000000">
      <w:pPr>
        <w:spacing w:after="300"/>
      </w:pPr>
      <w:r>
        <w:rPr>
          <w:color w:val="2E5395"/>
          <w:sz w:val="28"/>
          <w:szCs w:val="28"/>
        </w:rPr>
        <w:t>Analysis Report</w:t>
      </w:r>
    </w:p>
    <w:p w14:paraId="11187106" w14:textId="77777777" w:rsidR="006578B3" w:rsidRDefault="00000000">
      <w:pPr>
        <w:pStyle w:val="Heading1"/>
        <w:pBdr>
          <w:bottom w:val="single" w:sz="6" w:space="4" w:color="2E5395"/>
        </w:pBdr>
        <w:spacing w:before="320" w:after="160"/>
      </w:pPr>
      <w:r>
        <w:rPr>
          <w:b/>
          <w:bCs/>
          <w:color w:val="1F3864"/>
          <w:sz w:val="26"/>
          <w:szCs w:val="26"/>
        </w:rPr>
        <w:t>Executive Summary</w:t>
      </w:r>
    </w:p>
    <w:p w14:paraId="71B4A0BC" w14:textId="77777777" w:rsidR="006578B3" w:rsidRDefault="00000000">
      <w:pPr>
        <w:spacing w:after="160"/>
      </w:pPr>
      <w:r>
        <w:t>This report documents an interactive Excel dashboard built on 8,743 social media advertising campaigns, covering clicks, acquisition cost, conversion rate, and ROI. The dashboard uses PivotTables, PivotCharts, KPI cards, and slicers to let a user explore performance dynamically by month, gender, age group, channel, and campaign goal. Across the dataset, the average campaign converts at 8.03% and returns an average ROI of 3.16x, at a total acquisition cost of ₹624.39 Cr against 169.8 million clicks.</w:t>
      </w:r>
    </w:p>
    <w:p w14:paraId="398736EC" w14:textId="77777777" w:rsidR="006578B3" w:rsidRDefault="00000000">
      <w:pPr>
        <w:pStyle w:val="Heading1"/>
        <w:pBdr>
          <w:bottom w:val="single" w:sz="6" w:space="4" w:color="2E5395"/>
        </w:pBdr>
        <w:spacing w:before="320" w:after="160"/>
      </w:pPr>
      <w:r>
        <w:rPr>
          <w:b/>
          <w:bCs/>
          <w:color w:val="1F3864"/>
          <w:sz w:val="26"/>
          <w:szCs w:val="26"/>
        </w:rPr>
        <w:t>Project Overview</w:t>
      </w:r>
    </w:p>
    <w:p w14:paraId="1352C17F" w14:textId="77777777" w:rsidR="006578B3" w:rsidRDefault="00000000">
      <w:pPr>
        <w:spacing w:after="160"/>
      </w:pPr>
      <w:r>
        <w:t>This dashboard was developed in Microsoft Excel using PivotTables, PivotCharts, KPI cards, slicers, and interactive visualizations. The dashboard enables users to analyze advertising campaign performance dynamically by filtering data across Month, Gender, Age Group, and Campaign Goal.</w:t>
      </w:r>
    </w:p>
    <w:p w14:paraId="68D5DCBB" w14:textId="77777777" w:rsidR="006578B3" w:rsidRDefault="00000000">
      <w:pPr>
        <w:pStyle w:val="Heading1"/>
        <w:pBdr>
          <w:bottom w:val="single" w:sz="6" w:space="4" w:color="2E5395"/>
        </w:pBdr>
        <w:spacing w:before="320" w:after="160"/>
      </w:pPr>
      <w:r>
        <w:rPr>
          <w:b/>
          <w:bCs/>
          <w:color w:val="1F3864"/>
          <w:sz w:val="26"/>
          <w:szCs w:val="26"/>
        </w:rPr>
        <w:t>Dashboard KPIs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600"/>
      </w:tblGrid>
      <w:tr w:rsidR="006578B3" w14:paraId="0E6159D2" w14:textId="77777777">
        <w:tblPrEx>
          <w:tblCellMar>
            <w:top w:w="0" w:type="dxa"/>
            <w:bottom w:w="0" w:type="dxa"/>
          </w:tblCellMar>
        </w:tblPrEx>
        <w:trPr>
          <w:tblHeader/>
        </w:trPr>
        <w:tc>
          <w:tcPr>
            <w:tcW w:w="5400" w:type="dxa"/>
            <w:shd w:val="clear" w:color="auto" w:fill="1F3864"/>
            <w:tcMar>
              <w:top w:w="100" w:type="dxa"/>
              <w:left w:w="150" w:type="dxa"/>
              <w:bottom w:w="100" w:type="dxa"/>
              <w:right w:w="150" w:type="dxa"/>
            </w:tcMar>
            <w:vAlign w:val="center"/>
          </w:tcPr>
          <w:p w14:paraId="6F81E997" w14:textId="77777777" w:rsidR="006578B3" w:rsidRDefault="00000000">
            <w:r>
              <w:rPr>
                <w:b/>
                <w:bCs/>
                <w:color w:val="FFFFFF"/>
                <w:sz w:val="21"/>
                <w:szCs w:val="21"/>
              </w:rPr>
              <w:t>KPI</w:t>
            </w:r>
          </w:p>
        </w:tc>
        <w:tc>
          <w:tcPr>
            <w:tcW w:w="3600" w:type="dxa"/>
            <w:shd w:val="clear" w:color="auto" w:fill="1F3864"/>
            <w:tcMar>
              <w:top w:w="100" w:type="dxa"/>
              <w:left w:w="150" w:type="dxa"/>
              <w:bottom w:w="100" w:type="dxa"/>
              <w:right w:w="150" w:type="dxa"/>
            </w:tcMar>
            <w:vAlign w:val="center"/>
          </w:tcPr>
          <w:p w14:paraId="65EB4921" w14:textId="77777777" w:rsidR="006578B3" w:rsidRDefault="00000000">
            <w:pPr>
              <w:jc w:val="right"/>
            </w:pPr>
            <w:r>
              <w:rPr>
                <w:b/>
                <w:bCs/>
                <w:color w:val="FFFFFF"/>
                <w:sz w:val="21"/>
                <w:szCs w:val="21"/>
              </w:rPr>
              <w:t>Current Value</w:t>
            </w:r>
          </w:p>
        </w:tc>
      </w:tr>
      <w:tr w:rsidR="006578B3" w14:paraId="3FBB0813" w14:textId="77777777">
        <w:tblPrEx>
          <w:tblCellMar>
            <w:top w:w="0" w:type="dxa"/>
            <w:bottom w:w="0" w:type="dxa"/>
          </w:tblCellMar>
        </w:tblPrEx>
        <w:tc>
          <w:tcPr>
            <w:tcW w:w="5400" w:type="dxa"/>
            <w:shd w:val="clear" w:color="auto" w:fill="EDF2FA"/>
            <w:tcMar>
              <w:top w:w="100" w:type="dxa"/>
              <w:left w:w="150" w:type="dxa"/>
              <w:bottom w:w="100" w:type="dxa"/>
              <w:right w:w="150" w:type="dxa"/>
            </w:tcMar>
            <w:vAlign w:val="center"/>
          </w:tcPr>
          <w:p w14:paraId="47BF972B" w14:textId="77777777" w:rsidR="006578B3" w:rsidRDefault="00000000">
            <w:r>
              <w:rPr>
                <w:sz w:val="21"/>
                <w:szCs w:val="21"/>
              </w:rPr>
              <w:t>Total Campaigns</w:t>
            </w:r>
          </w:p>
        </w:tc>
        <w:tc>
          <w:tcPr>
            <w:tcW w:w="3600" w:type="dxa"/>
            <w:shd w:val="clear" w:color="auto" w:fill="EDF2FA"/>
            <w:tcMar>
              <w:top w:w="100" w:type="dxa"/>
              <w:left w:w="150" w:type="dxa"/>
              <w:bottom w:w="100" w:type="dxa"/>
              <w:right w:w="150" w:type="dxa"/>
            </w:tcMar>
            <w:vAlign w:val="center"/>
          </w:tcPr>
          <w:p w14:paraId="1C172A36" w14:textId="77777777" w:rsidR="006578B3" w:rsidRDefault="00000000">
            <w:pPr>
              <w:jc w:val="right"/>
            </w:pPr>
            <w:r>
              <w:rPr>
                <w:b/>
                <w:bCs/>
                <w:color w:val="1F3864"/>
                <w:sz w:val="21"/>
                <w:szCs w:val="21"/>
              </w:rPr>
              <w:t>8,743</w:t>
            </w:r>
          </w:p>
        </w:tc>
      </w:tr>
      <w:tr w:rsidR="006578B3" w14:paraId="44DE3F7C" w14:textId="77777777">
        <w:tblPrEx>
          <w:tblCellMar>
            <w:top w:w="0" w:type="dxa"/>
            <w:bottom w:w="0" w:type="dxa"/>
          </w:tblCellMar>
        </w:tblPrEx>
        <w:tc>
          <w:tcPr>
            <w:tcW w:w="5400" w:type="dxa"/>
            <w:tcMar>
              <w:top w:w="100" w:type="dxa"/>
              <w:left w:w="150" w:type="dxa"/>
              <w:bottom w:w="100" w:type="dxa"/>
              <w:right w:w="150" w:type="dxa"/>
            </w:tcMar>
            <w:vAlign w:val="center"/>
          </w:tcPr>
          <w:p w14:paraId="05318C0F" w14:textId="77777777" w:rsidR="006578B3" w:rsidRDefault="00000000">
            <w:r>
              <w:rPr>
                <w:sz w:val="21"/>
                <w:szCs w:val="21"/>
              </w:rPr>
              <w:t>Total Clicks</w:t>
            </w:r>
          </w:p>
        </w:tc>
        <w:tc>
          <w:tcPr>
            <w:tcW w:w="3600" w:type="dxa"/>
            <w:tcMar>
              <w:top w:w="100" w:type="dxa"/>
              <w:left w:w="150" w:type="dxa"/>
              <w:bottom w:w="100" w:type="dxa"/>
              <w:right w:w="150" w:type="dxa"/>
            </w:tcMar>
            <w:vAlign w:val="center"/>
          </w:tcPr>
          <w:p w14:paraId="58D6D60B" w14:textId="77777777" w:rsidR="006578B3" w:rsidRDefault="00000000">
            <w:pPr>
              <w:jc w:val="right"/>
            </w:pPr>
            <w:r>
              <w:rPr>
                <w:b/>
                <w:bCs/>
                <w:color w:val="1F3864"/>
                <w:sz w:val="21"/>
                <w:szCs w:val="21"/>
              </w:rPr>
              <w:t>169,766,739</w:t>
            </w:r>
          </w:p>
        </w:tc>
      </w:tr>
      <w:tr w:rsidR="006578B3" w14:paraId="16C4853E" w14:textId="77777777">
        <w:tblPrEx>
          <w:tblCellMar>
            <w:top w:w="0" w:type="dxa"/>
            <w:bottom w:w="0" w:type="dxa"/>
          </w:tblCellMar>
        </w:tblPrEx>
        <w:tc>
          <w:tcPr>
            <w:tcW w:w="5400" w:type="dxa"/>
            <w:shd w:val="clear" w:color="auto" w:fill="EDF2FA"/>
            <w:tcMar>
              <w:top w:w="100" w:type="dxa"/>
              <w:left w:w="150" w:type="dxa"/>
              <w:bottom w:w="100" w:type="dxa"/>
              <w:right w:w="150" w:type="dxa"/>
            </w:tcMar>
            <w:vAlign w:val="center"/>
          </w:tcPr>
          <w:p w14:paraId="1D364992" w14:textId="77777777" w:rsidR="006578B3" w:rsidRDefault="00000000">
            <w:r>
              <w:rPr>
                <w:sz w:val="21"/>
                <w:szCs w:val="21"/>
              </w:rPr>
              <w:t>Acquisition Cost</w:t>
            </w:r>
          </w:p>
        </w:tc>
        <w:tc>
          <w:tcPr>
            <w:tcW w:w="3600" w:type="dxa"/>
            <w:shd w:val="clear" w:color="auto" w:fill="EDF2FA"/>
            <w:tcMar>
              <w:top w:w="100" w:type="dxa"/>
              <w:left w:w="150" w:type="dxa"/>
              <w:bottom w:w="100" w:type="dxa"/>
              <w:right w:w="150" w:type="dxa"/>
            </w:tcMar>
            <w:vAlign w:val="center"/>
          </w:tcPr>
          <w:p w14:paraId="46B1317E" w14:textId="77777777" w:rsidR="006578B3" w:rsidRDefault="00000000">
            <w:pPr>
              <w:jc w:val="right"/>
            </w:pPr>
            <w:r>
              <w:rPr>
                <w:b/>
                <w:bCs/>
                <w:color w:val="1F3864"/>
                <w:sz w:val="21"/>
                <w:szCs w:val="21"/>
              </w:rPr>
              <w:t>₹624.39 Cr</w:t>
            </w:r>
          </w:p>
        </w:tc>
      </w:tr>
      <w:tr w:rsidR="006578B3" w14:paraId="33BB758B" w14:textId="77777777">
        <w:tblPrEx>
          <w:tblCellMar>
            <w:top w:w="0" w:type="dxa"/>
            <w:bottom w:w="0" w:type="dxa"/>
          </w:tblCellMar>
        </w:tblPrEx>
        <w:tc>
          <w:tcPr>
            <w:tcW w:w="5400" w:type="dxa"/>
            <w:tcMar>
              <w:top w:w="100" w:type="dxa"/>
              <w:left w:w="150" w:type="dxa"/>
              <w:bottom w:w="100" w:type="dxa"/>
              <w:right w:w="150" w:type="dxa"/>
            </w:tcMar>
            <w:vAlign w:val="center"/>
          </w:tcPr>
          <w:p w14:paraId="0C386688" w14:textId="77777777" w:rsidR="006578B3" w:rsidRDefault="00000000">
            <w:r>
              <w:rPr>
                <w:sz w:val="21"/>
                <w:szCs w:val="21"/>
              </w:rPr>
              <w:t>Average Conversion Rate</w:t>
            </w:r>
          </w:p>
        </w:tc>
        <w:tc>
          <w:tcPr>
            <w:tcW w:w="3600" w:type="dxa"/>
            <w:tcMar>
              <w:top w:w="100" w:type="dxa"/>
              <w:left w:w="150" w:type="dxa"/>
              <w:bottom w:w="100" w:type="dxa"/>
              <w:right w:w="150" w:type="dxa"/>
            </w:tcMar>
            <w:vAlign w:val="center"/>
          </w:tcPr>
          <w:p w14:paraId="6AC21C10" w14:textId="77777777" w:rsidR="006578B3" w:rsidRDefault="00000000">
            <w:pPr>
              <w:jc w:val="right"/>
            </w:pPr>
            <w:r>
              <w:rPr>
                <w:b/>
                <w:bCs/>
                <w:color w:val="1F3864"/>
                <w:sz w:val="21"/>
                <w:szCs w:val="21"/>
              </w:rPr>
              <w:t>8.03%</w:t>
            </w:r>
          </w:p>
        </w:tc>
      </w:tr>
      <w:tr w:rsidR="006578B3" w14:paraId="06EF28A1" w14:textId="77777777">
        <w:tblPrEx>
          <w:tblCellMar>
            <w:top w:w="0" w:type="dxa"/>
            <w:bottom w:w="0" w:type="dxa"/>
          </w:tblCellMar>
        </w:tblPrEx>
        <w:tc>
          <w:tcPr>
            <w:tcW w:w="5400" w:type="dxa"/>
            <w:shd w:val="clear" w:color="auto" w:fill="EDF2FA"/>
            <w:tcMar>
              <w:top w:w="100" w:type="dxa"/>
              <w:left w:w="150" w:type="dxa"/>
              <w:bottom w:w="100" w:type="dxa"/>
              <w:right w:w="150" w:type="dxa"/>
            </w:tcMar>
            <w:vAlign w:val="center"/>
          </w:tcPr>
          <w:p w14:paraId="39992645" w14:textId="77777777" w:rsidR="006578B3" w:rsidRDefault="00000000">
            <w:r>
              <w:rPr>
                <w:sz w:val="21"/>
                <w:szCs w:val="21"/>
              </w:rPr>
              <w:t>Average ROI</w:t>
            </w:r>
          </w:p>
        </w:tc>
        <w:tc>
          <w:tcPr>
            <w:tcW w:w="3600" w:type="dxa"/>
            <w:shd w:val="clear" w:color="auto" w:fill="EDF2FA"/>
            <w:tcMar>
              <w:top w:w="100" w:type="dxa"/>
              <w:left w:w="150" w:type="dxa"/>
              <w:bottom w:w="100" w:type="dxa"/>
              <w:right w:w="150" w:type="dxa"/>
            </w:tcMar>
            <w:vAlign w:val="center"/>
          </w:tcPr>
          <w:p w14:paraId="435DF790" w14:textId="77777777" w:rsidR="006578B3" w:rsidRDefault="00000000">
            <w:pPr>
              <w:jc w:val="right"/>
            </w:pPr>
            <w:r>
              <w:rPr>
                <w:b/>
                <w:bCs/>
                <w:color w:val="1F3864"/>
                <w:sz w:val="21"/>
                <w:szCs w:val="21"/>
              </w:rPr>
              <w:t>3.16x</w:t>
            </w:r>
          </w:p>
        </w:tc>
      </w:tr>
    </w:tbl>
    <w:p w14:paraId="1FF66FBF" w14:textId="77777777" w:rsidR="006578B3" w:rsidRDefault="006578B3">
      <w:pPr>
        <w:spacing w:before="160"/>
      </w:pPr>
    </w:p>
    <w:p w14:paraId="4C29C243" w14:textId="77777777" w:rsidR="006578B3" w:rsidRDefault="00000000">
      <w:pPr>
        <w:pStyle w:val="Heading1"/>
        <w:pBdr>
          <w:bottom w:val="single" w:sz="6" w:space="4" w:color="2E5395"/>
        </w:pBdr>
        <w:spacing w:before="320" w:after="160"/>
      </w:pPr>
      <w:r>
        <w:rPr>
          <w:b/>
          <w:bCs/>
          <w:color w:val="1F3864"/>
          <w:sz w:val="26"/>
          <w:szCs w:val="26"/>
        </w:rPr>
        <w:t>Visualizations Used</w:t>
      </w:r>
    </w:p>
    <w:p w14:paraId="790E4FF0" w14:textId="77777777" w:rsidR="006578B3" w:rsidRDefault="00000000">
      <w:pPr>
        <w:pStyle w:val="ListParagraph"/>
        <w:numPr>
          <w:ilvl w:val="0"/>
          <w:numId w:val="2"/>
        </w:numPr>
        <w:spacing w:after="100"/>
      </w:pPr>
      <w:r>
        <w:rPr>
          <w:b/>
          <w:bCs/>
        </w:rPr>
        <w:t xml:space="preserve">Monthly Click Trend (Line Chart): </w:t>
      </w:r>
      <w:r>
        <w:t>tracks click performance across months and highlights seasonal trends.</w:t>
      </w:r>
    </w:p>
    <w:p w14:paraId="351DB4F5" w14:textId="7B4818F9" w:rsidR="006578B3" w:rsidRDefault="00000000">
      <w:pPr>
        <w:pStyle w:val="ListParagraph"/>
        <w:numPr>
          <w:ilvl w:val="0"/>
          <w:numId w:val="2"/>
        </w:numPr>
        <w:spacing w:after="100"/>
      </w:pPr>
      <w:r>
        <w:rPr>
          <w:b/>
          <w:bCs/>
        </w:rPr>
        <w:t>Click Share – Top 5 Companies (</w:t>
      </w:r>
      <w:r w:rsidR="00885B2F">
        <w:rPr>
          <w:b/>
          <w:bCs/>
        </w:rPr>
        <w:t>Pie</w:t>
      </w:r>
      <w:r>
        <w:rPr>
          <w:b/>
          <w:bCs/>
        </w:rPr>
        <w:t xml:space="preserve"> Chart): </w:t>
      </w:r>
      <w:r>
        <w:t>compares each company's share of total clicks among the five highest-volume advertisers.</w:t>
      </w:r>
    </w:p>
    <w:p w14:paraId="4FB3DDC4" w14:textId="77777777" w:rsidR="006578B3" w:rsidRDefault="00000000">
      <w:pPr>
        <w:pStyle w:val="ListParagraph"/>
        <w:numPr>
          <w:ilvl w:val="0"/>
          <w:numId w:val="2"/>
        </w:numPr>
        <w:spacing w:after="100"/>
      </w:pPr>
      <w:r>
        <w:rPr>
          <w:b/>
          <w:bCs/>
        </w:rPr>
        <w:t xml:space="preserve">Average ROI by Channel (Column Chart): </w:t>
      </w:r>
      <w:r>
        <w:t>identifies which advertising channel delivers the highest return on investment.</w:t>
      </w:r>
    </w:p>
    <w:p w14:paraId="424F7BF9" w14:textId="77777777" w:rsidR="006578B3" w:rsidRDefault="00000000">
      <w:pPr>
        <w:pStyle w:val="ListParagraph"/>
        <w:numPr>
          <w:ilvl w:val="0"/>
          <w:numId w:val="2"/>
        </w:numPr>
        <w:spacing w:after="100"/>
      </w:pPr>
      <w:r>
        <w:rPr>
          <w:b/>
          <w:bCs/>
        </w:rPr>
        <w:t xml:space="preserve">Campaign Goal Performance (Column Chart): </w:t>
      </w:r>
      <w:r>
        <w:t>compares campaign goals using the selected performance metric.</w:t>
      </w:r>
    </w:p>
    <w:p w14:paraId="7E53DC24" w14:textId="77777777" w:rsidR="006578B3" w:rsidRDefault="00000000">
      <w:pPr>
        <w:pStyle w:val="Heading1"/>
        <w:pBdr>
          <w:bottom w:val="single" w:sz="6" w:space="4" w:color="2E5395"/>
        </w:pBdr>
        <w:spacing w:before="320" w:after="160"/>
      </w:pPr>
      <w:r>
        <w:rPr>
          <w:b/>
          <w:bCs/>
          <w:color w:val="1F3864"/>
          <w:sz w:val="26"/>
          <w:szCs w:val="26"/>
        </w:rPr>
        <w:t>Key Business Insights</w:t>
      </w:r>
    </w:p>
    <w:p w14:paraId="7231455D" w14:textId="77777777" w:rsidR="006578B3" w:rsidRDefault="00000000">
      <w:pPr>
        <w:pStyle w:val="ListParagraph"/>
        <w:numPr>
          <w:ilvl w:val="0"/>
          <w:numId w:val="2"/>
        </w:numPr>
        <w:spacing w:after="100"/>
      </w:pPr>
      <w:r>
        <w:t>Advertising performance can be analyzed dynamically once slicers are connected, letting a user filter by month, gender, age group, and campaign goal in a couple of clicks.</w:t>
      </w:r>
    </w:p>
    <w:p w14:paraId="673EFD64" w14:textId="77777777" w:rsidR="006578B3" w:rsidRDefault="00000000">
      <w:pPr>
        <w:pStyle w:val="ListParagraph"/>
        <w:numPr>
          <w:ilvl w:val="0"/>
          <w:numId w:val="2"/>
        </w:numPr>
        <w:spacing w:after="100"/>
      </w:pPr>
      <w:r>
        <w:lastRenderedPageBreak/>
        <w:t>The dashboard provides instant visibility into campaign volume, clicks, acquisition cost, and ROI.</w:t>
      </w:r>
    </w:p>
    <w:p w14:paraId="768BC1DD" w14:textId="77777777" w:rsidR="006578B3" w:rsidRDefault="00000000">
      <w:pPr>
        <w:pStyle w:val="ListParagraph"/>
        <w:numPr>
          <w:ilvl w:val="0"/>
          <w:numId w:val="2"/>
        </w:numPr>
        <w:spacing w:after="100"/>
      </w:pPr>
      <w:r>
        <w:t>ROI comparison shows Twitter and Instagram narrowly leading Facebook, while Pinterest trails well behind the other three channels – a signal worth digging into for budget reallocation.</w:t>
      </w:r>
    </w:p>
    <w:p w14:paraId="6A9921A3" w14:textId="77777777" w:rsidR="006578B3" w:rsidRDefault="00000000">
      <w:pPr>
        <w:pStyle w:val="ListParagraph"/>
        <w:numPr>
          <w:ilvl w:val="0"/>
          <w:numId w:val="2"/>
        </w:numPr>
        <w:spacing w:after="100"/>
      </w:pPr>
      <w:r>
        <w:t>Monthly trend analysis assists in identifying peak and low-performing periods, such as the click volume dip in April.</w:t>
      </w:r>
    </w:p>
    <w:p w14:paraId="0FAC48DA" w14:textId="77777777" w:rsidR="006578B3" w:rsidRDefault="00000000">
      <w:pPr>
        <w:pStyle w:val="ListParagraph"/>
        <w:numPr>
          <w:ilvl w:val="0"/>
          <w:numId w:val="2"/>
        </w:numPr>
        <w:spacing w:after="100"/>
      </w:pPr>
      <w:r>
        <w:t>Company-level click-share analysis highlights which advertisers are driving the most engagement, supporting budget allocation decisions.</w:t>
      </w:r>
    </w:p>
    <w:p w14:paraId="5F73967B" w14:textId="77777777" w:rsidR="006578B3" w:rsidRDefault="00000000">
      <w:pPr>
        <w:pStyle w:val="ListParagraph"/>
        <w:numPr>
          <w:ilvl w:val="0"/>
          <w:numId w:val="2"/>
        </w:numPr>
        <w:spacing w:after="100"/>
      </w:pPr>
      <w:r>
        <w:t>Location-level ROI is fairly even across cities (3.11x–3.20x), suggesting geography is a secondary lever compared to channel or campaign goal.</w:t>
      </w:r>
    </w:p>
    <w:p w14:paraId="7060CADE" w14:textId="77777777" w:rsidR="006578B3" w:rsidRDefault="00000000">
      <w:pPr>
        <w:pStyle w:val="Heading1"/>
        <w:pBdr>
          <w:bottom w:val="single" w:sz="6" w:space="4" w:color="2E5395"/>
        </w:pBdr>
        <w:spacing w:before="320" w:after="160"/>
      </w:pPr>
      <w:r>
        <w:rPr>
          <w:b/>
          <w:bCs/>
          <w:color w:val="1F3864"/>
          <w:sz w:val="26"/>
          <w:szCs w:val="26"/>
        </w:rPr>
        <w:t>Data Quality Notes</w:t>
      </w:r>
    </w:p>
    <w:p w14:paraId="4C538CDA" w14:textId="77777777" w:rsidR="006578B3" w:rsidRDefault="00000000">
      <w:pPr>
        <w:spacing w:after="160"/>
      </w:pPr>
      <w:r>
        <w:t>In reviewing the workbook, a few issues were identified and corrected, and one remaining action is left for the workbook owner:</w:t>
      </w:r>
    </w:p>
    <w:p w14:paraId="3C4F57BE" w14:textId="77777777" w:rsidR="006578B3" w:rsidRDefault="00000000">
      <w:pPr>
        <w:pStyle w:val="ListParagraph"/>
        <w:numPr>
          <w:ilvl w:val="0"/>
          <w:numId w:val="2"/>
        </w:numPr>
        <w:spacing w:after="100"/>
      </w:pPr>
      <w:r>
        <w:t>A pivot table and its related donut chart were originally labeled “Acquisition Cost by Company” but actually calculated each company's percentage share of total clicks. Both the table header and the chart title have been corrected to “Click Share – Top 5 Companies.”</w:t>
      </w:r>
    </w:p>
    <w:p w14:paraId="4AE5F7FA" w14:textId="77777777" w:rsidR="006578B3" w:rsidRDefault="00000000">
      <w:pPr>
        <w:pStyle w:val="ListParagraph"/>
        <w:numPr>
          <w:ilvl w:val="0"/>
          <w:numId w:val="2"/>
        </w:numPr>
        <w:spacing w:after="100"/>
      </w:pPr>
      <w:r>
        <w:t>The workbook's seven slicers (Age Group, Campaign Goal, Channel Used, Customer Segment, Gender, Location, Month Name) were found broken — the underlying slicer objects had been lost, leaving inert placeholder shapes. These placeholders have been removed. The pivot cache itself is fully intact, so functioning slicers can be restored via Insert → Slicer in Excel in under a minute.</w:t>
      </w:r>
    </w:p>
    <w:p w14:paraId="7367177F" w14:textId="77777777" w:rsidR="006578B3" w:rsidRDefault="00000000">
      <w:pPr>
        <w:pStyle w:val="ListParagraph"/>
        <w:numPr>
          <w:ilvl w:val="0"/>
          <w:numId w:val="2"/>
        </w:numPr>
        <w:spacing w:after="100"/>
      </w:pPr>
      <w:r>
        <w:t>A drill-through detail sheet (“Detail1”) is a static, point-in-time snapshot of 3,669 rows and does not automatically stay in sync with the full 8,743-row source table; it has been labeled accordingly.</w:t>
      </w:r>
    </w:p>
    <w:p w14:paraId="54FD4FA2" w14:textId="77777777" w:rsidR="006578B3" w:rsidRDefault="00000000">
      <w:pPr>
        <w:pStyle w:val="ListParagraph"/>
        <w:numPr>
          <w:ilvl w:val="0"/>
          <w:numId w:val="2"/>
        </w:numPr>
        <w:spacing w:after="100"/>
      </w:pPr>
      <w:r>
        <w:t>All 8,747 formulas in the workbook were recalculated and verified to be free of errors (#REF!, #DIV/</w:t>
      </w:r>
      <w:proofErr w:type="gramStart"/>
      <w:r>
        <w:t>0!,</w:t>
      </w:r>
      <w:proofErr w:type="gramEnd"/>
      <w:r>
        <w:t xml:space="preserve"> #</w:t>
      </w:r>
      <w:proofErr w:type="gramStart"/>
      <w:r>
        <w:t>VALUE!,</w:t>
      </w:r>
      <w:proofErr w:type="gramEnd"/>
      <w:r>
        <w:t xml:space="preserve"> #N/A).</w:t>
      </w:r>
    </w:p>
    <w:p w14:paraId="14E4D44B" w14:textId="77777777" w:rsidR="006578B3" w:rsidRDefault="00000000">
      <w:pPr>
        <w:pStyle w:val="Heading1"/>
        <w:pBdr>
          <w:bottom w:val="single" w:sz="6" w:space="4" w:color="2E5395"/>
        </w:pBdr>
        <w:spacing w:before="320" w:after="160"/>
      </w:pPr>
      <w:r>
        <w:rPr>
          <w:b/>
          <w:bCs/>
          <w:color w:val="1F3864"/>
          <w:sz w:val="26"/>
          <w:szCs w:val="26"/>
        </w:rPr>
        <w:t>Tools &amp; Features Used</w:t>
      </w:r>
    </w:p>
    <w:p w14:paraId="29B0FDF1" w14:textId="77777777" w:rsidR="006578B3" w:rsidRDefault="00000000">
      <w:pPr>
        <w:pStyle w:val="ListParagraph"/>
        <w:numPr>
          <w:ilvl w:val="0"/>
          <w:numId w:val="2"/>
        </w:numPr>
        <w:spacing w:after="100"/>
      </w:pPr>
      <w:r>
        <w:t>Microsoft Excel</w:t>
      </w:r>
    </w:p>
    <w:p w14:paraId="060ABEFA" w14:textId="77777777" w:rsidR="006578B3" w:rsidRDefault="00000000">
      <w:pPr>
        <w:pStyle w:val="ListParagraph"/>
        <w:numPr>
          <w:ilvl w:val="0"/>
          <w:numId w:val="2"/>
        </w:numPr>
        <w:spacing w:after="100"/>
      </w:pPr>
      <w:r>
        <w:t>Pivot Tables</w:t>
      </w:r>
    </w:p>
    <w:p w14:paraId="654D27AD" w14:textId="77777777" w:rsidR="006578B3" w:rsidRDefault="00000000">
      <w:pPr>
        <w:pStyle w:val="ListParagraph"/>
        <w:numPr>
          <w:ilvl w:val="0"/>
          <w:numId w:val="2"/>
        </w:numPr>
        <w:spacing w:after="100"/>
      </w:pPr>
      <w:r>
        <w:t>Pivot Charts</w:t>
      </w:r>
    </w:p>
    <w:p w14:paraId="5BF81427" w14:textId="77777777" w:rsidR="006578B3" w:rsidRDefault="00000000">
      <w:pPr>
        <w:pStyle w:val="ListParagraph"/>
        <w:numPr>
          <w:ilvl w:val="0"/>
          <w:numId w:val="2"/>
        </w:numPr>
        <w:spacing w:after="100"/>
      </w:pPr>
      <w:r>
        <w:t>Slicers</w:t>
      </w:r>
    </w:p>
    <w:p w14:paraId="572A031E" w14:textId="77777777" w:rsidR="006578B3" w:rsidRDefault="00000000">
      <w:pPr>
        <w:pStyle w:val="ListParagraph"/>
        <w:numPr>
          <w:ilvl w:val="0"/>
          <w:numId w:val="2"/>
        </w:numPr>
        <w:spacing w:after="100"/>
      </w:pPr>
      <w:r>
        <w:t>GETPIVOTDATA</w:t>
      </w:r>
    </w:p>
    <w:p w14:paraId="01C685C5" w14:textId="77777777" w:rsidR="006578B3" w:rsidRDefault="00000000">
      <w:pPr>
        <w:pStyle w:val="ListParagraph"/>
        <w:numPr>
          <w:ilvl w:val="0"/>
          <w:numId w:val="2"/>
        </w:numPr>
        <w:spacing w:after="100"/>
      </w:pPr>
      <w:r>
        <w:t>Custom KPI Cards</w:t>
      </w:r>
    </w:p>
    <w:p w14:paraId="38069150" w14:textId="77777777" w:rsidR="006578B3" w:rsidRDefault="00000000">
      <w:pPr>
        <w:pStyle w:val="ListParagraph"/>
        <w:numPr>
          <w:ilvl w:val="0"/>
          <w:numId w:val="2"/>
        </w:numPr>
        <w:spacing w:after="100"/>
      </w:pPr>
      <w:r>
        <w:t>Conditional Formatting</w:t>
      </w:r>
    </w:p>
    <w:p w14:paraId="6F016D20" w14:textId="77777777" w:rsidR="006578B3" w:rsidRDefault="00000000">
      <w:pPr>
        <w:pStyle w:val="ListParagraph"/>
        <w:numPr>
          <w:ilvl w:val="0"/>
          <w:numId w:val="2"/>
        </w:numPr>
        <w:spacing w:after="100"/>
      </w:pPr>
      <w:r>
        <w:t>Interactive Dashboard Design</w:t>
      </w:r>
    </w:p>
    <w:p w14:paraId="24C444E9" w14:textId="77777777" w:rsidR="006578B3" w:rsidRDefault="00000000">
      <w:pPr>
        <w:pStyle w:val="Heading1"/>
        <w:pBdr>
          <w:bottom w:val="single" w:sz="6" w:space="4" w:color="2E5395"/>
        </w:pBdr>
        <w:spacing w:before="320" w:after="160"/>
      </w:pPr>
      <w:r>
        <w:rPr>
          <w:b/>
          <w:bCs/>
          <w:color w:val="1F3864"/>
          <w:sz w:val="26"/>
          <w:szCs w:val="26"/>
        </w:rPr>
        <w:t>Conclusion</w:t>
      </w:r>
    </w:p>
    <w:p w14:paraId="189461DC" w14:textId="77777777" w:rsidR="006578B3" w:rsidRDefault="00000000">
      <w:pPr>
        <w:spacing w:after="160"/>
      </w:pPr>
      <w:r>
        <w:t>This interactive dashboard converts raw social media advertising data into meaningful business insights. It demonstrates practical Excel dashboarding skills, including data aggregation, KPI development, interactive filtering, and executive-level reporting suitable for business analysis and portfolio projects. With the labeling corrections above applied and slicers reconnected, the workbook is ready for presentation or handoff.</w:t>
      </w:r>
    </w:p>
    <w:sectPr w:rsidR="006578B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605B6" w14:textId="77777777" w:rsidR="004677B3" w:rsidRDefault="004677B3">
      <w:r>
        <w:separator/>
      </w:r>
    </w:p>
  </w:endnote>
  <w:endnote w:type="continuationSeparator" w:id="0">
    <w:p w14:paraId="358CE96B" w14:textId="77777777" w:rsidR="004677B3" w:rsidRDefault="004677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28995" w14:textId="77777777" w:rsidR="006578B3"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885B2F">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885B2F">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E711F" w14:textId="77777777" w:rsidR="004677B3" w:rsidRDefault="004677B3">
      <w:r>
        <w:separator/>
      </w:r>
    </w:p>
  </w:footnote>
  <w:footnote w:type="continuationSeparator" w:id="0">
    <w:p w14:paraId="391D403C" w14:textId="77777777" w:rsidR="004677B3" w:rsidRDefault="004677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CEA26" w14:textId="77777777" w:rsidR="006578B3" w:rsidRDefault="00000000">
    <w:pPr>
      <w:pBdr>
        <w:bottom w:val="single" w:sz="4" w:space="4" w:color="BFBFBF"/>
      </w:pBdr>
    </w:pPr>
    <w:r>
      <w:rPr>
        <w:color w:val="595959"/>
        <w:sz w:val="16"/>
        <w:szCs w:val="16"/>
      </w:rPr>
      <w:t>Social Media Advertising Performance Dashboard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A46DF"/>
    <w:multiLevelType w:val="hybridMultilevel"/>
    <w:tmpl w:val="57FCD02E"/>
    <w:lvl w:ilvl="0" w:tplc="02E8E7EA">
      <w:start w:val="1"/>
      <w:numFmt w:val="bullet"/>
      <w:lvlText w:val="●"/>
      <w:lvlJc w:val="left"/>
      <w:pPr>
        <w:ind w:left="720" w:hanging="360"/>
      </w:pPr>
    </w:lvl>
    <w:lvl w:ilvl="1" w:tplc="9C00509E">
      <w:start w:val="1"/>
      <w:numFmt w:val="bullet"/>
      <w:lvlText w:val="○"/>
      <w:lvlJc w:val="left"/>
      <w:pPr>
        <w:ind w:left="1440" w:hanging="360"/>
      </w:pPr>
    </w:lvl>
    <w:lvl w:ilvl="2" w:tplc="42A2CF66">
      <w:start w:val="1"/>
      <w:numFmt w:val="bullet"/>
      <w:lvlText w:val="■"/>
      <w:lvlJc w:val="left"/>
      <w:pPr>
        <w:ind w:left="2160" w:hanging="360"/>
      </w:pPr>
    </w:lvl>
    <w:lvl w:ilvl="3" w:tplc="F68E2EA2">
      <w:start w:val="1"/>
      <w:numFmt w:val="bullet"/>
      <w:lvlText w:val="●"/>
      <w:lvlJc w:val="left"/>
      <w:pPr>
        <w:ind w:left="2880" w:hanging="360"/>
      </w:pPr>
    </w:lvl>
    <w:lvl w:ilvl="4" w:tplc="48A8D682">
      <w:start w:val="1"/>
      <w:numFmt w:val="bullet"/>
      <w:lvlText w:val="○"/>
      <w:lvlJc w:val="left"/>
      <w:pPr>
        <w:ind w:left="3600" w:hanging="360"/>
      </w:pPr>
    </w:lvl>
    <w:lvl w:ilvl="5" w:tplc="D70EF08E">
      <w:start w:val="1"/>
      <w:numFmt w:val="bullet"/>
      <w:lvlText w:val="■"/>
      <w:lvlJc w:val="left"/>
      <w:pPr>
        <w:ind w:left="4320" w:hanging="360"/>
      </w:pPr>
    </w:lvl>
    <w:lvl w:ilvl="6" w:tplc="24A42DC0">
      <w:start w:val="1"/>
      <w:numFmt w:val="bullet"/>
      <w:lvlText w:val="●"/>
      <w:lvlJc w:val="left"/>
      <w:pPr>
        <w:ind w:left="5040" w:hanging="360"/>
      </w:pPr>
    </w:lvl>
    <w:lvl w:ilvl="7" w:tplc="92C63846">
      <w:start w:val="1"/>
      <w:numFmt w:val="bullet"/>
      <w:lvlText w:val="●"/>
      <w:lvlJc w:val="left"/>
      <w:pPr>
        <w:ind w:left="5760" w:hanging="360"/>
      </w:pPr>
    </w:lvl>
    <w:lvl w:ilvl="8" w:tplc="47AAA2E2">
      <w:start w:val="1"/>
      <w:numFmt w:val="bullet"/>
      <w:lvlText w:val="●"/>
      <w:lvlJc w:val="left"/>
      <w:pPr>
        <w:ind w:left="6480" w:hanging="360"/>
      </w:pPr>
    </w:lvl>
  </w:abstractNum>
  <w:abstractNum w:abstractNumId="1" w15:restartNumberingAfterBreak="0">
    <w:nsid w:val="4A531D12"/>
    <w:multiLevelType w:val="hybridMultilevel"/>
    <w:tmpl w:val="DBECA660"/>
    <w:lvl w:ilvl="0" w:tplc="3F1C6216">
      <w:start w:val="1"/>
      <w:numFmt w:val="bullet"/>
      <w:lvlText w:val="•"/>
      <w:lvlJc w:val="left"/>
      <w:pPr>
        <w:ind w:left="360" w:hanging="260"/>
      </w:pPr>
    </w:lvl>
    <w:lvl w:ilvl="1" w:tplc="60DE83BE">
      <w:numFmt w:val="decimal"/>
      <w:lvlText w:val=""/>
      <w:lvlJc w:val="left"/>
    </w:lvl>
    <w:lvl w:ilvl="2" w:tplc="A650E318">
      <w:numFmt w:val="decimal"/>
      <w:lvlText w:val=""/>
      <w:lvlJc w:val="left"/>
    </w:lvl>
    <w:lvl w:ilvl="3" w:tplc="A24CC4BC">
      <w:numFmt w:val="decimal"/>
      <w:lvlText w:val=""/>
      <w:lvlJc w:val="left"/>
    </w:lvl>
    <w:lvl w:ilvl="4" w:tplc="F13662B2">
      <w:numFmt w:val="decimal"/>
      <w:lvlText w:val=""/>
      <w:lvlJc w:val="left"/>
    </w:lvl>
    <w:lvl w:ilvl="5" w:tplc="B32EA380">
      <w:numFmt w:val="decimal"/>
      <w:lvlText w:val=""/>
      <w:lvlJc w:val="left"/>
    </w:lvl>
    <w:lvl w:ilvl="6" w:tplc="DFBA6040">
      <w:numFmt w:val="decimal"/>
      <w:lvlText w:val=""/>
      <w:lvlJc w:val="left"/>
    </w:lvl>
    <w:lvl w:ilvl="7" w:tplc="EC84402E">
      <w:numFmt w:val="decimal"/>
      <w:lvlText w:val=""/>
      <w:lvlJc w:val="left"/>
    </w:lvl>
    <w:lvl w:ilvl="8" w:tplc="A1A81A38">
      <w:numFmt w:val="decimal"/>
      <w:lvlText w:val=""/>
      <w:lvlJc w:val="left"/>
    </w:lvl>
  </w:abstractNum>
  <w:num w:numId="1" w16cid:durableId="2133159878">
    <w:abstractNumId w:val="0"/>
    <w:lvlOverride w:ilvl="0">
      <w:startOverride w:val="1"/>
    </w:lvlOverride>
  </w:num>
  <w:num w:numId="2" w16cid:durableId="1402723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8B3"/>
    <w:rsid w:val="004677B3"/>
    <w:rsid w:val="006578B3"/>
    <w:rsid w:val="00885B2F"/>
    <w:rsid w:val="00E742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F2B7A"/>
  <w15:docId w15:val="{D998107B-7F2B-48C0-8ED9-86597105D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615</Words>
  <Characters>3507</Characters>
  <Application>Microsoft Office Word</Application>
  <DocSecurity>0</DocSecurity>
  <Lines>29</Lines>
  <Paragraphs>8</Paragraphs>
  <ScaleCrop>false</ScaleCrop>
  <Company/>
  <LinksUpToDate>false</LinksUpToDate>
  <CharactersWithSpaces>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 Khandelwal</cp:lastModifiedBy>
  <cp:revision>2</cp:revision>
  <dcterms:created xsi:type="dcterms:W3CDTF">2026-07-09T05:16:00Z</dcterms:created>
  <dcterms:modified xsi:type="dcterms:W3CDTF">2026-07-09T05:22:00Z</dcterms:modified>
</cp:coreProperties>
</file>