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/>
          <w:color w:val="0F6F5C"/>
          <w:spacing w:val="40"/>
          <w:sz w:val="16"/>
          <w:szCs w:val="16"/>
        </w:rPr>
        <w:t xml:space="preserve">AI-NATIVE FUND  ·  SYSTEM REFERENCE</w:t>
      </w:r>
    </w:p>
    <w:p>
      <w:pPr>
        <w:spacing w:after="120" w:line="30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6211D"/>
          <w:sz w:val="64"/>
          <w:szCs w:val="64"/>
        </w:rPr>
        <w:t xml:space="preserve">Architecture</w:t>
      </w:r>
    </w:p>
    <w:p>
      <w:pPr>
        <w:spacing w:after="160" w:before="0" w:line="30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4A564F"/>
          <w:sz w:val="22"/>
          <w:szCs w:val="22"/>
        </w:rPr>
        <w:t xml:space="preserve">A human-in-the-loop research &amp; decision system for India-focused, long-only, multi-asset investing. Deterministic Python runs the machine; LLM agents reason only where judgment is required; a human approves every capital move.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EDF1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6211D"/>
                <w:sz w:val="17"/>
                <w:szCs w:val="17"/>
              </w:rPr>
              <w:t xml:space="preserve">10 layers</w:t>
            </w:r>
            <w:r>
              <w:rPr>
                <w:rFonts w:ascii="Consolas" w:cs="Consolas" w:eastAsia="Consolas" w:hAnsi="Consolas"/>
                <w:color w:val="16211D"/>
                <w:sz w:val="17"/>
                <w:szCs w:val="17"/>
              </w:rPr>
              <w:t xml:space="preserve">     13 LLM agents</w:t>
            </w:r>
            <w:r>
              <w:rPr>
                <w:rFonts w:ascii="Consolas" w:cs="Consolas" w:eastAsia="Consolas" w:hAnsi="Consolas"/>
                <w:color w:val="16211D"/>
                <w:sz w:val="17"/>
                <w:szCs w:val="17"/>
              </w:rPr>
              <w:t xml:space="preserve">     16 cycles</w:t>
            </w:r>
            <w:r>
              <w:rPr>
                <w:rFonts w:ascii="Consolas" w:cs="Consolas" w:eastAsia="Consolas" w:hAnsi="Consolas"/>
                <w:color w:val="16211D"/>
                <w:sz w:val="17"/>
                <w:szCs w:val="17"/>
              </w:rPr>
              <w:t xml:space="preserve">     28 DB tables</w:t>
            </w:r>
            <w:r>
              <w:rPr>
                <w:rFonts w:ascii="Consolas" w:cs="Consolas" w:eastAsia="Consolas" w:hAnsi="Consolas"/>
                <w:color w:val="16211D"/>
                <w:sz w:val="17"/>
                <w:szCs w:val="17"/>
              </w:rPr>
              <w:t xml:space="preserve">     658 tests green</w:t>
            </w:r>
            <w:r>
              <w:rPr>
                <w:rFonts w:ascii="Consolas" w:cs="Consolas" w:eastAsia="Consolas" w:hAnsi="Consolas"/>
                <w:color w:val="16211D"/>
                <w:sz w:val="17"/>
                <w:szCs w:val="17"/>
              </w:rPr>
              <w:t xml:space="preserve">     wiring 127/127</w:t>
            </w:r>
            <w:r>
              <w:rPr>
                <w:rFonts w:ascii="Consolas" w:cs="Consolas" w:eastAsia="Consolas" w:hAnsi="Consolas"/>
                <w:color w:val="16211D"/>
                <w:sz w:val="17"/>
                <w:szCs w:val="17"/>
              </w:rPr>
              <w:t xml:space="preserve">     paper ₹10L · manual-first</w:t>
            </w:r>
          </w:p>
        </w:tc>
      </w:tr>
    </w:tbl>
    <w:p>
      <w:pPr>
        <w:spacing w:after="200" w:before="0" w:line="1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16211D"/>
          <w:sz w:val="20"/>
          <w:szCs w:val="20"/>
        </w:rPr>
        <w:t xml:space="preserve"/>
      </w:r>
    </w:p>
    <w:tbl>
      <w:tblPr>
        <w:tblW w:type="dxa" w:w="10080"/>
        <w:tblBorders>
          <w:top w:val="single" w:color="D7E0DB" w:sz="4"/>
          <w:left w:val="single" w:color="0F6F5C" w:sz="24"/>
          <w:bottom w:val="single" w:color="D7E0DB" w:sz="4"/>
          <w:right w:val="single" w:color="D7E0DB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FFFFF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 w:before="0" w:line="288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F6F5C"/>
                <w:sz w:val="22"/>
                <w:szCs w:val="22"/>
              </w:rPr>
              <w:t xml:space="preserve">The one rule everything obeys. 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6211D"/>
                <w:sz w:val="22"/>
                <w:szCs w:val="22"/>
              </w:rPr>
              <w:t xml:space="preserve">The orchestrator “brain” is deterministic Python — scheduling, routing, math, minimal-context assembly. LLMs are invoked </w:t>
            </w: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16211D"/>
                <w:sz w:val="22"/>
                <w:szCs w:val="22"/>
              </w:rPr>
              <w:t xml:space="preserve">only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6211D"/>
                <w:sz w:val="22"/>
                <w:szCs w:val="22"/>
              </w:rPr>
              <w:t xml:space="preserve"> at judgment nodes (tiered haiku → sonnet → opus), and no position is ever sized without a human at the gate. This is what keeps it accurate, auditable, and cheap to run.</w:t>
            </w:r>
          </w:p>
        </w:tc>
      </w:tr>
    </w:tbl>
    <w:p>
      <w:pPr>
        <w:spacing w:after="240" w:before="0" w:line="1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16211D"/>
          <w:sz w:val="20"/>
          <w:szCs w:val="20"/>
        </w:rPr>
        <w:t xml:space="preserve"/>
      </w:r>
    </w:p>
    <w:p>
      <w:pPr>
        <w:pBdr>
          <w:bottom w:val="single" w:color="D7E0DB" w:sz="4" w:space="6"/>
        </w:pBdr>
        <w:spacing w:after="120" w:before="160" w:line="240"/>
      </w:pPr>
      <w:r>
        <w:rPr>
          <w:rFonts w:ascii="Segoe UI" w:cs="Segoe UI" w:eastAsia="Segoe UI" w:hAnsi="Segoe UI"/>
          <w:b/>
          <w:bCs/>
          <w:i w:val="false"/>
          <w:iCs w:val="false"/>
          <w:caps/>
          <w:color w:val="4A564F"/>
          <w:spacing w:val="60"/>
          <w:sz w:val="19"/>
          <w:szCs w:val="19"/>
        </w:rPr>
        <w:t xml:space="preserve">Architecture map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EDF1EF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after="0" w:before="0" w:line="24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211D"/>
                <w:sz w:val="22"/>
                <w:szCs w:val="22"/>
              </w:rPr>
              <w:t xml:space="preserve">① Data pipelines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4A564F"/>
                <w:sz w:val="17"/>
                <w:szCs w:val="17"/>
              </w:rPr>
              <w:t xml:space="preserve">prices · macro · financials · news → upsert</w:t>
            </w:r>
          </w:p>
        </w:tc>
      </w:tr>
    </w:tbl>
    <w:p>
      <w:pPr>
        <w:spacing w:after="60" w:before="60" w:line="200"/>
        <w:jc w:val="center"/>
      </w:pPr>
      <w:r>
        <w:rPr>
          <w:rFonts w:ascii="Segoe UI" w:cs="Segoe UI" w:eastAsia="Segoe UI" w:hAnsi="Segoe UI"/>
          <w:b/>
          <w:bCs/>
          <w:i w:val="false"/>
          <w:iCs w:val="false"/>
          <w:caps w:val="false"/>
          <w:color w:val="0F6F5C"/>
          <w:sz w:val="22"/>
          <w:szCs w:val="22"/>
        </w:rPr>
        <w:t xml:space="preserve">↓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EDF1EF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after="0" w:before="0" w:line="24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211D"/>
                <w:sz w:val="22"/>
                <w:szCs w:val="22"/>
              </w:rPr>
              <w:t xml:space="preserve">② SQLite · 28 tables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4A564F"/>
                <w:sz w:val="17"/>
                <w:szCs w:val="17"/>
              </w:rPr>
              <w:t xml:space="preserve">system of record + agent_runs cost ledger</w:t>
            </w:r>
          </w:p>
        </w:tc>
      </w:tr>
    </w:tbl>
    <w:p>
      <w:pPr>
        <w:spacing w:after="60" w:before="60" w:line="200"/>
        <w:jc w:val="center"/>
      </w:pPr>
      <w:r>
        <w:rPr>
          <w:rFonts w:ascii="Segoe UI" w:cs="Segoe UI" w:eastAsia="Segoe UI" w:hAnsi="Segoe UI"/>
          <w:b/>
          <w:bCs/>
          <w:i w:val="false"/>
          <w:iCs w:val="false"/>
          <w:caps w:val="false"/>
          <w:color w:val="0F6F5C"/>
          <w:sz w:val="22"/>
          <w:szCs w:val="22"/>
        </w:rPr>
        <w:t xml:space="preserve">↓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E1EFEB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after="0" w:before="0" w:line="24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211D"/>
                <w:sz w:val="22"/>
                <w:szCs w:val="22"/>
              </w:rPr>
              <w:t xml:space="preserve">③ Orchestrator brain  +  ④ Registry / Knowledge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4A564F"/>
                <w:sz w:val="17"/>
                <w:szCs w:val="17"/>
              </w:rPr>
              <w:t xml:space="preserve">deterministic scheduler · router · packets · escalation  ·  governs vocabulary, strategy, rules</w:t>
            </w:r>
          </w:p>
        </w:tc>
      </w:tr>
    </w:tbl>
    <w:p>
      <w:pPr>
        <w:spacing w:after="60" w:before="60" w:line="200"/>
        <w:jc w:val="center"/>
      </w:pPr>
      <w:r>
        <w:rPr>
          <w:rFonts w:ascii="Segoe UI" w:cs="Segoe UI" w:eastAsia="Segoe UI" w:hAnsi="Segoe UI"/>
          <w:b/>
          <w:bCs/>
          <w:i w:val="false"/>
          <w:iCs w:val="false"/>
          <w:caps w:val="false"/>
          <w:color w:val="0F6F5C"/>
          <w:sz w:val="22"/>
          <w:szCs w:val="22"/>
        </w:rPr>
        <w:t xml:space="preserve">↓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E1EFEB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after="0" w:before="0" w:line="24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211D"/>
                <w:sz w:val="22"/>
                <w:szCs w:val="22"/>
              </w:rPr>
              <w:t xml:space="preserve">⑤ Cycle engine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4A564F"/>
                <w:sz w:val="17"/>
                <w:szCs w:val="17"/>
              </w:rPr>
              <w:t xml:space="preserve">anchors → 8-phase → regime → composite → 4-gate funnel</w:t>
            </w:r>
          </w:p>
        </w:tc>
      </w:tr>
    </w:tbl>
    <w:p>
      <w:pPr>
        <w:spacing w:after="60" w:before="60" w:line="200"/>
        <w:jc w:val="center"/>
      </w:pPr>
      <w:r>
        <w:rPr>
          <w:rFonts w:ascii="Segoe UI" w:cs="Segoe UI" w:eastAsia="Segoe UI" w:hAnsi="Segoe UI"/>
          <w:b/>
          <w:bCs/>
          <w:i w:val="false"/>
          <w:iCs w:val="false"/>
          <w:caps w:val="false"/>
          <w:color w:val="0F6F5C"/>
          <w:sz w:val="22"/>
          <w:szCs w:val="22"/>
        </w:rPr>
        <w:t xml:space="preserve">↓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EDF1EF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after="0" w:before="0" w:line="24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211D"/>
                <w:sz w:val="22"/>
                <w:szCs w:val="22"/>
              </w:rPr>
              <w:t xml:space="preserve">⑥ LLM agents ×13   ←  ⑦ Equity Researcher v2.0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4A564F"/>
                <w:sz w:val="17"/>
                <w:szCs w:val="17"/>
              </w:rPr>
              <w:t xml:space="preserve">idea → synthesis → critique(+premortem) → risk → allocator → fund-mgr</w:t>
            </w:r>
          </w:p>
        </w:tc>
      </w:tr>
    </w:tbl>
    <w:p>
      <w:pPr>
        <w:spacing w:after="60" w:before="60" w:line="200"/>
        <w:jc w:val="center"/>
      </w:pPr>
      <w:r>
        <w:rPr>
          <w:rFonts w:ascii="Segoe UI" w:cs="Segoe UI" w:eastAsia="Segoe UI" w:hAnsi="Segoe UI"/>
          <w:b/>
          <w:bCs/>
          <w:i w:val="false"/>
          <w:iCs w:val="false"/>
          <w:caps w:val="false"/>
          <w:color w:val="0F6F5C"/>
          <w:sz w:val="22"/>
          <w:szCs w:val="22"/>
        </w:rPr>
        <w:t xml:space="preserve">↓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0F6F5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after="0" w:before="0" w:line="24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⑨ Human checkpoint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approve / reject / modify  —  the non-skippable gate</w:t>
            </w:r>
          </w:p>
        </w:tc>
      </w:tr>
    </w:tbl>
    <w:p>
      <w:pPr>
        <w:spacing w:after="60" w:before="60" w:line="200"/>
        <w:jc w:val="center"/>
      </w:pPr>
      <w:r>
        <w:rPr>
          <w:rFonts w:ascii="Segoe UI" w:cs="Segoe UI" w:eastAsia="Segoe UI" w:hAnsi="Segoe UI"/>
          <w:b/>
          <w:bCs/>
          <w:i w:val="false"/>
          <w:iCs w:val="false"/>
          <w:caps w:val="false"/>
          <w:color w:val="0F6F5C"/>
          <w:sz w:val="22"/>
          <w:szCs w:val="22"/>
        </w:rPr>
        <w:t xml:space="preserve">↓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EDF1EF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after="0" w:before="0" w:line="24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211D"/>
                <w:sz w:val="22"/>
                <w:szCs w:val="22"/>
              </w:rPr>
              <w:t xml:space="preserve">⑧ Portfolio &amp; risk   +   ⑩ Streamlit app (12 pages)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4A564F"/>
                <w:sz w:val="17"/>
                <w:szCs w:val="17"/>
              </w:rPr>
              <w:t xml:space="preserve">ledger · NAV · SD / VaR / α · cycle limits   ·   read-only views + click-gated jobs</w:t>
            </w:r>
          </w:p>
        </w:tc>
      </w:tr>
    </w:tbl>
    <w:p>
      <w:pPr>
        <w:pageBreakBefore/>
      </w:pPr>
    </w:p>
    <w:p>
      <w:pPr>
        <w:pBdr>
          <w:bottom w:val="single" w:color="D7E0DB" w:sz="4" w:space="6"/>
        </w:pBdr>
        <w:spacing w:after="120" w:before="160" w:line="240"/>
      </w:pPr>
      <w:r>
        <w:rPr>
          <w:rFonts w:ascii="Segoe UI" w:cs="Segoe UI" w:eastAsia="Segoe UI" w:hAnsi="Segoe UI"/>
          <w:b/>
          <w:bCs/>
          <w:i w:val="false"/>
          <w:iCs w:val="false"/>
          <w:caps/>
          <w:color w:val="4A564F"/>
          <w:spacing w:val="60"/>
          <w:sz w:val="19"/>
          <w:szCs w:val="19"/>
        </w:rPr>
        <w:t xml:space="preserve">Sub-components — what each owns &amp; needs</w:t>
      </w:r>
    </w:p>
    <w:p>
      <w:pPr>
        <w:spacing w:after="140" w:before="0" w:line="264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4A564F"/>
          <w:sz w:val="20"/>
          <w:szCs w:val="20"/>
        </w:rPr>
        <w:t xml:space="preserve">Ten layers. Each row: its job, and the “depends on” column names what it can't run without.</w:t>
      </w:r>
    </w:p>
    <w:tbl>
      <w:tblPr>
        <w:tblW w:type="dxa" w:w="10080"/>
        <w:tblBorders>
          <w:top w:val="single" w:color="D7E0DB" w:sz="2"/>
          <w:left w:val="none"/>
          <w:bottom w:val="single" w:color="D7E0DB" w:sz="2"/>
          <w:right w:val="none"/>
          <w:insideH w:val="single" w:color="D7E0DB" w:sz="2"/>
          <w:insideV w:val="single" w:color="D7E0DB" w:sz="2"/>
        </w:tblBorders>
      </w:tblPr>
      <w:tblGrid>
        <w:gridCol w:w="2500"/>
        <w:gridCol w:w="4780"/>
        <w:gridCol w:w="2800"/>
      </w:tblGrid>
      <w:tr>
        <w:trPr>
          <w:tblHeader/>
        </w:trPr>
        <w:tc>
          <w:tcPr>
            <w:tcW w:type="dxa" w:w="0"/>
            <w:shd w:fill="0F6F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FFFFFF"/>
                <w:spacing w:val="40"/>
                <w:sz w:val="18"/>
                <w:szCs w:val="18"/>
              </w:rPr>
              <w:t xml:space="preserve">Layer</w:t>
            </w:r>
          </w:p>
        </w:tc>
        <w:tc>
          <w:tcPr>
            <w:tcW w:type="dxa" w:w="0"/>
            <w:shd w:fill="0F6F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FFFFFF"/>
                <w:spacing w:val="40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0"/>
            <w:shd w:fill="0F6F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FFFFFF"/>
                <w:spacing w:val="40"/>
                <w:sz w:val="18"/>
                <w:szCs w:val="18"/>
              </w:rPr>
              <w:t xml:space="preserve">Depends on</w:t>
            </w:r>
          </w:p>
        </w:tc>
      </w:tr>
      <w:tr>
        <w:tc>
          <w:tcPr>
            <w:tcW w:type="dxa" w:w="2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before="0" w:line="224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211D"/>
                <w:sz w:val="19"/>
                <w:szCs w:val="19"/>
              </w:rPr>
              <w:t xml:space="preserve">① Data pipelines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4A564F"/>
                <w:sz w:val="15"/>
                <w:szCs w:val="15"/>
              </w:rPr>
              <w:t xml:space="preserve">data/</w:t>
            </w:r>
          </w:p>
        </w:tc>
        <w:tc>
          <w:tcPr>
            <w:tcW w:type="dxa" w:w="478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36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6211D"/>
                <w:sz w:val="18"/>
                <w:szCs w:val="18"/>
              </w:rPr>
              <w:t xml:space="preserve">~19 pipelines pull prices, index P/E, NAVs, financials (screener), macro (FRED · BIS · NSE · govt), news &amp; newsletters, AMC portfolios → upsert. Idempotent, job-logged.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6F5C"/>
                <w:sz w:val="15"/>
                <w:szCs w:val="15"/>
              </w:rPr>
              <w:t xml:space="preserve">free external sources · shared HTTP session</w:t>
            </w:r>
          </w:p>
        </w:tc>
      </w:tr>
      <w:tr>
        <w:tc>
          <w:tcPr>
            <w:tcW w:type="dxa" w:w="2500"/>
            <w:shd w:fill="F5F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before="0" w:line="224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211D"/>
                <w:sz w:val="19"/>
                <w:szCs w:val="19"/>
              </w:rPr>
              <w:t xml:space="preserve">② SQLite DB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4A564F"/>
                <w:sz w:val="15"/>
                <w:szCs w:val="15"/>
              </w:rPr>
              <w:t xml:space="preserve">db/</w:t>
            </w:r>
          </w:p>
        </w:tc>
        <w:tc>
          <w:tcPr>
            <w:tcW w:type="dxa" w:w="4780"/>
            <w:shd w:fill="F5F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36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6211D"/>
                <w:sz w:val="18"/>
                <w:szCs w:val="18"/>
              </w:rPr>
              <w:t xml:space="preserve">Single system-of-record: market, fundamentals, macro, news, portfolio, decisions, memory + an agent_runs token/cost ledger.</w:t>
            </w:r>
          </w:p>
        </w:tc>
        <w:tc>
          <w:tcPr>
            <w:tcW w:type="dxa" w:w="2800"/>
            <w:shd w:fill="F5F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6F5C"/>
                <w:sz w:val="15"/>
                <w:szCs w:val="15"/>
              </w:rPr>
              <w:t xml:space="preserve">schema.sql · additive migrations</w:t>
            </w:r>
          </w:p>
        </w:tc>
      </w:tr>
      <w:tr>
        <w:tc>
          <w:tcPr>
            <w:tcW w:type="dxa" w:w="2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before="0" w:line="224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211D"/>
                <w:sz w:val="19"/>
                <w:szCs w:val="19"/>
              </w:rPr>
              <w:t xml:space="preserve">③ Orchestrator brain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4A564F"/>
                <w:sz w:val="15"/>
                <w:szCs w:val="15"/>
              </w:rPr>
              <w:t xml:space="preserve">orchestrator/</w:t>
            </w:r>
          </w:p>
        </w:tc>
        <w:tc>
          <w:tcPr>
            <w:tcW w:type="dxa" w:w="478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36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6211D"/>
                <w:sz w:val="18"/>
                <w:szCs w:val="18"/>
              </w:rPr>
              <w:t xml:space="preserve">Deterministic scheduler + router (16 triggers), the minimal-context packet assembler (token frugality), escalation rules, human gate. No LLM loop.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6F5C"/>
                <w:sz w:val="15"/>
                <w:szCs w:val="15"/>
              </w:rPr>
              <w:t xml:space="preserve">DB · registry rules · knowledge</w:t>
            </w:r>
          </w:p>
        </w:tc>
      </w:tr>
      <w:tr>
        <w:tc>
          <w:tcPr>
            <w:tcW w:type="dxa" w:w="2500"/>
            <w:shd w:fill="F5F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before="0" w:line="224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211D"/>
                <w:sz w:val="19"/>
                <w:szCs w:val="19"/>
              </w:rPr>
              <w:t xml:space="preserve">④ Registry + Knowledge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4A564F"/>
                <w:sz w:val="15"/>
                <w:szCs w:val="15"/>
              </w:rPr>
              <w:t xml:space="preserve">registry/ · knowledge/</w:t>
            </w:r>
          </w:p>
        </w:tc>
        <w:tc>
          <w:tcPr>
            <w:tcW w:type="dxa" w:w="4780"/>
            <w:shd w:fill="F5F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36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6211D"/>
                <w:sz w:val="18"/>
                <w:szCs w:val="18"/>
              </w:rPr>
              <w:t xml:space="preserve">Governed source-of-truth: KPI vocabulary, strategies, risk limits, agent prompts; 56 machine KPI defs, 16-cycle catalog, EPS-bridge doctrine. All DRAFT-flagged.</w:t>
            </w:r>
          </w:p>
        </w:tc>
        <w:tc>
          <w:tcPr>
            <w:tcW w:type="dxa" w:w="2800"/>
            <w:shd w:fill="F5F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6F5C"/>
                <w:sz w:val="15"/>
                <w:szCs w:val="15"/>
              </w:rPr>
              <w:t xml:space="preserve">human-authored · git-versioned</w:t>
            </w:r>
          </w:p>
        </w:tc>
      </w:tr>
      <w:tr>
        <w:tc>
          <w:tcPr>
            <w:tcW w:type="dxa" w:w="2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before="0" w:line="224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211D"/>
                <w:sz w:val="19"/>
                <w:szCs w:val="19"/>
              </w:rPr>
              <w:t xml:space="preserve">⑤ Cycle engine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4A564F"/>
                <w:sz w:val="15"/>
                <w:szCs w:val="15"/>
              </w:rPr>
              <w:t xml:space="preserve">cycles/</w:t>
            </w:r>
          </w:p>
        </w:tc>
        <w:tc>
          <w:tcPr>
            <w:tcW w:type="dxa" w:w="478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36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6211D"/>
                <w:sz w:val="18"/>
                <w:szCs w:val="18"/>
              </w:rPr>
              <w:t xml:space="preserve">Strategy constitution in code: anchor → percentile/direction/momentum → 8-phase → regime + composite + alignment; 4-gate funnel; allocation bands.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6F5C"/>
                <w:sz w:val="15"/>
                <w:szCs w:val="15"/>
              </w:rPr>
              <w:t xml:space="preserve">DB series · framework yaml · catalog</w:t>
            </w:r>
          </w:p>
        </w:tc>
      </w:tr>
      <w:tr>
        <w:tc>
          <w:tcPr>
            <w:tcW w:type="dxa" w:w="2500"/>
            <w:shd w:fill="F5F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before="0" w:line="224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211D"/>
                <w:sz w:val="19"/>
                <w:szCs w:val="19"/>
              </w:rPr>
              <w:t xml:space="preserve">⑥ LLM agents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4A564F"/>
                <w:sz w:val="15"/>
                <w:szCs w:val="15"/>
              </w:rPr>
              <w:t xml:space="preserve">×13</w:t>
            </w:r>
          </w:p>
        </w:tc>
        <w:tc>
          <w:tcPr>
            <w:tcW w:type="dxa" w:w="4780"/>
            <w:shd w:fill="F5F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36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6211D"/>
                <w:sz w:val="18"/>
                <w:szCs w:val="18"/>
              </w:rPr>
              <w:t xml:space="preserve">Reason at judgment nodes only: news, newsletter, narrative, idea→synthesis→critique(+premortem)→risk→allocator→fund-mgr, sector, buy-side, meta-research.</w:t>
            </w:r>
          </w:p>
        </w:tc>
        <w:tc>
          <w:tcPr>
            <w:tcW w:type="dxa" w:w="2800"/>
            <w:shd w:fill="F5F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6F5C"/>
                <w:sz w:val="15"/>
                <w:szCs w:val="15"/>
              </w:rPr>
              <w:t xml:space="preserve">brain packets · contracts · sanitize</w:t>
            </w:r>
          </w:p>
        </w:tc>
      </w:tr>
      <w:tr>
        <w:tc>
          <w:tcPr>
            <w:tcW w:type="dxa" w:w="2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before="0" w:line="224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211D"/>
                <w:sz w:val="19"/>
                <w:szCs w:val="19"/>
              </w:rPr>
              <w:t xml:space="preserve">⑦ Equity Researcher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4A564F"/>
                <w:sz w:val="15"/>
                <w:szCs w:val="15"/>
              </w:rPr>
              <w:t xml:space="preserve">research/</w:t>
            </w:r>
          </w:p>
        </w:tc>
        <w:tc>
          <w:tcPr>
            <w:tcW w:type="dxa" w:w="478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36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6211D"/>
                <w:sz w:val="18"/>
                <w:szCs w:val="18"/>
              </w:rPr>
              <w:t xml:space="preserve">Isolated sub-agent system: ticker → documents → 3-level statement → EPS-bridge check → Excel → dossier + note + valuation handoff → .docx. File-bridged.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6F5C"/>
                <w:sz w:val="15"/>
                <w:szCs w:val="15"/>
              </w:rPr>
              <w:t xml:space="preserve">disclosure fetcher · fund registry</w:t>
            </w:r>
          </w:p>
        </w:tc>
      </w:tr>
      <w:tr>
        <w:tc>
          <w:tcPr>
            <w:tcW w:type="dxa" w:w="2500"/>
            <w:shd w:fill="F5F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before="0" w:line="224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211D"/>
                <w:sz w:val="19"/>
                <w:szCs w:val="19"/>
              </w:rPr>
              <w:t xml:space="preserve">⑧ Portfolio &amp; risk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4A564F"/>
                <w:sz w:val="15"/>
                <w:szCs w:val="15"/>
              </w:rPr>
              <w:t xml:space="preserve">portfolio/</w:t>
            </w:r>
          </w:p>
        </w:tc>
        <w:tc>
          <w:tcPr>
            <w:tcW w:type="dxa" w:w="4780"/>
            <w:shd w:fill="F5F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36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6211D"/>
                <w:sz w:val="18"/>
                <w:szCs w:val="18"/>
              </w:rPr>
              <w:t xml:space="preserve">Paper ledger (avg-cost), daily NAV mark-to-market, risk snapshot (SD, historical VaR, beta, Jensen's α, drawdown, HHI), cycle-aware position limits.</w:t>
            </w:r>
          </w:p>
        </w:tc>
        <w:tc>
          <w:tcPr>
            <w:tcW w:type="dxa" w:w="2800"/>
            <w:shd w:fill="F5F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6F5C"/>
                <w:sz w:val="15"/>
                <w:szCs w:val="15"/>
              </w:rPr>
              <w:t xml:space="preserve">DB prices · NAVs · transactions</w:t>
            </w:r>
          </w:p>
        </w:tc>
      </w:tr>
      <w:tr>
        <w:tc>
          <w:tcPr>
            <w:tcW w:type="dxa" w:w="2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24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211D"/>
                <w:sz w:val="19"/>
                <w:szCs w:val="19"/>
              </w:rPr>
              <w:t xml:space="preserve">⑨ Human checkpoint</w:t>
            </w:r>
          </w:p>
          <w:p>
            <w:pPr>
              <w:spacing w:after="0" w:before="0" w:line="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6211D"/>
                <w:sz w:val="20"/>
                <w:szCs w:val="20"/>
              </w:rPr>
              <w:t xml:space="preserve"/>
            </w:r>
          </w:p>
        </w:tc>
        <w:tc>
          <w:tcPr>
            <w:tcW w:type="dxa" w:w="478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36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6211D"/>
                <w:sz w:val="18"/>
                <w:szCs w:val="18"/>
              </w:rPr>
              <w:t xml:space="preserve">The non-skippable gate. Every new/add/reduce/exit — and any failed governance check — stops here; logged with the exact registry version.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6F5C"/>
                <w:sz w:val="15"/>
                <w:szCs w:val="15"/>
              </w:rPr>
              <w:t xml:space="preserve">escalation rules</w:t>
            </w:r>
          </w:p>
        </w:tc>
      </w:tr>
      <w:tr>
        <w:tc>
          <w:tcPr>
            <w:tcW w:type="dxa" w:w="2500"/>
            <w:shd w:fill="F5F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before="0" w:line="224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211D"/>
                <w:sz w:val="19"/>
                <w:szCs w:val="19"/>
              </w:rPr>
              <w:t xml:space="preserve">⑩ Streamlit app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4A564F"/>
                <w:sz w:val="15"/>
                <w:szCs w:val="15"/>
              </w:rPr>
              <w:t xml:space="preserve">dashboard/</w:t>
            </w:r>
          </w:p>
        </w:tc>
        <w:tc>
          <w:tcPr>
            <w:tcW w:type="dxa" w:w="4780"/>
            <w:shd w:fill="F5F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36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6211D"/>
                <w:sz w:val="18"/>
                <w:szCs w:val="18"/>
              </w:rPr>
              <w:t xml:space="preserve">12 read-only pages + click-gated buttons: positions, risk, macro/micro KPIs, cycle wheel, ideas, ER reports, buy-side heatmap, news, ops, decisions, company-fit.</w:t>
            </w:r>
          </w:p>
        </w:tc>
        <w:tc>
          <w:tcPr>
            <w:tcW w:type="dxa" w:w="2800"/>
            <w:shd w:fill="F5F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6F5C"/>
                <w:sz w:val="15"/>
                <w:szCs w:val="15"/>
              </w:rPr>
              <w:t xml:space="preserve">DB (read) · CLI subprocess</w:t>
            </w:r>
          </w:p>
        </w:tc>
      </w:tr>
    </w:tbl>
    <w:p>
      <w:pPr>
        <w:pageBreakBefore/>
      </w:pPr>
    </w:p>
    <w:p>
      <w:pPr>
        <w:pBdr>
          <w:bottom w:val="single" w:color="D7E0DB" w:sz="4" w:space="6"/>
        </w:pBdr>
        <w:spacing w:after="120" w:before="160" w:line="240"/>
      </w:pPr>
      <w:r>
        <w:rPr>
          <w:rFonts w:ascii="Segoe UI" w:cs="Segoe UI" w:eastAsia="Segoe UI" w:hAnsi="Segoe UI"/>
          <w:b/>
          <w:bCs/>
          <w:i w:val="false"/>
          <w:iCs w:val="false"/>
          <w:caps/>
          <w:color w:val="4A564F"/>
          <w:spacing w:val="60"/>
          <w:sz w:val="19"/>
          <w:szCs w:val="19"/>
        </w:rPr>
        <w:t xml:space="preserve">How it all connects — two pipelines</w:t>
      </w:r>
    </w:p>
    <w:p>
      <w:pPr>
        <w:spacing w:after="150" w:before="0" w:line="264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4A564F"/>
          <w:sz w:val="20"/>
          <w:szCs w:val="20"/>
        </w:rPr>
        <w:t xml:space="preserve">The same machine runs two flows. The </w:t>
      </w:r>
      <w:r>
        <w:rPr>
          <w:rFonts w:ascii="Segoe UI" w:cs="Segoe UI" w:eastAsia="Segoe UI" w:hAnsi="Segoe UI"/>
          <w:b/>
          <w:bCs/>
          <w:i w:val="false"/>
          <w:iCs w:val="false"/>
          <w:caps w:val="false"/>
          <w:color w:val="0F6F5C"/>
          <w:sz w:val="20"/>
          <w:szCs w:val="20"/>
        </w:rPr>
        <w:t xml:space="preserve">green gate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4A564F"/>
          <w:sz w:val="20"/>
          <w:szCs w:val="20"/>
        </w:rPr>
        <w:t xml:space="preserve"> is where you decide.</w:t>
      </w:r>
    </w:p>
    <w:tbl>
      <w:tblPr>
        <w:tblW w:type="dxa" w:w="10080"/>
        <w:tblBorders>
          <w:top w:val="single" w:color="D7E0DB" w:sz="4"/>
          <w:left w:val="single" w:color="D7E0DB" w:sz="4"/>
          <w:bottom w:val="single" w:color="D7E0DB" w:sz="4"/>
          <w:right w:val="single" w:color="D7E0DB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FFFFF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100" w:before="0" w:line="2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/>
                <w:color w:val="0F6F5C"/>
                <w:spacing w:val="60"/>
                <w:sz w:val="16"/>
                <w:szCs w:val="16"/>
              </w:rPr>
              <w:t xml:space="preserve">A · Fund pipeline — regime &amp; ideas → decision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6211D"/>
                <w:sz w:val="17"/>
                <w:szCs w:val="17"/>
              </w:rPr>
              <w:t xml:space="preserve">daily data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4A564F"/>
                <w:sz w:val="16"/>
                <w:szCs w:val="16"/>
              </w:rPr>
              <w:t xml:space="preserve">  →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6211D"/>
                <w:sz w:val="17"/>
                <w:szCs w:val="17"/>
              </w:rPr>
              <w:t xml:space="preserve">cycle assessment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4A564F"/>
                <w:sz w:val="16"/>
                <w:szCs w:val="16"/>
              </w:rPr>
              <w:t xml:space="preserve">  →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6211D"/>
                <w:sz w:val="17"/>
                <w:szCs w:val="17"/>
              </w:rPr>
              <w:t xml:space="preserve">4-gate funnel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4A564F"/>
                <w:sz w:val="16"/>
                <w:szCs w:val="16"/>
              </w:rPr>
              <w:t xml:space="preserve">  →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6211D"/>
                <w:sz w:val="17"/>
                <w:szCs w:val="17"/>
              </w:rPr>
              <w:t xml:space="preserve">idea_gen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4A564F"/>
                <w:sz w:val="16"/>
                <w:szCs w:val="16"/>
              </w:rPr>
              <w:t xml:space="preserve">  →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6211D"/>
                <w:sz w:val="17"/>
                <w:szCs w:val="17"/>
              </w:rPr>
              <w:t xml:space="preserve">synthesis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4A564F"/>
                <w:sz w:val="16"/>
                <w:szCs w:val="16"/>
              </w:rPr>
              <w:t xml:space="preserve">  →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6211D"/>
                <w:sz w:val="17"/>
                <w:szCs w:val="17"/>
              </w:rPr>
              <w:t xml:space="preserve">critique + premortem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4A564F"/>
                <w:sz w:val="16"/>
                <w:szCs w:val="16"/>
              </w:rPr>
              <w:t xml:space="preserve">  →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6211D"/>
                <w:sz w:val="17"/>
                <w:szCs w:val="17"/>
              </w:rPr>
              <w:t xml:space="preserve">risk (cycle-aware)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4A564F"/>
                <w:sz w:val="16"/>
                <w:szCs w:val="16"/>
              </w:rPr>
              <w:t xml:space="preserve">  →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6211D"/>
                <w:sz w:val="17"/>
                <w:szCs w:val="17"/>
              </w:rPr>
              <w:t xml:space="preserve">allocator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4A564F"/>
                <w:sz w:val="16"/>
                <w:szCs w:val="16"/>
              </w:rPr>
              <w:t xml:space="preserve">  →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6211D"/>
                <w:sz w:val="17"/>
                <w:szCs w:val="17"/>
              </w:rPr>
              <w:t xml:space="preserve">fund_manager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4A564F"/>
                <w:sz w:val="16"/>
                <w:szCs w:val="16"/>
              </w:rPr>
              <w:t xml:space="preserve">  →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0F6F5C"/>
                <w:sz w:val="17"/>
                <w:szCs w:val="17"/>
              </w:rPr>
              <w:t xml:space="preserve">HUMAN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4A564F"/>
                <w:sz w:val="16"/>
                <w:szCs w:val="16"/>
              </w:rPr>
              <w:t xml:space="preserve">  →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6211D"/>
                <w:sz w:val="17"/>
                <w:szCs w:val="17"/>
              </w:rPr>
              <w:t xml:space="preserve">decision log</w:t>
            </w:r>
          </w:p>
        </w:tc>
      </w:tr>
    </w:tbl>
    <w:p>
      <w:pPr>
        <w:spacing w:after="120" w:before="0" w:line="1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16211D"/>
          <w:sz w:val="20"/>
          <w:szCs w:val="20"/>
        </w:rPr>
        <w:t xml:space="preserve"/>
      </w:r>
    </w:p>
    <w:tbl>
      <w:tblPr>
        <w:tblW w:type="dxa" w:w="10080"/>
        <w:tblBorders>
          <w:top w:val="single" w:color="D7E0DB" w:sz="4"/>
          <w:left w:val="single" w:color="D7E0DB" w:sz="4"/>
          <w:bottom w:val="single" w:color="D7E0DB" w:sz="4"/>
          <w:right w:val="single" w:color="D7E0DB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FFFFF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100" w:before="0" w:line="2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/>
                <w:color w:val="0F6F5C"/>
                <w:spacing w:val="60"/>
                <w:sz w:val="16"/>
                <w:szCs w:val="16"/>
              </w:rPr>
              <w:t xml:space="preserve">B · Research pipeline — ticker → deep research → buy-side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6211D"/>
                <w:sz w:val="17"/>
                <w:szCs w:val="17"/>
              </w:rPr>
              <w:t xml:space="preserve">fetch filings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4A564F"/>
                <w:sz w:val="16"/>
                <w:szCs w:val="16"/>
              </w:rPr>
              <w:t xml:space="preserve">  →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6211D"/>
                <w:sz w:val="17"/>
                <w:szCs w:val="17"/>
              </w:rPr>
              <w:t xml:space="preserve">convert · triage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4A564F"/>
                <w:sz w:val="16"/>
                <w:szCs w:val="16"/>
              </w:rPr>
              <w:t xml:space="preserve">  →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6211D"/>
                <w:sz w:val="17"/>
                <w:szCs w:val="17"/>
              </w:rPr>
              <w:t xml:space="preserve">business-model spine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4A564F"/>
                <w:sz w:val="16"/>
                <w:szCs w:val="16"/>
              </w:rPr>
              <w:t xml:space="preserve">  →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6211D"/>
                <w:sz w:val="17"/>
                <w:szCs w:val="17"/>
              </w:rPr>
              <w:t xml:space="preserve">extract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4A564F"/>
                <w:sz w:val="16"/>
                <w:szCs w:val="16"/>
              </w:rPr>
              <w:t xml:space="preserve">  →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6211D"/>
                <w:sz w:val="17"/>
                <w:szCs w:val="17"/>
              </w:rPr>
              <w:t xml:space="preserve">compute: statement · EPS-bridge · xlsx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4A564F"/>
                <w:sz w:val="16"/>
                <w:szCs w:val="16"/>
              </w:rPr>
              <w:t xml:space="preserve">  →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6211D"/>
                <w:sz w:val="17"/>
                <w:szCs w:val="17"/>
              </w:rPr>
              <w:t xml:space="preserve">analyze · research↺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4A564F"/>
                <w:sz w:val="16"/>
                <w:szCs w:val="16"/>
              </w:rPr>
              <w:t xml:space="preserve">  →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6211D"/>
                <w:sz w:val="17"/>
                <w:szCs w:val="17"/>
              </w:rPr>
              <w:t xml:space="preserve">verify · render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4A564F"/>
                <w:sz w:val="16"/>
                <w:szCs w:val="16"/>
              </w:rPr>
              <w:t xml:space="preserve">  →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6211D"/>
                <w:sz w:val="17"/>
                <w:szCs w:val="17"/>
              </w:rPr>
              <w:t xml:space="preserve">valuation handoff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4A564F"/>
                <w:sz w:val="16"/>
                <w:szCs w:val="16"/>
              </w:rPr>
              <w:t xml:space="preserve">  →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0F6F5C"/>
                <w:sz w:val="17"/>
                <w:szCs w:val="17"/>
              </w:rPr>
              <w:t xml:space="preserve">buy_side → 5×5 heatmap</w:t>
            </w:r>
          </w:p>
        </w:tc>
      </w:tr>
    </w:tbl>
    <w:p>
      <w:pPr>
        <w:spacing w:after="120" w:before="0" w:line="1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16211D"/>
          <w:sz w:val="20"/>
          <w:szCs w:val="20"/>
        </w:rPr>
        <w:t xml:space="preserve"/>
      </w:r>
    </w:p>
    <w:p>
      <w:pPr>
        <w:spacing w:after="200" w:before="0" w:line="272"/>
      </w:pPr>
      <w:r>
        <w:rPr>
          <w:rFonts w:ascii="Segoe UI" w:cs="Segoe UI" w:eastAsia="Segoe UI" w:hAnsi="Segoe UI"/>
          <w:b/>
          <w:bCs/>
          <w:i w:val="false"/>
          <w:iCs w:val="false"/>
          <w:caps w:val="false"/>
          <w:color w:val="16211D"/>
          <w:sz w:val="19"/>
          <w:szCs w:val="19"/>
        </w:rPr>
        <w:t xml:space="preserve">Pipeline B feeds gate-2 fundamentals back into A.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4A564F"/>
          <w:sz w:val="19"/>
          <w:szCs w:val="19"/>
        </w:rPr>
        <w:t xml:space="preserve">Cross-cutting: every agent gets an injection-defense preamble + sanitized inputs; every call logs its token cost; meta-research reviews the decision log and proposes (never applies) rule changes; a 5-store memory returns precedent into future packets.</w:t>
      </w:r>
    </w:p>
    <w:p>
      <w:pPr>
        <w:pBdr>
          <w:bottom w:val="single" w:color="D7E0DB" w:sz="4" w:space="6"/>
        </w:pBdr>
        <w:spacing w:after="120" w:before="160" w:line="240"/>
      </w:pPr>
      <w:r>
        <w:rPr>
          <w:rFonts w:ascii="Segoe UI" w:cs="Segoe UI" w:eastAsia="Segoe UI" w:hAnsi="Segoe UI"/>
          <w:b/>
          <w:bCs/>
          <w:i w:val="false"/>
          <w:iCs w:val="false"/>
          <w:caps/>
          <w:color w:val="4A564F"/>
          <w:spacing w:val="60"/>
          <w:sz w:val="19"/>
          <w:szCs w:val="19"/>
        </w:rPr>
        <w:t xml:space="preserve">Planned but not yet done</w:t>
      </w:r>
    </w:p>
    <w:p>
      <w:pPr>
        <w:spacing w:after="150" w:before="0" w:line="264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4A564F"/>
          <w:sz w:val="20"/>
          <w:szCs w:val="20"/>
        </w:rPr>
        <w:t xml:space="preserve">The system is wired end-to-end and tested; these await an install, a manual step, real data, or your calibration.</w:t>
      </w:r>
    </w:p>
    <w:tbl>
      <w:tblPr>
        <w:tblW w:type="dxa" w:w="10080"/>
        <w:tblBorders>
          <w:top w:val="single" w:color="D7E0DB" w:sz="2"/>
          <w:left w:val="none"/>
          <w:bottom w:val="single" w:color="D7E0DB" w:sz="2"/>
          <w:right w:val="none"/>
          <w:insideH w:val="single" w:color="D7E0DB" w:sz="2"/>
          <w:insideV w:val="none"/>
        </w:tblBorders>
      </w:tblPr>
      <w:tblGrid>
        <w:gridCol w:w="1700"/>
        <w:gridCol w:w="8380"/>
      </w:tblGrid>
      <w:tr>
        <w:tc>
          <w:tcPr>
            <w:tcW w:type="dxa" w:w="1700"/>
            <w:shd w:fill="F4E1D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00"/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/>
                <w:color w:val="A6402F"/>
                <w:spacing w:val="30"/>
                <w:sz w:val="14"/>
                <w:szCs w:val="14"/>
              </w:rPr>
              <w:t xml:space="preserve">Deferred</w:t>
            </w:r>
          </w:p>
        </w:tc>
        <w:tc>
          <w:tcPr>
            <w:tcW w:type="dxa" w:w="83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before="0" w:line="23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211D"/>
                <w:sz w:val="19"/>
                <w:szCs w:val="19"/>
              </w:rPr>
              <w:t xml:space="preserve">Playwright install (~200 MB, one-time)</w:t>
            </w:r>
          </w:p>
          <w:p>
            <w:pPr>
              <w:spacing w:after="0" w:before="0" w:line="236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4A564F"/>
                <w:sz w:val="17"/>
                <w:szCs w:val="17"/>
              </w:rPr>
              <w:t xml:space="preserve">The headline full-scale gap. Unblocks VAHAN vehicle registrations and the HDFC / SBI / Kotak AMC portfolio scrapes — all JS / bot-walled, no plain-request path exists.</w:t>
            </w:r>
          </w:p>
        </w:tc>
      </w:tr>
      <w:tr>
        <w:tc>
          <w:tcPr>
            <w:tcW w:type="dxa" w:w="1700"/>
            <w:shd w:fill="F4E1D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00"/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/>
                <w:color w:val="A6402F"/>
                <w:spacing w:val="30"/>
                <w:sz w:val="14"/>
                <w:szCs w:val="14"/>
              </w:rPr>
              <w:t xml:space="preserve">Not built</w:t>
            </w:r>
          </w:p>
        </w:tc>
        <w:tc>
          <w:tcPr>
            <w:tcW w:type="dxa" w:w="83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before="0" w:line="23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211D"/>
                <w:sz w:val="19"/>
                <w:szCs w:val="19"/>
              </w:rPr>
              <w:t xml:space="preserve">AMC portfolio processing</w:t>
            </w:r>
          </w:p>
          <w:p>
            <w:pPr>
              <w:spacing w:after="0" w:before="0" w:line="236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4A564F"/>
                <w:sz w:val="17"/>
                <w:szCs w:val="17"/>
              </w:rPr>
              <w:t xml:space="preserve">Downloads work (Nippon live). Parsing monthly holdings Excel into positions — and the MF look-through / concentration analysis — is future scope you'll spec.</w:t>
            </w:r>
          </w:p>
        </w:tc>
      </w:tr>
      <w:tr>
        <w:tc>
          <w:tcPr>
            <w:tcW w:type="dxa" w:w="1700"/>
            <w:shd w:fill="F6EC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00"/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/>
                <w:color w:val="9C6410"/>
                <w:spacing w:val="30"/>
                <w:sz w:val="14"/>
                <w:szCs w:val="14"/>
              </w:rPr>
              <w:t xml:space="preserve">Staged</w:t>
            </w:r>
          </w:p>
        </w:tc>
        <w:tc>
          <w:tcPr>
            <w:tcW w:type="dxa" w:w="83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before="0" w:line="23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211D"/>
                <w:sz w:val="19"/>
                <w:szCs w:val="19"/>
              </w:rPr>
              <w:t xml:space="preserve">Full-universe fundamentals scrape</w:t>
            </w:r>
          </w:p>
          <w:p>
            <w:pPr>
              <w:spacing w:after="0" w:before="0" w:line="236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4A564F"/>
                <w:sz w:val="17"/>
                <w:szCs w:val="17"/>
              </w:rPr>
              <w:t xml:space="preserve">Screener scrape runs ~100 names/run (~7–8 runs for all 751); ~46 have fundamentals so far. Each run flips company-fit data_gap → live and powers the funnel's quality gate.</w:t>
            </w:r>
          </w:p>
        </w:tc>
      </w:tr>
      <w:tr>
        <w:tc>
          <w:tcPr>
            <w:tcW w:type="dxa" w:w="1700"/>
            <w:shd w:fill="F6EC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00"/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/>
                <w:color w:val="9C6410"/>
                <w:spacing w:val="30"/>
                <w:sz w:val="14"/>
                <w:szCs w:val="14"/>
              </w:rPr>
              <w:t xml:space="preserve">Manual</w:t>
            </w:r>
          </w:p>
        </w:tc>
        <w:tc>
          <w:tcPr>
            <w:tcW w:type="dxa" w:w="83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before="0" w:line="23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211D"/>
                <w:sz w:val="19"/>
                <w:szCs w:val="19"/>
              </w:rPr>
              <w:t xml:space="preserve">EPFO · NPCI · PPAC · power · rail · steel · DGCA macro</w:t>
            </w:r>
          </w:p>
          <w:p>
            <w:pPr>
              <w:spacing w:after="0" w:before="0" w:line="236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4A564F"/>
                <w:sz w:val="17"/>
                <w:szCs w:val="17"/>
              </w:rPr>
              <w:t xml:space="preserve">WAF-blocked, 403, or PDF/JS-only. Documented manual-download paths exist; scripted ingestion not built (mostly low marginal signal vs effort).</w:t>
            </w:r>
          </w:p>
        </w:tc>
      </w:tr>
      <w:tr>
        <w:tc>
          <w:tcPr>
            <w:tcW w:type="dxa" w:w="1700"/>
            <w:shd w:fill="F6EC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00"/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/>
                <w:color w:val="9C6410"/>
                <w:spacing w:val="30"/>
                <w:sz w:val="14"/>
                <w:szCs w:val="14"/>
              </w:rPr>
              <w:t xml:space="preserve">Not run</w:t>
            </w:r>
          </w:p>
        </w:tc>
        <w:tc>
          <w:tcPr>
            <w:tcW w:type="dxa" w:w="83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before="0" w:line="23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211D"/>
                <w:sz w:val="19"/>
                <w:szCs w:val="19"/>
              </w:rPr>
              <w:t xml:space="preserve">First live ER run on a real ticker</w:t>
            </w:r>
          </w:p>
          <w:p>
            <w:pPr>
              <w:spacing w:after="0" w:before="0" w:line="236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4A564F"/>
                <w:sz w:val="17"/>
                <w:szCs w:val="17"/>
              </w:rPr>
              <w:t xml:space="preserve">Pipeline wired; KPITTECH's filings staged (75 MB). One session produces the first real dossier + valuation handoff + gate-2 fundamentals.</w:t>
            </w:r>
          </w:p>
        </w:tc>
      </w:tr>
      <w:tr>
        <w:tc>
          <w:tcPr>
            <w:tcW w:type="dxa" w:w="1700"/>
            <w:shd w:fill="E1EF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00"/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/>
                <w:color w:val="0F6F5C"/>
                <w:spacing w:val="30"/>
                <w:sz w:val="14"/>
                <w:szCs w:val="14"/>
              </w:rPr>
              <w:t xml:space="preserve">Draft</w:t>
            </w:r>
          </w:p>
        </w:tc>
        <w:tc>
          <w:tcPr>
            <w:tcW w:type="dxa" w:w="83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before="0" w:line="23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211D"/>
                <w:sz w:val="19"/>
                <w:szCs w:val="19"/>
              </w:rPr>
              <w:t xml:space="preserve">Strategy threshold calibration &amp; back-testing</w:t>
            </w:r>
          </w:p>
          <w:p>
            <w:pPr>
              <w:spacing w:after="0" w:before="0" w:line="236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4A564F"/>
                <w:sz w:val="17"/>
                <w:szCs w:val="17"/>
              </w:rPr>
              <w:t xml:space="preserve">Every cycle-framework band and EPS-bridge threshold is DRAFT until calibrated / back-tested. Also pending: external calibration data to benchmark the fund-manager agent.</w:t>
            </w:r>
          </w:p>
        </w:tc>
      </w:tr>
      <w:tr>
        <w:tc>
          <w:tcPr>
            <w:tcW w:type="dxa" w:w="1700"/>
            <w:shd w:fill="E1EF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00"/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/>
                <w:color w:val="0F6F5C"/>
                <w:spacing w:val="30"/>
                <w:sz w:val="14"/>
                <w:szCs w:val="14"/>
              </w:rPr>
              <w:t xml:space="preserve">Pending</w:t>
            </w:r>
          </w:p>
        </w:tc>
        <w:tc>
          <w:tcPr>
            <w:tcW w:type="dxa" w:w="83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before="0" w:line="23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211D"/>
                <w:sz w:val="19"/>
                <w:szCs w:val="19"/>
              </w:rPr>
              <w:t xml:space="preserve">Mcap/GDP &amp; fresh CPI</w:t>
            </w:r>
          </w:p>
          <w:p>
            <w:pPr>
              <w:spacing w:after="0" w:before="0" w:line="236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4A564F"/>
                <w:sz w:val="17"/>
                <w:szCs w:val="17"/>
              </w:rPr>
              <w:t xml:space="preserve">GDP series is manual → the GDP-business cycle stays data_pending (has GST/ICI supplementary anchors). FRED CPI lags ~15 mo → inflation cycle reads data_stale until the MOSPI manual route lands.</w:t>
            </w:r>
          </w:p>
        </w:tc>
      </w:tr>
    </w:tbl>
    <w:p>
      <w:pPr>
        <w:spacing w:after="220" w:before="0" w:line="1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16211D"/>
          <w:sz w:val="20"/>
          <w:szCs w:val="20"/>
        </w:rPr>
        <w:t xml:space="preserve"/>
      </w:r>
    </w:p>
    <w:p>
      <w:pPr>
        <w:pBdr>
          <w:top w:val="single" w:color="D7E0DB" w:sz="4" w:space="8"/>
        </w:pBdr>
        <w:spacing w:before="80" w:line="240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16211D"/>
          <w:sz w:val="15"/>
          <w:szCs w:val="15"/>
        </w:rPr>
        <w:t xml:space="preserve">Reference: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4A564F"/>
          <w:sz w:val="15"/>
          <w:szCs w:val="15"/>
        </w:rPr>
        <w:t xml:space="preserve">docs/ARCHITECTURE.md   docs/SYSTEM_MAP.md   docs/RUNBOOK.md   CLAUDE.md  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0F6F5C"/>
          <w:sz w:val="15"/>
          <w:szCs w:val="15"/>
        </w:rPr>
        <w:t xml:space="preserve">first live call: KPITTECH — MONITOR_ONLY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6211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AI-Native Fund — Architecture</dc:title>
  <dc:creator>AI-Native Fund</dc:creator>
  <cp:lastModifiedBy>Un-named</cp:lastModifiedBy>
  <cp:revision>1</cp:revision>
  <dcterms:created xsi:type="dcterms:W3CDTF">2026-07-23T06:48:08.834Z</dcterms:created>
  <dcterms:modified xsi:type="dcterms:W3CDTF">2026-07-23T06:48:08.835Z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