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B2A4A"/>
          <w:sz w:val="18"/>
          <w:szCs w:val="18"/>
        </w:rPr>
        <w:t xml:space="preserve">BUY-SIDE RESEARCH</w:t>
      </w:r>
      <w:r>
        <w:rPr>
          <w:rFonts w:ascii="Calibri" w:cs="Calibri" w:eastAsia="Calibri" w:hAnsi="Calibri"/>
          <w:color w:val="44546A"/>
          <w:sz w:val="17"/>
          <w:szCs w:val="17"/>
        </w:rPr>
        <w:t xml:space="preserve">    |    INDEPENDENT NOTE — EPS-BRIDGE DOCTRINE — INTERNAL</w:t>
      </w:r>
    </w:p>
    <w:p>
      <w:pPr>
        <w:pBdr>
          <w:bottom w:val="single" w:color="1B2A4A" w:sz="18" w:space="4"/>
        </w:pBdr>
        <w:spacing w:after="220"/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1B2A4A"/>
          <w:sz w:val="40"/>
          <w:szCs w:val="40"/>
        </w:rPr>
        <w:t xml:space="preserve">National Aluminium Company Limited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NSE: NATIONALUM  |  Metals &amp; Mining — Aluminium  |  India  |  15 July 2026</w:t>
      </w:r>
    </w:p>
    <w:p>
      <w:pPr>
        <w:spacing w:after="240"/>
      </w:pPr>
      <w:r>
        <w:rPr>
          <w:rFonts w:ascii="Georgia" w:cs="Georgia" w:eastAsia="Georgia" w:hAnsi="Georgia"/>
          <w:color w:val="1A1A1A"/>
          <w:sz w:val="25"/>
          <w:szCs w:val="25"/>
        </w:rPr>
        <w:t xml:space="preserve">NALCO — Buy-Side EPS-Bridge Note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Conviction</w:t>
            </w:r>
          </w:p>
        </w:tc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CMP</w:t>
            </w:r>
          </w:p>
        </w:tc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Base Target</w:t>
            </w:r>
          </w:p>
        </w:tc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Downside</w:t>
            </w:r>
          </w:p>
        </w:tc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Fwd P/E vs 5y Median</w:t>
            </w:r>
          </w:p>
        </w:tc>
      </w:tr>
      <w:tr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AVOID (do not initiate)</w:t>
            </w:r>
          </w:p>
        </w:tc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0.72</w:t>
            </w:r>
          </w:p>
        </w:tc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₹361.65</w:t>
            </w:r>
          </w:p>
        </w:tc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₹248.32</w:t>
            </w:r>
          </w:p>
        </w:tc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~31%</w:t>
            </w:r>
          </w:p>
        </w:tc>
        <w:tc>
          <w:tcPr>
            <w:tcW w:type="dxa" w:w="165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11.0x / 11.7x  vs.  7.58x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19"/>
          <w:szCs w:val="19"/>
        </w:rPr>
        <w:t xml:space="preserve">Independent buy-side rerating call on National Aluminium Company Ltd (NSE: NATIONALUM). CMP ₹361.65 (2026-07-15). Basis: consolidated estimates, standalone historicals where noted. All facts cite the handoff/dossier registry. This note is independent of the sell-side REDUCE and reaches its conclusion from the EPS-bridge doctrine alone.</w:t>
      </w:r>
    </w:p>
    <w:p>
      <w:pPr>
        <w:spacing w:after="40" w:before="28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1.  Verdict up front</w:t>
      </w:r>
    </w:p>
    <w:p>
      <w:pPr>
        <w:pBdr>
          <w:bottom w:val="single" w:color="D9D9D9" w:sz="4" w:space="4"/>
        </w:pBdr>
        <w:spacing w:after="14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Recommendation: AVOID (do not initiate at CMP). Conviction 0.72. This is not a quality verdict — the business is sound. It is a rerating verdict, and the rerating case fails at the first rung. Under the doctrine, PE re-rates only when EPS growth is consistent and &gt;20% while the starting PE is low relative to that growth. NALCO offers a base-case 2yr EPS CAGR of −0.98% (F-EST-01) at a fwd PE of 11.0x/11.7x (S1396/S1397) — flat-to-down earnings at a multiple that is ~2x the stock's own five-year band ceiling (4.6x–8.7x, median 7.6x; pe_bands). Every ingredient the doctrine requires for a rerating is inverted: growth is absent, and the starting multiple is already at a record high. This is a de-rating setup, not a re-rating one.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17"/>
          <w:szCs w:val="17"/>
        </w:rPr>
        <w:t xml:space="preserve">Footnote on the band: the 7.6x median / 4.6x–8.7x band (pe_bands, min/p25/median/p75/max = 4.61/6.39/7.58/8.20/8.66) rolls the FY2026 unaudited cross-check year forward. The dossier's own strictly-audited FY2021–FY2025 P/E-on-average-price band is 4.1x–8.4x, median ~6.3x. Both are from source and differ by window, not by error (dossier §7.1).</w:t>
      </w:r>
    </w:p>
    <w:p>
      <w:pPr>
        <w:spacing w:after="40" w:before="28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2.  The EPS = Price × PE frame — the rerating condition fails on both legs</w:t>
      </w:r>
    </w:p>
    <w:p>
      <w:pPr>
        <w:pBdr>
          <w:bottom w:val="single" w:color="D9D9D9" w:sz="4" w:space="4"/>
        </w:pBdr>
        <w:spacing w:after="14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one PASS in the checker (eps_growth_20pct, FY2025 +164.82%) is a thin, single-year print and the doctrine explicitly disqualifies it: “a single strong year is not consistency.” That +165% was a cyclical LME/alumina realization spike (EBITDA margin 24.9%→44.6%, +1,966bps, F-DER-FUN-03/04), not a structural step-up — and the reversal is already visible (Q4 FY2026 PAT −17.4% YoY, S693). The revenue_growth_consistency rule correctly FAILs (FY2024 −7.76% breaks the floor; the five-year series is 58.7/0.3/−7.8/27.7/6.3 — the signature of a price-taker, not a compounder). Consistency is the gate, and NALCO does not clear it. Starting PE is not low relative to growth; it is high relative to no growth.</w:t>
      </w:r>
    </w:p>
    <w:p>
      <w:pPr>
        <w:spacing w:after="40" w:before="28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3.  EPS decomposition ladder (volume / price / mix / cost / leverage)</w:t>
      </w:r>
    </w:p>
    <w:p>
      <w:pPr>
        <w:pBdr>
          <w:bottom w:val="single" w:color="D9D9D9" w:sz="4" w:space="4"/>
        </w:pBdr>
        <w:spacing w:after="14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deterministic checker is 1 PASS / 1 FAIL / 7 NA — the seven NAs are extraction-sparsity artifacts (no gross-margin, receivables, interest-vs-EBIT, dilution, CFO-expansion, D&amp;A-adjusted or coverage series could be built), not passes. Bridge reconstructed from the handoff and dossier: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7547"/>
      </w:tblGrid>
      <w:tr>
        <w:trPr>
          <w:tblHeader/>
        </w:trPr>
        <w:tc>
          <w:tcPr>
            <w:tcW w:type="dxa" w:w="23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Lever</w:t>
            </w:r>
          </w:p>
        </w:tc>
        <w:tc>
          <w:tcPr>
            <w:tcW w:type="dxa" w:w="754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3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Volume</w:t>
            </w:r>
          </w:p>
        </w:tc>
        <w:tc>
          <w:tcPr>
            <w:tcW w:type="dxa" w:w="754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Only credible growth lever. Metal volumes near rated smelter capacity (~4.6–4.7 lakh MT), guidance credibility high (470K guided vs 471K actual, &lt;0.3% miss; guidance_ledger). But capacity-constrained volume caps upside — it cannot compound.</w:t>
            </w:r>
          </w:p>
        </w:tc>
      </w:tr>
      <w:tr>
        <w:tc>
          <w:tcPr>
            <w:tcW w:type="dxa" w:w="23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Price</w:t>
            </w:r>
          </w:p>
        </w:tc>
        <w:tc>
          <w:tcPr>
            <w:tcW w:type="dxa" w:w="754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dominant and uncontrollable driver. Realization is spot/LME-linked, repriced every 3 days, near-zero hedging (F-FUND-01). Base case anchors to World Bank/Platts normalization off the FY26 peak (metal ~$3,000/t, alumina ~$300–310/t) — a fade, not a tailwind. Alumina structural oversupply (Indonesian ramp to 7 MTpa by CY2026, F-EXT-1211) compressed the alumina-to-LME premium from 15–17% to 11–11.5% (GD-Q4-035).</w:t>
            </w:r>
          </w:p>
        </w:tc>
      </w:tr>
      <w:tr>
        <w:tc>
          <w:tcPr>
            <w:tcW w:type="dxa" w:w="23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</w:t>
            </w:r>
          </w:p>
        </w:tc>
        <w:tc>
          <w:tcPr>
            <w:tcW w:type="dxa" w:w="754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Shift to 73/27 metal/alumina is framed as margin-supportive (QT-Q4-075), but segment-EBIT data is non-monotonic (Aluminium EBIT share fell 61.2%→55.5% FY24→FY25, F-DER-FUN-07/08) — the mix story is not a clean, durable margin driver (OQ-FUND-08).</w:t>
            </w:r>
          </w:p>
        </w:tc>
      </w:tr>
      <w:tr>
        <w:tc>
          <w:tcPr>
            <w:tcW w:type="dxa" w:w="23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</w:t>
            </w:r>
          </w:p>
        </w:tc>
        <w:tc>
          <w:tcPr>
            <w:tcW w:type="dxa" w:w="754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genuine positive. Caustic soda 121→99 kg/t (~₹129cr, GD-Q3-014); captive coal +41.84% YoY toward ~4 MTpa; Pottangi captive bauxite (MDO awarded Dec-2025, F-EXT-1152) as a medium-term input-cost offset. A cost-structure moat that defends margin in a downturn — it does not drive earnings growth or justify multiple expansion (moat composite 4.3/10; F-VAL-09).</w:t>
            </w:r>
          </w:p>
        </w:tc>
      </w:tr>
      <w:tr>
        <w:tc>
          <w:tcPr>
            <w:tcW w:type="dxa" w:w="23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Operating leverage / D&amp;A</w:t>
            </w:r>
          </w:p>
        </w:tc>
        <w:tc>
          <w:tcPr>
            <w:tcW w:type="dxa" w:w="754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operating-leverage tailwind ahead (revenue flat FY27E→FY28E, −1.25%). D&amp;A rises 745→857→895 on the capex build, a mechanical drag on EPS as capacity depreciates ahead of the ramp (dna_adjusted_eps_growth NA — flagged, not passed).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2"/>
              <w:left w:val="single" w:color="1B2A4A" w:sz="24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9"/>
                <w:szCs w:val="19"/>
              </w:rPr>
              <w:t xml:space="preserve">BRIDGE VERDICT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Volume capped, price fading, mix ambiguous, cost helpful but defensive, leverage negative. The bridge does not build to &gt;20% consistent EPS growth — it builds to roughly flat.</w:t>
            </w:r>
          </w:p>
        </w:tc>
      </w:tr>
    </w:tbl>
    <w:p>
      <w:pPr>
        <w:spacing w:after="120"/>
      </w:pPr>
    </w:p>
    <w:p>
      <w:pPr>
        <w:spacing w:after="40" w:before="28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4.  Funding discipline &amp; working capital (doctrine rungs iii–iv)</w:t>
      </w:r>
    </w:p>
    <w:p>
      <w:pPr>
        <w:pBdr>
          <w:bottom w:val="single" w:color="D9D9D9" w:sz="4" w:space="4"/>
        </w:pBdr>
        <w:spacing w:after="14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These rungs are where NALCO scores best, but they are not rerating catalysts. Funding-quality hierarchy: tier 1 (internally funded) — near-debt-free (D/E ~0.0, interest coverage 152x–172x FY22/23; interest just ₹59–129cr against EBITDA ~₹8,600cr). The 5th-stream capex has been self-funded from operating cash. This is the best rung on the sheet — but a pre-existing multi-year condition (F-FUND-07), so it cannot explain a rerating over the last 12–18 months. No dilution risk (GoI-majority, no ESOP/QIP; dilution_consecutive NA but functionally clean). CFO positive through expansion (FY2025 CFO ₹5,806cr; cfo_positive_expansion NA only for lack of ≥3 net-capex periods). Working capital immaterial — DSO ~4 days on ~1.1% of sales; the DSO flags (RF-002/003) were dismissed on materiality. A clean, near-debt-free balance sheet with disciplined funding is a floor under the business, not a lever under the multiple.</w:t>
      </w:r>
    </w:p>
    <w:p>
      <w:pPr>
        <w:spacing w:after="40" w:before="28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5.  Qualitative gate (doctrine rung v) — split verdict, growth lever fails</w:t>
      </w:r>
    </w:p>
    <w:p>
      <w:pPr>
        <w:pBdr>
          <w:bottom w:val="single" w:color="D9D9D9" w:sz="4" w:space="4"/>
        </w:pBdr>
        <w:spacing w:after="14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doctrine requires management to be actively delivering the exact strategies (positioning, share capture, portfolio expansion) with a delivery-vs-promise track record. NALCO splits: passes on what it controls — metal volume (high credibility) and cost efficiency (medium-high, captive coal delivered). Fails on the single largest swing factor. The 5th-stream alumina refinery — the only near-term growth lever — has low guidance credibility: contribution cut ~40% in-year (500kt→300kt→200kt, RF-GUI-01 confirmed), commissioning slipped from the guided Jun-2026 date and remains unconfirmed as of Jul-2026 (tender pre-bid, F-EXT-1150), consistent with an ~18-month historical slippage pattern. Capex overruns ~20% recurringly (F-FUND-04). Governance is Amber (73.3) with a confirmed, fined LODR board-composition breach (F-EXT-1155) and an open CBI probe (F-EXT-1156). Per the doctrine: “a numerically clean bridge from a management team that fails this gate is not sufficient on its own.” Here the bridge is not even clean and the growth-lever gate fails. Management's own tone is “Bullish/self-confident” (rating.variant_view) precisely on the lowest-credibility families.</w:t>
      </w:r>
    </w:p>
    <w:p>
      <w:pPr>
        <w:spacing w:after="40" w:before="28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6.  What entry price/multiple would make this attractive</w:t>
      </w:r>
    </w:p>
    <w:p>
      <w:pPr>
        <w:pBdr>
          <w:bottom w:val="single" w:color="D9D9D9" w:sz="4" w:space="4"/>
        </w:pBdr>
        <w:spacing w:after="14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Under the doctrine, absent consistent &gt;20% growth, the only route to attractiveness is a low starting PE — mean-reversion to the cyclically-appropriate band, not a rerating. On base FY27E EPS 32.76 (S1390):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7"/>
        <w:gridCol w:w="1475"/>
        <w:gridCol w:w="2107"/>
        <w:gridCol w:w="4215"/>
      </w:tblGrid>
      <w:tr>
        <w:trPr>
          <w:tblHeader/>
        </w:trPr>
        <w:tc>
          <w:tcPr>
            <w:tcW w:type="dxa" w:w="210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Multiple</w:t>
            </w:r>
          </w:p>
        </w:tc>
        <w:tc>
          <w:tcPr>
            <w:tcW w:type="dxa" w:w="147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P/E</w:t>
            </w:r>
          </w:p>
        </w:tc>
        <w:tc>
          <w:tcPr>
            <w:tcW w:type="dxa" w:w="210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Implied Price</w:t>
            </w:r>
          </w:p>
        </w:tc>
        <w:tc>
          <w:tcPr>
            <w:tcW w:type="dxa" w:w="421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10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5y median</w:t>
            </w:r>
          </w:p>
        </w:tc>
        <w:tc>
          <w:tcPr>
            <w:tcW w:type="dxa" w:w="147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7.6x</w:t>
            </w:r>
          </w:p>
        </w:tc>
        <w:tc>
          <w:tcPr>
            <w:tcW w:type="dxa" w:w="210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~₹249</w:t>
            </w:r>
          </w:p>
        </w:tc>
        <w:tc>
          <w:tcPr>
            <w:tcW w:type="dxa" w:w="421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Fair-cycle value</w:t>
            </w:r>
          </w:p>
        </w:tc>
      </w:tr>
      <w:tr>
        <w:tc>
          <w:tcPr>
            <w:tcW w:type="dxa" w:w="210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p75</w:t>
            </w:r>
          </w:p>
        </w:tc>
        <w:tc>
          <w:tcPr>
            <w:tcW w:type="dxa" w:w="147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8.2x</w:t>
            </w:r>
          </w:p>
        </w:tc>
        <w:tc>
          <w:tcPr>
            <w:tcW w:type="dxa" w:w="210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~₹269</w:t>
            </w:r>
          </w:p>
        </w:tc>
        <w:tc>
          <w:tcPr>
            <w:tcW w:type="dxa" w:w="421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Upper-cycle, still a discount to CMP</w:t>
            </w:r>
          </w:p>
        </w:tc>
      </w:tr>
      <w:tr>
        <w:tc>
          <w:tcPr>
            <w:tcW w:type="dxa" w:w="210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5y max</w:t>
            </w:r>
          </w:p>
        </w:tc>
        <w:tc>
          <w:tcPr>
            <w:tcW w:type="dxa" w:w="147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8.66x</w:t>
            </w:r>
          </w:p>
        </w:tc>
        <w:tc>
          <w:tcPr>
            <w:tcW w:type="dxa" w:w="210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~₹284</w:t>
            </w:r>
          </w:p>
        </w:tc>
        <w:tc>
          <w:tcPr>
            <w:tcW w:type="dxa" w:w="4215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Ceiling the stock has ever paid; still ~21% below CMP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An accumulate-worthy entry under this doctrine would require CMP near ₹250–270 (median-to-p75 on base EPS), i.e. a 25–30% de-rating from here — OR a confirmed rerating catalyst (5th-stream commissioned and ramping, credit-rating upgrade, or index-weight change), of which peer-valuation found none (F-VAL-05). CMP at 11.0x/11.7x fwd is pricing bull-case optionality the numbers do not support.</w:t>
      </w:r>
    </w:p>
    <w:p>
      <w:pPr>
        <w:spacing w:after="40" w:before="28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7.  Scenario inputs (traceable) and base target</w:t>
      </w:r>
    </w:p>
    <w:p>
      <w:pPr>
        <w:pBdr>
          <w:bottom w:val="single" w:color="D9D9D9" w:sz="4" w:space="4"/>
        </w:pBdr>
        <w:spacing w:after="14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EPS scenarios (₹, diluted consolidated)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FY27E EPS</w:t>
            </w:r>
          </w:p>
        </w:tc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FY28E EPS</w:t>
            </w:r>
          </w:p>
        </w:tc>
      </w:tr>
      <w:tr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Bear</w:t>
            </w:r>
          </w:p>
        </w:tc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24.04</w:t>
            </w:r>
          </w:p>
        </w:tc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21.26</w:t>
            </w:r>
          </w:p>
        </w:tc>
      </w:tr>
      <w:tr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Base</w:t>
            </w:r>
          </w:p>
        </w:tc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32.76</w:t>
            </w:r>
          </w:p>
        </w:tc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31.05</w:t>
            </w:r>
          </w:p>
        </w:tc>
      </w:tr>
      <w:tr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Bull</w:t>
            </w:r>
          </w:p>
        </w:tc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38.11</w:t>
            </w:r>
          </w:p>
        </w:tc>
        <w:tc>
          <w:tcPr>
            <w:tcW w:type="dxa" w:w="330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42.42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P/E scenarios (5y historical band, x)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98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198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P25</w:t>
            </w:r>
          </w:p>
        </w:tc>
        <w:tc>
          <w:tcPr>
            <w:tcW w:type="dxa" w:w="198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Median</w:t>
            </w:r>
          </w:p>
        </w:tc>
        <w:tc>
          <w:tcPr>
            <w:tcW w:type="dxa" w:w="198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P75</w:t>
            </w:r>
          </w:p>
        </w:tc>
        <w:tc>
          <w:tcPr>
            <w:tcW w:type="dxa" w:w="198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Max</w:t>
            </w:r>
          </w:p>
        </w:tc>
      </w:tr>
      <w:tr>
        <w:tc>
          <w:tcPr>
            <w:tcW w:type="dxa" w:w="198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4.61x</w:t>
            </w:r>
          </w:p>
        </w:tc>
        <w:tc>
          <w:tcPr>
            <w:tcW w:type="dxa" w:w="198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6.39x</w:t>
            </w:r>
          </w:p>
        </w:tc>
        <w:tc>
          <w:tcPr>
            <w:tcW w:type="dxa" w:w="198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7.58x</w:t>
            </w:r>
          </w:p>
        </w:tc>
        <w:tc>
          <w:tcPr>
            <w:tcW w:type="dxa" w:w="198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8.20x</w:t>
            </w:r>
          </w:p>
        </w:tc>
        <w:tc>
          <w:tcPr>
            <w:tcW w:type="dxa" w:w="1981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8.66x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18"/>
          <w:szCs w:val="18"/>
        </w:rPr>
        <w:t xml:space="preserve">EPS scenarios: S1394/S1395/S1391/S1390/S1392/S1393. PE scenarios: the full 5y historical band (min/p25/median/p75/max, pe_bands), deliberately anchored to history rather than the CMP-implied 11.0x, because the doctrine rerates only on earned consistency, which is absent.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2"/>
              <w:left w:val="single" w:color="B08D57" w:sz="24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B08D57"/>
                <w:sz w:val="19"/>
                <w:szCs w:val="19"/>
              </w:rPr>
              <w:t xml:space="preserve">BASE TARGET: ₹248.32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Base FY27E EPS 32.76 × 5y-median 7.58x — a grid cell, and the doctrine-consistent fair value. This is ~31% below CMP.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2"/>
              <w:left w:val="single" w:color="C4711B" w:sz="24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C4711B"/>
                <w:sz w:val="19"/>
                <w:szCs w:val="19"/>
              </w:rPr>
              <w:t xml:space="preserve">INVALIDATION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5th-stream refinery confirmed commissioned AND ramping ≥200kt within one quarter of a re-guided date (Q1 FY27 call, ~Aug-2026), OR LME aluminium sustained &gt;$3,300/t with alumina premium re-widening above 15% — either would move base EPS toward the bull path and re-open the rerating case.</w:t>
            </w:r>
          </w:p>
        </w:tc>
      </w:tr>
    </w:tbl>
    <w:p>
      <w:pPr>
        <w:spacing w:after="120"/>
      </w:pPr>
    </w:p>
    <w:p>
      <w:pPr>
        <w:spacing w:after="40" w:before="28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8.  Bridge summary</w:t>
      </w:r>
    </w:p>
    <w:p>
      <w:pPr>
        <w:pBdr>
          <w:bottom w:val="single" w:color="D9D9D9" w:sz="4" w:space="4"/>
        </w:pBd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4"/>
        <w:gridCol w:w="1938"/>
        <w:gridCol w:w="4953"/>
      </w:tblGrid>
      <w:tr>
        <w:trPr>
          <w:tblHeader/>
        </w:trPr>
        <w:tc>
          <w:tcPr>
            <w:tcW w:type="dxa" w:w="301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9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5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301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revenue_growth_consistency</w:t>
            </w:r>
          </w:p>
        </w:tc>
        <w:tc>
          <w:tcPr>
            <w:tcW w:type="dxa" w:w="19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E1E"/>
                <w:sz w:val="19"/>
                <w:szCs w:val="19"/>
              </w:rPr>
              <w:t xml:space="preserve">FAIL</w:t>
            </w:r>
          </w:p>
        </w:tc>
        <w:tc>
          <w:tcPr>
            <w:tcW w:type="dxa" w:w="495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FY24 −7.8% breaks floor; price-taker volatility</w:t>
            </w:r>
          </w:p>
        </w:tc>
      </w:tr>
      <w:tr>
        <w:tc>
          <w:tcPr>
            <w:tcW w:type="dxa" w:w="301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eps_growth_20pct</w:t>
            </w:r>
          </w:p>
        </w:tc>
        <w:tc>
          <w:tcPr>
            <w:tcW w:type="dxa" w:w="19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4711B"/>
                <w:sz w:val="19"/>
                <w:szCs w:val="19"/>
              </w:rPr>
              <w:t xml:space="preserve">PASS (thin)</w:t>
            </w:r>
          </w:p>
        </w:tc>
        <w:tc>
          <w:tcPr>
            <w:tcW w:type="dxa" w:w="495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Single-year cyclical spike, not consistency</w:t>
            </w:r>
          </w:p>
        </w:tc>
      </w:tr>
      <w:tr>
        <w:tc>
          <w:tcPr>
            <w:tcW w:type="dxa" w:w="301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gross_margin_trend</w:t>
            </w:r>
          </w:p>
        </w:tc>
        <w:tc>
          <w:tcPr>
            <w:tcW w:type="dxa" w:w="19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08080"/>
                <w:sz w:val="19"/>
                <w:szCs w:val="19"/>
              </w:rPr>
              <w:t xml:space="preserve">NA</w:t>
            </w:r>
          </w:p>
        </w:tc>
        <w:tc>
          <w:tcPr>
            <w:tcW w:type="dxa" w:w="495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Sparse cost data — not a pass</w:t>
            </w:r>
          </w:p>
        </w:tc>
      </w:tr>
      <w:tr>
        <w:tc>
          <w:tcPr>
            <w:tcW w:type="dxa" w:w="301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receivables_pct_revenue_trend</w:t>
            </w:r>
          </w:p>
        </w:tc>
        <w:tc>
          <w:tcPr>
            <w:tcW w:type="dxa" w:w="19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08080"/>
                <w:sz w:val="19"/>
                <w:szCs w:val="19"/>
              </w:rPr>
              <w:t xml:space="preserve">NA</w:t>
            </w:r>
          </w:p>
        </w:tc>
        <w:tc>
          <w:tcPr>
            <w:tcW w:type="dxa" w:w="495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Immaterial (~1.1% of sales)</w:t>
            </w:r>
          </w:p>
        </w:tc>
      </w:tr>
      <w:tr>
        <w:tc>
          <w:tcPr>
            <w:tcW w:type="dxa" w:w="301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interest_vs_ebit_growth</w:t>
            </w:r>
          </w:p>
        </w:tc>
        <w:tc>
          <w:tcPr>
            <w:tcW w:type="dxa" w:w="19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08080"/>
                <w:sz w:val="19"/>
                <w:szCs w:val="19"/>
              </w:rPr>
              <w:t xml:space="preserve">NA</w:t>
            </w:r>
          </w:p>
        </w:tc>
        <w:tc>
          <w:tcPr>
            <w:tcW w:type="dxa" w:w="495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Near-debt-free; qualitatively clean</w:t>
            </w:r>
          </w:p>
        </w:tc>
      </w:tr>
      <w:tr>
        <w:tc>
          <w:tcPr>
            <w:tcW w:type="dxa" w:w="301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dilution_consecutive</w:t>
            </w:r>
          </w:p>
        </w:tc>
        <w:tc>
          <w:tcPr>
            <w:tcW w:type="dxa" w:w="19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08080"/>
                <w:sz w:val="19"/>
                <w:szCs w:val="19"/>
              </w:rPr>
              <w:t xml:space="preserve">NA</w:t>
            </w:r>
          </w:p>
        </w:tc>
        <w:tc>
          <w:tcPr>
            <w:tcW w:type="dxa" w:w="495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dilution (GoI-majority)</w:t>
            </w:r>
          </w:p>
        </w:tc>
      </w:tr>
      <w:tr>
        <w:tc>
          <w:tcPr>
            <w:tcW w:type="dxa" w:w="301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cfo_positive_expansion</w:t>
            </w:r>
          </w:p>
        </w:tc>
        <w:tc>
          <w:tcPr>
            <w:tcW w:type="dxa" w:w="19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08080"/>
                <w:sz w:val="19"/>
                <w:szCs w:val="19"/>
              </w:rPr>
              <w:t xml:space="preserve">NA</w:t>
            </w:r>
          </w:p>
        </w:tc>
        <w:tc>
          <w:tcPr>
            <w:tcW w:type="dxa" w:w="495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CFO positive; &lt;3 capex periods</w:t>
            </w:r>
          </w:p>
        </w:tc>
      </w:tr>
      <w:tr>
        <w:tc>
          <w:tcPr>
            <w:tcW w:type="dxa" w:w="301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dna_adjusted_eps_growth</w:t>
            </w:r>
          </w:p>
        </w:tc>
        <w:tc>
          <w:tcPr>
            <w:tcW w:type="dxa" w:w="19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08080"/>
                <w:sz w:val="19"/>
                <w:szCs w:val="19"/>
              </w:rPr>
              <w:t xml:space="preserve">NA</w:t>
            </w:r>
          </w:p>
        </w:tc>
        <w:tc>
          <w:tcPr>
            <w:tcW w:type="dxa" w:w="495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D&amp;A rising — flagged as EPS drag</w:t>
            </w:r>
          </w:p>
        </w:tc>
      </w:tr>
      <w:tr>
        <w:tc>
          <w:tcPr>
            <w:tcW w:type="dxa" w:w="301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interest_coverage</w:t>
            </w:r>
          </w:p>
        </w:tc>
        <w:tc>
          <w:tcPr>
            <w:tcW w:type="dxa" w:w="19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08080"/>
                <w:sz w:val="19"/>
                <w:szCs w:val="19"/>
              </w:rPr>
              <w:t xml:space="preserve">NA</w:t>
            </w:r>
          </w:p>
        </w:tc>
        <w:tc>
          <w:tcPr>
            <w:tcW w:type="dxa" w:w="495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Coverage 152–172x historically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D9D9" w:sz="2"/>
              <w:left w:val="single" w:color="1B2A4A" w:sz="24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9"/>
                <w:szCs w:val="19"/>
              </w:rPr>
              <w:t xml:space="preserve">BOTTOM LINE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well-built, cheap-fuel, near-debt-free ship on a sea it cannot control (dossier §11). Sound hull, no wind. The rerating case fails the consistency gate and the starting-multiple gate simultaneously; the qualitative gate fails on the one growth lever that matters. AVOID at CMP; re-engage near ₹250–270 or on a confirmed 5th-stream/price catalyst.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17"/>
          <w:szCs w:val="17"/>
        </w:rPr>
        <w:t xml:space="preserve">Internal buy-side research note. Not investment advice; prepared with AI assistance and cross-checked against the source dossier. Full audit trail and source registry: forensic dossier (companion document), §13.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44546A"/>
        <w:sz w:val="14"/>
        <w:szCs w:val="14"/>
      </w:rPr>
      <w:t xml:space="preserve">NALCO — Buy-Side Note (Internal)   |   Page </w:t>
    </w:r>
    <w:r>
      <w:rPr>
        <w:rFonts w:ascii="Calibri" w:cs="Calibri" w:eastAsia="Calibri" w:hAnsi="Calibri"/>
        <w:i/>
        <w:iCs/>
        <w:color w:val="44546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i/>
        <w:iCs/>
        <w:color w:val="44546A"/>
        <w:sz w:val="14"/>
        <w:szCs w:val="14"/>
      </w:rPr>
      <w:t xml:space="preserve"> of </w:t>
    </w:r>
    <w:r>
      <w:rPr>
        <w:rFonts w:ascii="Calibri" w:cs="Calibri" w:eastAsia="Calibri" w:hAnsi="Calibri"/>
        <w:i/>
        <w:iCs/>
        <w:color w:val="44546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2026-07-19T09:00:36.524Z</dcterms:created>
  <dcterms:modified xsi:type="dcterms:W3CDTF">2026-07-19T09:00:36.524Z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