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Georgia" w:cs="Georgia" w:eastAsia="Georgia" w:hAnsi="Georgia"/>
          <w:b/>
          <w:bCs/>
          <w:color w:val="1B2A4A"/>
          <w:sz w:val="18"/>
          <w:szCs w:val="18"/>
        </w:rPr>
        <w:t xml:space="preserve">RESEARCH DOSSIER</w:t>
      </w:r>
      <w:r>
        <w:rPr>
          <w:rFonts w:ascii="Calibri" w:cs="Calibri" w:eastAsia="Calibri" w:hAnsi="Calibri"/>
          <w:color w:val="44546A"/>
          <w:sz w:val="17"/>
          <w:szCs w:val="17"/>
        </w:rPr>
        <w:t xml:space="preserve">    |    FULL AUDIT DOCUMENT — INTERNAL USE ONLY</w:t>
      </w:r>
    </w:p>
    <w:p>
      <w:pPr>
        <w:pBdr>
          <w:bottom w:val="single" w:color="1B2A4A" w:sz="18" w:space="4"/>
        </w:pBdr>
        <w:spacing w:after="220"/>
      </w:pPr>
    </w:p>
    <w:p>
      <w:pPr>
        <w:spacing w:after="20"/>
      </w:pPr>
      <w:r>
        <w:rPr>
          <w:rFonts w:ascii="Georgia" w:cs="Georgia" w:eastAsia="Georgia" w:hAnsi="Georgia"/>
          <w:b/>
          <w:bCs/>
          <w:color w:val="1B2A4A"/>
          <w:sz w:val="40"/>
          <w:szCs w:val="40"/>
        </w:rPr>
        <w:t xml:space="preserve">National Aluminium Company Limited</w:t>
      </w:r>
    </w:p>
    <w:p>
      <w:pPr>
        <w:spacing w:after="120"/>
      </w:pPr>
      <w:r>
        <w:rPr>
          <w:rFonts w:ascii="Calibri" w:cs="Calibri" w:eastAsia="Calibri" w:hAnsi="Calibri"/>
          <w:i/>
          <w:iCs/>
          <w:color w:val="44546A"/>
          <w:sz w:val="19"/>
          <w:szCs w:val="19"/>
        </w:rPr>
        <w:t xml:space="preserve">NSE: NATIONALUM  |  Metals &amp; Mining — Aluminium  |  India  |  Run date 2026-07-16</w:t>
      </w:r>
    </w:p>
    <w:p>
      <w:pPr>
        <w:spacing w:after="240"/>
      </w:pPr>
      <w:r>
        <w:rPr>
          <w:rFonts w:ascii="Georgia" w:cs="Georgia" w:eastAsia="Georgia" w:hAnsi="Georgia"/>
          <w:color w:val="1A1A1A"/>
          <w:sz w:val="25"/>
          <w:szCs w:val="25"/>
        </w:rPr>
        <w:t xml:space="preserve">Forensic Research Dossier (Full Audit Record)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D9D9D9" w:sz="2"/>
              <w:left w:val="single" w:color="1B2A4A" w:sz="24"/>
              <w:bottom w:val="single" w:color="D9D9D9" w:sz="2"/>
              <w:right w:val="single" w:color="D9D9D9" w:sz="2"/>
            </w:tcBorders>
            <w:shd w:fill="F2F2F2" w:color="auto" w:val="clear"/>
            <w:tcMar>
              <w:top w:type="dxa" w:w="140"/>
              <w:left w:type="dxa" w:w="220"/>
              <w:bottom w:type="dxa" w:w="140"/>
              <w:right w:type="dxa" w:w="220"/>
            </w:tcMar>
          </w:tcPr>
          <w:p>
            <w:pPr>
              <w:spacing w:after="60"/>
            </w:pPr>
            <w:r>
              <w:rPr>
                <w:rFonts w:ascii="Georgia" w:cs="Georgia" w:eastAsia="Georgia" w:hAnsi="Georgia"/>
                <w:b/>
                <w:bCs/>
                <w:color w:val="1B2A4A"/>
                <w:sz w:val="19"/>
                <w:szCs w:val="19"/>
              </w:rPr>
              <w:t xml:space="preserve">NO RECOMMENDATION IN THIS DOCUMENT</w:t>
            </w:r>
          </w:p>
          <w:p>
            <w:r>
              <w:rPr>
                <w:rFonts w:ascii="Calibri" w:cs="Calibri" w:eastAsia="Calibri" w:hAnsi="Calibri"/>
                <w:color w:val="1A1A1A"/>
                <w:sz w:val="20"/>
                <w:szCs w:val="20"/>
              </w:rPr>
              <w:t xml:space="preserve">This dossier is the long-form audit record. Every number carries a source reference [S###] mapping to state/source_registry.json. Tables are rendered from fact records, not retyped. The rating does NOT appear in this document — it lives only in the final note's rating box (report/final_note.md). Basis: standalone primary (consolidated vs standalone diverge &lt;0.3% every year, F-FUND-09; JV/subsidiary carrying value ~2% of balance sheet; FY2026 full-year figures available only on a consolidated Q4-PPT basis and cited as such).</w:t>
            </w:r>
          </w:p>
        </w:tc>
      </w:tr>
    </w:tbl>
    <w:p>
      <w:pPr>
        <w:spacing w:after="120"/>
      </w:pPr>
    </w:p>
    <w:p>
      <w:pPr>
        <w:spacing w:after="40" w:before="280"/>
      </w:pPr>
      <w:r>
        <w:rPr>
          <w:rFonts w:ascii="Georgia" w:cs="Georgia" w:eastAsia="Georgia" w:hAnsi="Georgia"/>
          <w:b/>
          <w:bCs/>
          <w:color w:val="1B2A4A"/>
          <w:sz w:val="25"/>
          <w:szCs w:val="25"/>
        </w:rPr>
        <w:t xml:space="preserve">0.  Input manifest &amp; run record</w:t>
      </w:r>
    </w:p>
    <w:p>
      <w:pPr>
        <w:pBdr>
          <w:bottom w:val="single" w:color="D9D9D9" w:sz="4" w:space="4"/>
        </w:pBdr>
        <w:spacing w:after="140"/>
      </w:pPr>
    </w:p>
    <w:p>
      <w:pPr>
        <w:spacing w:after="140"/>
      </w:pPr>
      <w:r>
        <w:rPr>
          <w:rFonts w:ascii="Calibri" w:cs="Calibri" w:eastAsia="Calibri" w:hAnsi="Calibri"/>
          <w:b w:val="false"/>
          <w:bCs w:val="false"/>
          <w:i w:val="false"/>
          <w:iCs w:val="false"/>
          <w:color w:val="1A1A1A"/>
          <w:sz w:val="21"/>
          <w:szCs w:val="21"/>
        </w:rPr>
        <w:t xml:space="preserve">Inputs: 13 documents — 5 audited Annual Reports (FY2021–FY2025) plus 4 FY2026 quarterly earnings-call transcripts and 4 quarterly presentations. Declared intake gaps (state/manifest.json): no standalone quarterly results filings (FY2026 quarterly financials taken from presentations, treated as company-summarised until the FY2026 AR publishes); FY2026 audited AR not yet published; no prior deep-research documents (both waves run fresh, DR1 + DR2); no supplied peer/KPI material; no transcripts pre-FY2026 (pre-FY2026 management signalling is limited to AR MD&amp;A).</w:t>
      </w:r>
    </w:p>
    <w:p>
      <w:pPr>
        <w:spacing w:after="140"/>
      </w:pPr>
      <w:r>
        <w:rPr>
          <w:rFonts w:ascii="Calibri" w:cs="Calibri" w:eastAsia="Calibri" w:hAnsi="Calibri"/>
          <w:b w:val="false"/>
          <w:bCs w:val="false"/>
          <w:i w:val="false"/>
          <w:iCs w:val="false"/>
          <w:color w:val="1A1A1A"/>
          <w:sz w:val="19"/>
          <w:szCs w:val="19"/>
        </w:rPr>
        <w:t xml:space="preserve">Pipeline: INTAKE → CONVERT → TRIAGE (sector pack: commodities/metals-mining) → parallel EXTRACT → COMPUTE (ratio/statement/EPS-bridge/xlsx builders) → parallel ANALYZE (fundamental / forensic / guidance / governance) → RESEARCH (DR1 company + DR1-B follow-up; DR2 sector/peers) → LOOP (external facts F-EXT-1155/1156 marked the governance and legal_regulatory sub-scores stale; governance re-run, downgraded Green→Amber, stale-rerun-only) → SYNTHESIZE (peer-valuation + estimates → thesis) → VERIFY → RENDER. Convergence: all five thesis pillars meet the two-independent-reference minimum; all 23 red-flag ledger entries adjudicated (2 confirmed, 7 disclosed, 14 dismissed, 0 candidate); three high-severity open questions (OQ-FUND-03, OQ-GUI-03, OQ-GOV-01) remain unanswered and are carried as disclosed gaps rather than blocking.</w:t>
      </w:r>
    </w:p>
    <w:p>
      <w:pPr>
        <w:spacing w:after="40" w:before="280"/>
      </w:pPr>
      <w:r>
        <w:rPr>
          <w:rFonts w:ascii="Georgia" w:cs="Georgia" w:eastAsia="Georgia" w:hAnsi="Georgia"/>
          <w:b/>
          <w:bCs/>
          <w:color w:val="1B2A4A"/>
          <w:sz w:val="25"/>
          <w:szCs w:val="25"/>
        </w:rPr>
        <w:t xml:space="preserve">1.  Executive summary</w:t>
      </w:r>
    </w:p>
    <w:p>
      <w:pPr>
        <w:pBdr>
          <w:bottom w:val="single" w:color="D9D9D9" w:sz="4" w:space="4"/>
        </w:pBdr>
        <w:spacing w:after="140"/>
      </w:pPr>
    </w:p>
    <w:p>
      <w:pPr>
        <w:spacing w:after="140"/>
      </w:pPr>
      <w:r>
        <w:rPr>
          <w:rFonts w:ascii="Calibri" w:cs="Calibri" w:eastAsia="Calibri" w:hAnsi="Calibri"/>
          <w:b w:val="false"/>
          <w:bCs w:val="false"/>
          <w:i w:val="false"/>
          <w:iCs w:val="false"/>
          <w:color w:val="1A1A1A"/>
          <w:sz w:val="21"/>
          <w:szCs w:val="21"/>
        </w:rPr>
        <w:t xml:space="preserve">NALCO is an operationally sound, input-cost-advantaged, near-debt-free integrated aluminium producer whose earnings are an unsmoothed, leveraged function of two spot-linked commodity prices (LME aluminium and alumina). The FY2025 profit surge was a cyclical realization peak, not a structural efficiency step-up; FY2026 already shows the reversal beginning at the exit quarter (Q4 FY2026 PAT −17.4% YoY [S693]). The base-case earnings path through FY2028E is roughly flat-to-down. Set against this, the market price sits materially above every multiple the stock has traded at in its own five-year history, with no confirmed re-rating catalyst identified. Two governance/execution overhangs are live: a fined SEBI LODR board-composition breach and a repeatedly cut/deferred commissioning timeline on the single largest near-term capacity lever.</w:t>
      </w:r>
    </w:p>
    <w:p>
      <w:pPr>
        <w:spacing w:after="140"/>
      </w:pPr>
      <w:r>
        <w:rPr>
          <w:rFonts w:ascii="Calibri" w:cs="Calibri" w:eastAsia="Calibri" w:hAnsi="Calibri"/>
          <w:b w:val="false"/>
          <w:bCs w:val="false"/>
          <w:i w:val="false"/>
          <w:iCs w:val="false"/>
          <w:color w:val="1A1A1A"/>
          <w:sz w:val="21"/>
          <w:szCs w:val="21"/>
        </w:rPr>
        <w:t xml:space="preserve">Core financial health: the balance sheet is a genuine strength — near-zero leverage (standalone D/E 0.0016x, FY2022 [S1022-context]), interest coverage 152x–172x in FY2022–FY2023 [ratio_summary], captive bauxite and a captive-coal ramp toward ~4 MTpa. Earnings quality is above-median for an Indian commodity CPSE (forensic composite 75/100): unqualified audits five straight years, CAG supplementary comment “Nil” in both covered years, a single non-recurring exceptional item (FY2024). Cash conversion is volatile but tracks the commodity cycle rather than manipulation.</w:t>
      </w:r>
    </w:p>
    <w:p>
      <w:pPr>
        <w:spacing w:after="140"/>
      </w:pPr>
      <w:r>
        <w:rPr>
          <w:rFonts w:ascii="Calibri" w:cs="Calibri" w:eastAsia="Calibri" w:hAnsi="Calibri"/>
          <w:b w:val="false"/>
          <w:bCs w:val="false"/>
          <w:i w:val="false"/>
          <w:iCs w:val="false"/>
          <w:color w:val="1A1A1A"/>
          <w:sz w:val="21"/>
          <w:szCs w:val="21"/>
        </w:rPr>
        <w:t xml:space="preserve">Valuation synopsis: CMP ₹361.65 (2026-07-15) is 12.5x FY2025 EPS [S1306] and ~11.4x the FY2026 cross-check EPS [S1307], against a five-year PE-on-average-price band of 4.1x–8.4x (median ~6.3x) [S1300–S1304] that never reached double digits even in the FY2025 cyclical-peak year. P/B at CMP is 3.73x [S1317] versus a five-year band high of 1.78x. Base-case forward P/E is 11.0x (FY27E) / 11.7x (FY28E) [S1396/S1397] — still above the historical band on forward earnings.</w:t>
      </w:r>
    </w:p>
    <w:p>
      <w:pPr>
        <w:spacing w:after="60"/>
      </w:pPr>
      <w:r>
        <w:rPr>
          <w:rFonts w:ascii="Calibri" w:cs="Calibri" w:eastAsia="Calibri" w:hAnsi="Calibri"/>
          <w:i/>
          <w:iCs/>
          <w:color w:val="44546A"/>
          <w:sz w:val="18"/>
          <w:szCs w:val="18"/>
        </w:rPr>
        <w:t xml:space="preserve">Top four principal risks</w:t>
      </w:r>
    </w:p>
    <w:p>
      <w:pPr>
        <w:pStyle w:val="ListParagraph"/>
        <w:numPr>
          <w:ilvl w:val="0"/>
          <w:numId w:val="2"/>
        </w:numPr>
        <w:spacing w:after="70"/>
      </w:pPr>
      <w:r>
        <w:rPr>
          <w:rFonts w:ascii="Calibri" w:cs="Calibri" w:eastAsia="Calibri" w:hAnsi="Calibri"/>
          <w:color w:val="1A1A1A"/>
          <w:sz w:val="21"/>
          <w:szCs w:val="21"/>
        </w:rPr>
        <w:t xml:space="preserve">Valuation reversion — CMP prices in either a ~2x sustained EPS step-up versus a peak-cycle base, or an unevidenced permanent re-rating [F-VAL-05].</w:t>
      </w:r>
    </w:p>
    <w:p>
      <w:pPr>
        <w:pStyle w:val="ListParagraph"/>
        <w:numPr>
          <w:ilvl w:val="0"/>
          <w:numId w:val="2"/>
        </w:numPr>
        <w:spacing w:after="70"/>
      </w:pPr>
      <w:r>
        <w:rPr>
          <w:rFonts w:ascii="Calibri" w:cs="Calibri" w:eastAsia="Calibri" w:hAnsi="Calibri"/>
          <w:color w:val="1A1A1A"/>
          <w:sz w:val="21"/>
          <w:szCs w:val="21"/>
        </w:rPr>
        <w:t xml:space="preserve">Execution/guidance credibility on the 5th-stream refinery — the FY26 volume contribution was cut ~40% in-year then deferred to FY27; commissioning remains unconfirmed as of Jul-2026 [RF-GUI-01, F-EXT-1150].</w:t>
      </w:r>
    </w:p>
    <w:p>
      <w:pPr>
        <w:pStyle w:val="ListParagraph"/>
        <w:numPr>
          <w:ilvl w:val="0"/>
          <w:numId w:val="2"/>
        </w:numPr>
        <w:spacing w:after="70"/>
      </w:pPr>
      <w:r>
        <w:rPr>
          <w:rFonts w:ascii="Calibri" w:cs="Calibri" w:eastAsia="Calibri" w:hAnsi="Calibri"/>
          <w:color w:val="1A1A1A"/>
          <w:sz w:val="21"/>
          <w:szCs w:val="21"/>
        </w:rPr>
        <w:t xml:space="preserve">Governance — a fined, disclosed SEBI LODR independent-director-composition breach (₹10.86 lakh, waiver pending) plus an open CBI recruitment-fraud probe [F-EXT-1155, F-EXT-1156].</w:t>
      </w:r>
    </w:p>
    <w:p>
      <w:pPr>
        <w:pStyle w:val="ListParagraph"/>
        <w:numPr>
          <w:ilvl w:val="0"/>
          <w:numId w:val="2"/>
        </w:numPr>
        <w:spacing w:after="70"/>
      </w:pPr>
      <w:r>
        <w:rPr>
          <w:rFonts w:ascii="Calibri" w:cs="Calibri" w:eastAsia="Calibri" w:hAnsi="Calibri"/>
          <w:color w:val="1A1A1A"/>
          <w:sz w:val="21"/>
          <w:szCs w:val="21"/>
        </w:rPr>
        <w:t xml:space="preserve">Commodity price cycle — structural alumina oversupply (Indonesian ramp) with management guiding no near-term recovery (FY2027 alumina US$300–310/t vs FY2025 US$580/t) [F-FUND-02].</w:t>
      </w:r>
    </w:p>
    <w:p>
      <w:pPr>
        <w:spacing w:after="40" w:before="280"/>
      </w:pPr>
      <w:r>
        <w:rPr>
          <w:rFonts w:ascii="Georgia" w:cs="Georgia" w:eastAsia="Georgia" w:hAnsi="Georgia"/>
          <w:b/>
          <w:bCs/>
          <w:color w:val="1B2A4A"/>
          <w:sz w:val="25"/>
          <w:szCs w:val="25"/>
        </w:rPr>
        <w:t xml:space="preserve">2.  Industry &amp; market analysis</w:t>
      </w:r>
    </w:p>
    <w:p>
      <w:pPr>
        <w:pBdr>
          <w:bottom w:val="single" w:color="D9D9D9" w:sz="4" w:space="4"/>
        </w:pBdr>
        <w:spacing w:after="140"/>
      </w:pPr>
    </w:p>
    <w:p>
      <w:pPr>
        <w:spacing w:after="140"/>
      </w:pPr>
      <w:r>
        <w:rPr>
          <w:rFonts w:ascii="Calibri" w:cs="Calibri" w:eastAsia="Calibri" w:hAnsi="Calibri"/>
          <w:b w:val="false"/>
          <w:bCs w:val="false"/>
          <w:i w:val="false"/>
          <w:iCs w:val="false"/>
          <w:color w:val="1A1A1A"/>
          <w:sz w:val="19"/>
          <w:szCs w:val="19"/>
        </w:rPr>
        <w:t xml:space="preserve">The aluminium value chain runs bauxite → alumina → primary aluminium (LME-priced) → semis/downstream. NALCO is fully integrated across the first three stages with captive power but has effectively no downstream/specialty business. The structural bottleneck is the alumina-to-LME price premium, which compressed from 15–17% to 11–11.5% [GD-Q4-035] as Indonesian refinery capacity ramped toward 7 MTpa by CY2026 (primary aluminium capacity 0.87→2.51→3.56mt 2025→2027) [F-EXT-1211, F-EXT-1212] — the confirmed driver behind the FY2026 alumina realization collapse (US$580→US$370, FY25→FY26) [F-FUND-02].</w:t>
      </w:r>
    </w:p>
    <w:p>
      <w:pPr>
        <w:spacing w:after="60"/>
      </w:pPr>
      <w:r>
        <w:rPr>
          <w:rFonts w:ascii="Calibri" w:cs="Calibri" w:eastAsia="Calibri" w:hAnsi="Calibri"/>
          <w:i/>
          <w:iCs/>
          <w:color w:val="44546A"/>
          <w:sz w:val="18"/>
          <w:szCs w:val="18"/>
        </w:rPr>
        <w:t xml:space="preserve">Porter's five forces (0–10; higher = more pressure on NALCO)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058"/>
        <w:gridCol w:w="1475"/>
        <w:gridCol w:w="3372"/>
      </w:tblGrid>
      <w:tr>
        <w:trPr>
          <w:tblHeader/>
        </w:trPr>
        <w:tc>
          <w:tcPr>
            <w:tcW w:type="dxa" w:w="5058"/>
            <w:tcBorders>
              <w:top w:val="single" w:color="D9D9D9" w:sz="2"/>
              <w:left w:val="single" w:color="D9D9D9" w:sz="2"/>
              <w:bottom w:val="single" w:color="D9D9D9" w:sz="2"/>
              <w:right w:val="single" w:color="D9D9D9" w:sz="2"/>
            </w:tcBorders>
            <w:shd w:fill="1B2A4A" w:color="auto"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9"/>
                <w:szCs w:val="19"/>
              </w:rPr>
              <w:t xml:space="preserve">Force</w:t>
            </w:r>
          </w:p>
        </w:tc>
        <w:tc>
          <w:tcPr>
            <w:tcW w:type="dxa" w:w="1475"/>
            <w:tcBorders>
              <w:top w:val="single" w:color="D9D9D9" w:sz="2"/>
              <w:left w:val="single" w:color="D9D9D9" w:sz="2"/>
              <w:bottom w:val="single" w:color="D9D9D9" w:sz="2"/>
              <w:right w:val="single" w:color="D9D9D9" w:sz="2"/>
            </w:tcBorders>
            <w:shd w:fill="1B2A4A" w:color="auto"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9"/>
                <w:szCs w:val="19"/>
              </w:rPr>
              <w:t xml:space="preserve">Score</w:t>
            </w:r>
          </w:p>
        </w:tc>
        <w:tc>
          <w:tcPr>
            <w:tcW w:type="dxa" w:w="3372"/>
            <w:tcBorders>
              <w:top w:val="single" w:color="D9D9D9" w:sz="2"/>
              <w:left w:val="single" w:color="D9D9D9" w:sz="2"/>
              <w:bottom w:val="single" w:color="D9D9D9" w:sz="2"/>
              <w:right w:val="single" w:color="D9D9D9" w:sz="2"/>
            </w:tcBorders>
            <w:shd w:fill="1B2A4A" w:color="auto"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9"/>
                <w:szCs w:val="19"/>
              </w:rPr>
              <w:t xml:space="preserve">Trajectory</w:t>
            </w:r>
          </w:p>
        </w:tc>
      </w:tr>
      <w:tr>
        <w:tc>
          <w:tcPr>
            <w:tcW w:type="dxa" w:w="5058"/>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Threat of new entrants</w:t>
            </w:r>
          </w:p>
        </w:tc>
        <w:tc>
          <w:tcPr>
            <w:tcW w:type="dxa" w:w="1475"/>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6</w:t>
            </w:r>
          </w:p>
        </w:tc>
        <w:tc>
          <w:tcPr>
            <w:tcW w:type="dxa" w:w="3372"/>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Worsening in alumina, CY2025–2027 (Indonesian ramp) [F-EXT-1211/1212]</w:t>
            </w:r>
          </w:p>
        </w:tc>
      </w:tr>
      <w:tr>
        <w:tc>
          <w:tcPr>
            <w:tcW w:type="dxa" w:w="5058"/>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Bargaining power of suppliers</w:t>
            </w:r>
          </w:p>
        </w:tc>
        <w:tc>
          <w:tcPr>
            <w:tcW w:type="dxa" w:w="1475"/>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3</w:t>
            </w:r>
          </w:p>
        </w:tc>
        <w:tc>
          <w:tcPr>
            <w:tcW w:type="dxa" w:w="3372"/>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Improving — captive bauxite/coal ~57% of fuel need [F-EXT-1208]</w:t>
            </w:r>
          </w:p>
        </w:tc>
      </w:tr>
      <w:tr>
        <w:tc>
          <w:tcPr>
            <w:tcW w:type="dxa" w:w="5058"/>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Bargaining power of buyers</w:t>
            </w:r>
          </w:p>
        </w:tc>
        <w:tc>
          <w:tcPr>
            <w:tcW w:type="dxa" w:w="1475"/>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7</w:t>
            </w:r>
          </w:p>
        </w:tc>
        <w:tc>
          <w:tcPr>
            <w:tcW w:type="dxa" w:w="3372"/>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Structurally stable at a high level (spot/LME pricing, no long-term contracts) [F-FUND-01]</w:t>
            </w:r>
          </w:p>
        </w:tc>
      </w:tr>
      <w:tr>
        <w:tc>
          <w:tcPr>
            <w:tcW w:type="dxa" w:w="5058"/>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Threat of substitutes</w:t>
            </w:r>
          </w:p>
        </w:tc>
        <w:tc>
          <w:tcPr>
            <w:tcW w:type="dxa" w:w="1475"/>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2</w:t>
            </w:r>
          </w:p>
        </w:tc>
        <w:tc>
          <w:tcPr>
            <w:tcW w:type="dxa" w:w="3372"/>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Stable — no evidenced substitution threat [F-EXT-1214]</w:t>
            </w:r>
          </w:p>
        </w:tc>
      </w:tr>
      <w:tr>
        <w:tc>
          <w:tcPr>
            <w:tcW w:type="dxa" w:w="5058"/>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Competitive rivalry</w:t>
            </w:r>
          </w:p>
        </w:tc>
        <w:tc>
          <w:tcPr>
            <w:tcW w:type="dxa" w:w="1475"/>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6</w:t>
            </w:r>
          </w:p>
        </w:tc>
        <w:tc>
          <w:tcPr>
            <w:tcW w:type="dxa" w:w="3372"/>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Intensifying — Hindalco and Vedanta both expanding and cutting costs [F-EXT-1216/1219]</w:t>
            </w:r>
          </w:p>
        </w:tc>
      </w:tr>
    </w:tbl>
    <w:p>
      <w:pPr>
        <w:spacing w:after="120"/>
      </w:pPr>
    </w:p>
    <w:p>
      <w:pPr>
        <w:spacing w:after="140"/>
      </w:pPr>
      <w:r>
        <w:rPr>
          <w:rFonts w:ascii="Calibri" w:cs="Calibri" w:eastAsia="Calibri" w:hAnsi="Calibri"/>
          <w:b w:val="false"/>
          <w:bCs w:val="false"/>
          <w:i w:val="false"/>
          <w:iCs w:val="false"/>
          <w:color w:val="1A1A1A"/>
          <w:sz w:val="19"/>
          <w:szCs w:val="19"/>
        </w:rPr>
        <w:t xml:space="preserve">Composite read: an industry structure moderately-to-highly unfavourable for pricing power (buyer power and rivalry dominant at 6–7/10), partially offset by input-cost self-sufficiency (supplier power and substitution both low at 2–3/10) — corroborating the independent finding that NALCO is a “commodity price taker with near-zero hedging” (F-FUND-01).</w:t>
      </w:r>
    </w:p>
    <w:p>
      <w:pPr>
        <w:spacing w:after="140"/>
      </w:pPr>
      <w:r>
        <w:rPr>
          <w:rFonts w:ascii="Calibri" w:cs="Calibri" w:eastAsia="Calibri" w:hAnsi="Calibri"/>
          <w:b w:val="false"/>
          <w:bCs w:val="false"/>
          <w:i w:val="false"/>
          <w:iCs w:val="false"/>
          <w:color w:val="1A1A1A"/>
          <w:sz w:val="19"/>
          <w:szCs w:val="19"/>
        </w:rPr>
        <w:t xml:space="preserve">Demand: India aluminium demand ~6.27% CAGR CY2024–2030 (TechSci, paid research, confidence low — no official-statistics source located) [F-EXT-1213]. Price context (CY2027): World Bank US$3,000/t central; SMM US$2,900–3,200/t; Goldman bear US$2,400/t; LME spot already US$3,538/t on 28-Apr-2026 [F-EXT-1200/1203/1204/1202]. Policy: EU CBAM's definitive phase began 1-Jan-2026 (first certificate price €75.36/tCO₂e); Indian unwrought-aluminium exports to the EU fell 41.7% YoY — NALCO's own EU exposure was not sized in this pass, a disclosed gap [F-EXT-1227]. US Section 232 restructured 6-Apr-2026 (50% on wholly-metal articles); NALCO is not a significant direct US exporter [S1225].</w:t>
      </w:r>
    </w:p>
    <w:p>
      <w:pPr>
        <w:spacing w:after="40" w:before="280"/>
      </w:pPr>
      <w:r>
        <w:rPr>
          <w:rFonts w:ascii="Georgia" w:cs="Georgia" w:eastAsia="Georgia" w:hAnsi="Georgia"/>
          <w:b/>
          <w:bCs/>
          <w:color w:val="1B2A4A"/>
          <w:sz w:val="25"/>
          <w:szCs w:val="25"/>
        </w:rPr>
        <w:t xml:space="preserve">3.  Company deep-dive</w:t>
      </w:r>
    </w:p>
    <w:p>
      <w:pPr>
        <w:pBdr>
          <w:bottom w:val="single" w:color="D9D9D9" w:sz="4" w:space="4"/>
        </w:pBdr>
        <w:spacing w:after="140"/>
      </w:pPr>
    </w:p>
    <w:p>
      <w:pPr>
        <w:spacing w:after="140"/>
      </w:pPr>
      <w:r>
        <w:rPr>
          <w:rFonts w:ascii="Calibri" w:cs="Calibri" w:eastAsia="Calibri" w:hAnsi="Calibri"/>
          <w:b w:val="false"/>
          <w:bCs w:val="false"/>
          <w:i w:val="false"/>
          <w:iCs w:val="false"/>
          <w:color w:val="1A1A1A"/>
          <w:sz w:val="19"/>
          <w:szCs w:val="19"/>
        </w:rPr>
        <w:t xml:space="preserve">NALCO is a Navratna CPSE (GoI 51.28% via the President of India / Ministry of Mines), fully integrated bauxite–alumina–aluminium with captive thermal, wind and rooftop-solar power. Two reportable segments — Chemicals (alumina) and Aluminium (metal) — inside one vertically integrated chain, so the segment split reflects relative price cycles as much as deliberate tonnage reallocation (F-FUND-08). FY2026 revenue mix shifted ~70/30 → 73/27 (metal/alumina), framed by management as margin-supportive [QT-Q4-075/076]; the segment-EBIT picture is more nuanced — Aluminium's EBIT share was 61.2% (FY24) and 55.5% (FY25) [F-DER-FUN-07/08], i.e. Chemicals' EBIT share rose even as revenue mix moved toward metal. Carried as OQ-FUND-08, not over-claimed as a clean margin driver.</w:t>
      </w:r>
    </w:p>
    <w:p>
      <w:pPr>
        <w:spacing w:after="140"/>
      </w:pPr>
      <w:r>
        <w:rPr>
          <w:rFonts w:ascii="Calibri" w:cs="Calibri" w:eastAsia="Calibri" w:hAnsi="Calibri"/>
          <w:b w:val="false"/>
          <w:bCs w:val="false"/>
          <w:i w:val="false"/>
          <w:iCs w:val="false"/>
          <w:color w:val="1A1A1A"/>
          <w:sz w:val="19"/>
          <w:szCs w:val="19"/>
        </w:rPr>
        <w:t xml:space="preserve">Unit economics (FY2026): alumina cost of production ₹20,000–22,000/t [GD-Q4-024]; metal cost of production ₹155,000–160,000/t [GD-Q4-025]. Delivered cost levers: caustic soda consumption improved 121→99 kg/t (~₹129cr savings) [GD-Q3-014]; captive coal +41.84% YoY toward ~4 MT, displacing costlier e-auction coal and grid power; employee cost declining mechanically as ~250 high-paid retirements are replaced by lower-paid recruits [QT-Q4-028].</w:t>
      </w:r>
    </w:p>
    <w:p>
      <w:pPr>
        <w:spacing w:after="60"/>
      </w:pPr>
      <w:r>
        <w:rPr>
          <w:rFonts w:ascii="Calibri" w:cs="Calibri" w:eastAsia="Calibri" w:hAnsi="Calibri"/>
          <w:i/>
          <w:iCs/>
          <w:color w:val="44546A"/>
          <w:sz w:val="18"/>
          <w:szCs w:val="18"/>
        </w:rPr>
        <w:t xml:space="preserve">Moat matrix (weighted, 0–10)</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660"/>
        <w:gridCol w:w="1292"/>
        <w:gridCol w:w="1292"/>
        <w:gridCol w:w="3660"/>
      </w:tblGrid>
      <w:tr>
        <w:trPr>
          <w:tblHeader/>
        </w:trPr>
        <w:tc>
          <w:tcPr>
            <w:tcW w:type="dxa" w:w="3660"/>
            <w:tcBorders>
              <w:top w:val="single" w:color="D9D9D9" w:sz="2"/>
              <w:left w:val="single" w:color="D9D9D9" w:sz="2"/>
              <w:bottom w:val="single" w:color="D9D9D9" w:sz="2"/>
              <w:right w:val="single" w:color="D9D9D9" w:sz="2"/>
            </w:tcBorders>
            <w:shd w:fill="1B2A4A" w:color="auto"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9"/>
                <w:szCs w:val="19"/>
              </w:rPr>
              <w:t xml:space="preserve">Dimension</w:t>
            </w:r>
          </w:p>
        </w:tc>
        <w:tc>
          <w:tcPr>
            <w:tcW w:type="dxa" w:w="1292"/>
            <w:tcBorders>
              <w:top w:val="single" w:color="D9D9D9" w:sz="2"/>
              <w:left w:val="single" w:color="D9D9D9" w:sz="2"/>
              <w:bottom w:val="single" w:color="D9D9D9" w:sz="2"/>
              <w:right w:val="single" w:color="D9D9D9" w:sz="2"/>
            </w:tcBorders>
            <w:shd w:fill="1B2A4A" w:color="auto"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9"/>
                <w:szCs w:val="19"/>
              </w:rPr>
              <w:t xml:space="preserve">Score</w:t>
            </w:r>
          </w:p>
        </w:tc>
        <w:tc>
          <w:tcPr>
            <w:tcW w:type="dxa" w:w="1292"/>
            <w:tcBorders>
              <w:top w:val="single" w:color="D9D9D9" w:sz="2"/>
              <w:left w:val="single" w:color="D9D9D9" w:sz="2"/>
              <w:bottom w:val="single" w:color="D9D9D9" w:sz="2"/>
              <w:right w:val="single" w:color="D9D9D9" w:sz="2"/>
            </w:tcBorders>
            <w:shd w:fill="1B2A4A" w:color="auto"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9"/>
                <w:szCs w:val="19"/>
              </w:rPr>
              <w:t xml:space="preserve">Weight</w:t>
            </w:r>
          </w:p>
        </w:tc>
        <w:tc>
          <w:tcPr>
            <w:tcW w:type="dxa" w:w="3660"/>
            <w:tcBorders>
              <w:top w:val="single" w:color="D9D9D9" w:sz="2"/>
              <w:left w:val="single" w:color="D9D9D9" w:sz="2"/>
              <w:bottom w:val="single" w:color="D9D9D9" w:sz="2"/>
              <w:right w:val="single" w:color="D9D9D9" w:sz="2"/>
            </w:tcBorders>
            <w:shd w:fill="1B2A4A" w:color="auto"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9"/>
                <w:szCs w:val="19"/>
              </w:rPr>
              <w:t xml:space="preserve">Trajectory</w:t>
            </w:r>
          </w:p>
        </w:tc>
      </w:tr>
      <w:tr>
        <w:tc>
          <w:tcPr>
            <w:tcW w:type="dxa" w:w="3660"/>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Scale</w:t>
            </w:r>
          </w:p>
        </w:tc>
        <w:tc>
          <w:tcPr>
            <w:tcW w:type="dxa" w:w="1292"/>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4</w:t>
            </w:r>
          </w:p>
        </w:tc>
        <w:tc>
          <w:tcPr>
            <w:tcW w:type="dxa" w:w="1292"/>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0.15</w:t>
            </w:r>
          </w:p>
        </w:tc>
        <w:tc>
          <w:tcPr>
            <w:tcW w:type="dxa" w:w="3660"/>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Improving modestly, off a small base [F-EXT-1220]</w:t>
            </w:r>
          </w:p>
        </w:tc>
      </w:tr>
      <w:tr>
        <w:tc>
          <w:tcPr>
            <w:tcW w:type="dxa" w:w="3660"/>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Brand</w:t>
            </w:r>
          </w:p>
        </w:tc>
        <w:tc>
          <w:tcPr>
            <w:tcW w:type="dxa" w:w="1292"/>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1</w:t>
            </w:r>
          </w:p>
        </w:tc>
        <w:tc>
          <w:tcPr>
            <w:tcW w:type="dxa" w:w="1292"/>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0.05</w:t>
            </w:r>
          </w:p>
        </w:tc>
        <w:tc>
          <w:tcPr>
            <w:tcW w:type="dxa" w:w="3660"/>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N/A — bulk commodity, no premium [F-FUND-01]</w:t>
            </w:r>
          </w:p>
        </w:tc>
      </w:tr>
      <w:tr>
        <w:tc>
          <w:tcPr>
            <w:tcW w:type="dxa" w:w="3660"/>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Distribution</w:t>
            </w:r>
          </w:p>
        </w:tc>
        <w:tc>
          <w:tcPr>
            <w:tcW w:type="dxa" w:w="1292"/>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3</w:t>
            </w:r>
          </w:p>
        </w:tc>
        <w:tc>
          <w:tcPr>
            <w:tcW w:type="dxa" w:w="1292"/>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0.10</w:t>
            </w:r>
          </w:p>
        </w:tc>
        <w:tc>
          <w:tcPr>
            <w:tcW w:type="dxa" w:w="3660"/>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Eroding on contract-stickiness [F-GUI-02]</w:t>
            </w:r>
          </w:p>
        </w:tc>
      </w:tr>
      <w:tr>
        <w:tc>
          <w:tcPr>
            <w:tcW w:type="dxa" w:w="3660"/>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Switching costs</w:t>
            </w:r>
          </w:p>
        </w:tc>
        <w:tc>
          <w:tcPr>
            <w:tcW w:type="dxa" w:w="1292"/>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1</w:t>
            </w:r>
          </w:p>
        </w:tc>
        <w:tc>
          <w:tcPr>
            <w:tcW w:type="dxa" w:w="1292"/>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0.10</w:t>
            </w:r>
          </w:p>
        </w:tc>
        <w:tc>
          <w:tcPr>
            <w:tcW w:type="dxa" w:w="3660"/>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Stable-low — near-zero for LME-linked commodity</w:t>
            </w:r>
          </w:p>
        </w:tc>
      </w:tr>
      <w:tr>
        <w:tc>
          <w:tcPr>
            <w:tcW w:type="dxa" w:w="3660"/>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Supply-chain integration</w:t>
            </w:r>
          </w:p>
        </w:tc>
        <w:tc>
          <w:tcPr>
            <w:tcW w:type="dxa" w:w="1292"/>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7</w:t>
            </w:r>
          </w:p>
        </w:tc>
        <w:tc>
          <w:tcPr>
            <w:tcW w:type="dxa" w:w="1292"/>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0.25</w:t>
            </w:r>
          </w:p>
        </w:tc>
        <w:tc>
          <w:tcPr>
            <w:tcW w:type="dxa" w:w="3660"/>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Widening — captive bauxite, coal ramp to ~4 MTpa [F-EXT-1208]</w:t>
            </w:r>
          </w:p>
        </w:tc>
      </w:tr>
      <w:tr>
        <w:tc>
          <w:tcPr>
            <w:tcW w:type="dxa" w:w="3660"/>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Regulatory / access barriers</w:t>
            </w:r>
          </w:p>
        </w:tc>
        <w:tc>
          <w:tcPr>
            <w:tcW w:type="dxa" w:w="1292"/>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6</w:t>
            </w:r>
          </w:p>
        </w:tc>
        <w:tc>
          <w:tcPr>
            <w:tcW w:type="dxa" w:w="1292"/>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0.20</w:t>
            </w:r>
          </w:p>
        </w:tc>
        <w:tc>
          <w:tcPr>
            <w:tcW w:type="dxa" w:w="3660"/>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Stable-to-uncertain — scarce leases, lease-date discrepancy open [OQ-DR1-1]</w:t>
            </w:r>
          </w:p>
        </w:tc>
      </w:tr>
      <w:tr>
        <w:tc>
          <w:tcPr>
            <w:tcW w:type="dxa" w:w="3660"/>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Specialty vs bulk mix</w:t>
            </w:r>
          </w:p>
        </w:tc>
        <w:tc>
          <w:tcPr>
            <w:tcW w:type="dxa" w:w="1292"/>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2</w:t>
            </w:r>
          </w:p>
        </w:tc>
        <w:tc>
          <w:tcPr>
            <w:tcW w:type="dxa" w:w="1292"/>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0.15</w:t>
            </w:r>
          </w:p>
        </w:tc>
        <w:tc>
          <w:tcPr>
            <w:tcW w:type="dxa" w:w="3660"/>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Potentially improving, not yet realized</w:t>
            </w:r>
          </w:p>
        </w:tc>
      </w:tr>
    </w:tbl>
    <w:p>
      <w:pPr>
        <w:spacing w:after="120"/>
      </w:pPr>
    </w:p>
    <w:p>
      <w:pPr>
        <w:spacing w:after="140"/>
      </w:pPr>
      <w:r>
        <w:rPr>
          <w:rFonts w:ascii="Calibri" w:cs="Calibri" w:eastAsia="Calibri" w:hAnsi="Calibri"/>
          <w:b w:val="false"/>
          <w:bCs w:val="false"/>
          <w:i w:val="false"/>
          <w:iCs w:val="false"/>
          <w:color w:val="1A1A1A"/>
          <w:sz w:val="19"/>
          <w:szCs w:val="19"/>
        </w:rPr>
        <w:t xml:space="preserve">Weighted moat composite = 4.3/10 [S1322]. The two dimensions where NALCO genuinely differentiates — supply-chain integration (7) and regulatory/access barriers (6) — are a cost-structure moat, which supports margin resilience in a downturn more than earnings growth or multiple expansion in an upturn. It is not a pricing-power moat. On margin comparability, NALCO's FY2025 EBITDA margin (44.6%, F-DER-FUN-04) is closely in line with Hindalco's India-upstream 45.6% [F-EXT-1216] — no operating-quality edge over its largest domestic peer this cycle. NALCO's own “world's lowest-cost producer” claim could not be re-verified against a current third-party ranking (most recent independently-citable instance is FY2019-vintage) [F-VAL-08, F-EXT-1215] — a moat-relevant gap, not a confirmed premium.</w:t>
      </w:r>
    </w:p>
    <w:p>
      <w:pPr>
        <w:spacing w:after="40" w:before="280"/>
      </w:pPr>
      <w:r>
        <w:rPr>
          <w:rFonts w:ascii="Georgia" w:cs="Georgia" w:eastAsia="Georgia" w:hAnsi="Georgia"/>
          <w:b/>
          <w:bCs/>
          <w:color w:val="1B2A4A"/>
          <w:sz w:val="25"/>
          <w:szCs w:val="25"/>
        </w:rPr>
        <w:t xml:space="preserve">4.  Historical financial performance</w:t>
      </w:r>
    </w:p>
    <w:p>
      <w:pPr>
        <w:pBdr>
          <w:bottom w:val="single" w:color="D9D9D9" w:sz="4" w:space="4"/>
        </w:pBdr>
        <w:spacing w:after="140"/>
      </w:pPr>
    </w:p>
    <w:p>
      <w:pPr>
        <w:spacing w:after="60"/>
      </w:pPr>
      <w:r>
        <w:rPr>
          <w:rFonts w:ascii="Calibri" w:cs="Calibri" w:eastAsia="Calibri" w:hAnsi="Calibri"/>
          <w:i/>
          <w:iCs/>
          <w:color w:val="44546A"/>
          <w:sz w:val="18"/>
          <w:szCs w:val="18"/>
        </w:rPr>
        <w:t xml:space="preserve">Income statement summary (standalone, ₹cr unless noted)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rPr>
          <w:tblHeader/>
        </w:trPr>
        <w:tc>
          <w:tcPr>
            <w:tcW w:type="dxa" w:w="1651"/>
            <w:tcBorders>
              <w:top w:val="single" w:color="D9D9D9" w:sz="2"/>
              <w:left w:val="single" w:color="D9D9D9" w:sz="2"/>
              <w:bottom w:val="single" w:color="D9D9D9" w:sz="2"/>
              <w:right w:val="single" w:color="D9D9D9" w:sz="2"/>
            </w:tcBorders>
            <w:shd w:fill="1B2A4A" w:color="auto"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9"/>
                <w:szCs w:val="19"/>
              </w:rPr>
              <w:t xml:space="preserve">Metric</w:t>
            </w:r>
          </w:p>
        </w:tc>
        <w:tc>
          <w:tcPr>
            <w:tcW w:type="dxa" w:w="1651"/>
            <w:tcBorders>
              <w:top w:val="single" w:color="D9D9D9" w:sz="2"/>
              <w:left w:val="single" w:color="D9D9D9" w:sz="2"/>
              <w:bottom w:val="single" w:color="D9D9D9" w:sz="2"/>
              <w:right w:val="single" w:color="D9D9D9" w:sz="2"/>
            </w:tcBorders>
            <w:shd w:fill="1B2A4A" w:color="auto"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9"/>
                <w:szCs w:val="19"/>
              </w:rPr>
              <w:t xml:space="preserve">FY2021</w:t>
            </w:r>
          </w:p>
        </w:tc>
        <w:tc>
          <w:tcPr>
            <w:tcW w:type="dxa" w:w="1651"/>
            <w:tcBorders>
              <w:top w:val="single" w:color="D9D9D9" w:sz="2"/>
              <w:left w:val="single" w:color="D9D9D9" w:sz="2"/>
              <w:bottom w:val="single" w:color="D9D9D9" w:sz="2"/>
              <w:right w:val="single" w:color="D9D9D9" w:sz="2"/>
            </w:tcBorders>
            <w:shd w:fill="1B2A4A" w:color="auto"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9"/>
                <w:szCs w:val="19"/>
              </w:rPr>
              <w:t xml:space="preserve">FY2022</w:t>
            </w:r>
          </w:p>
        </w:tc>
        <w:tc>
          <w:tcPr>
            <w:tcW w:type="dxa" w:w="1651"/>
            <w:tcBorders>
              <w:top w:val="single" w:color="D9D9D9" w:sz="2"/>
              <w:left w:val="single" w:color="D9D9D9" w:sz="2"/>
              <w:bottom w:val="single" w:color="D9D9D9" w:sz="2"/>
              <w:right w:val="single" w:color="D9D9D9" w:sz="2"/>
            </w:tcBorders>
            <w:shd w:fill="1B2A4A" w:color="auto"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9"/>
                <w:szCs w:val="19"/>
              </w:rPr>
              <w:t xml:space="preserve">FY2023</w:t>
            </w:r>
          </w:p>
        </w:tc>
        <w:tc>
          <w:tcPr>
            <w:tcW w:type="dxa" w:w="1651"/>
            <w:tcBorders>
              <w:top w:val="single" w:color="D9D9D9" w:sz="2"/>
              <w:left w:val="single" w:color="D9D9D9" w:sz="2"/>
              <w:bottom w:val="single" w:color="D9D9D9" w:sz="2"/>
              <w:right w:val="single" w:color="D9D9D9" w:sz="2"/>
            </w:tcBorders>
            <w:shd w:fill="1B2A4A" w:color="auto"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9"/>
                <w:szCs w:val="19"/>
              </w:rPr>
              <w:t xml:space="preserve">FY2024</w:t>
            </w:r>
          </w:p>
        </w:tc>
        <w:tc>
          <w:tcPr>
            <w:tcW w:type="dxa" w:w="1651"/>
            <w:tcBorders>
              <w:top w:val="single" w:color="D9D9D9" w:sz="2"/>
              <w:left w:val="single" w:color="D9D9D9" w:sz="2"/>
              <w:bottom w:val="single" w:color="D9D9D9" w:sz="2"/>
              <w:right w:val="single" w:color="D9D9D9" w:sz="2"/>
            </w:tcBorders>
            <w:shd w:fill="1B2A4A" w:color="auto"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9"/>
                <w:szCs w:val="19"/>
              </w:rPr>
              <w:t xml:space="preserve">FY2025</w:t>
            </w:r>
          </w:p>
        </w:tc>
      </w:tr>
      <w:tr>
        <w:tc>
          <w:tcPr>
            <w:tcW w:type="dxa" w:w="1651"/>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Revenue from operations</w:t>
            </w:r>
          </w:p>
        </w:tc>
        <w:tc>
          <w:tcPr>
            <w:tcW w:type="dxa" w:w="1651"/>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8,955.8 [S100]</w:t>
            </w:r>
          </w:p>
        </w:tc>
        <w:tc>
          <w:tcPr>
            <w:tcW w:type="dxa" w:w="1651"/>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14,214.6 [S301]</w:t>
            </w:r>
          </w:p>
        </w:tc>
        <w:tc>
          <w:tcPr>
            <w:tcW w:type="dxa" w:w="1651"/>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14,254.9 [S300]</w:t>
            </w:r>
          </w:p>
        </w:tc>
        <w:tc>
          <w:tcPr>
            <w:tcW w:type="dxa" w:w="1651"/>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13,149.1 [S400]</w:t>
            </w:r>
          </w:p>
        </w:tc>
        <w:tc>
          <w:tcPr>
            <w:tcW w:type="dxa" w:w="1651"/>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16,787.6 [S500]</w:t>
            </w:r>
          </w:p>
        </w:tc>
      </w:tr>
      <w:tr>
        <w:tc>
          <w:tcPr>
            <w:tcW w:type="dxa" w:w="1651"/>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Revenue growth YoY %</w:t>
            </w:r>
          </w:p>
        </w:tc>
        <w:tc>
          <w:tcPr>
            <w:tcW w:type="dxa" w:w="1651"/>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N/A</w:t>
            </w:r>
          </w:p>
        </w:tc>
        <w:tc>
          <w:tcPr>
            <w:tcW w:type="dxa" w:w="1651"/>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58.7</w:t>
            </w:r>
          </w:p>
        </w:tc>
        <w:tc>
          <w:tcPr>
            <w:tcW w:type="dxa" w:w="1651"/>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0.3</w:t>
            </w:r>
          </w:p>
        </w:tc>
        <w:tc>
          <w:tcPr>
            <w:tcW w:type="dxa" w:w="1651"/>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−7.8</w:t>
            </w:r>
          </w:p>
        </w:tc>
        <w:tc>
          <w:tcPr>
            <w:tcW w:type="dxa" w:w="1651"/>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27.7</w:t>
            </w:r>
          </w:p>
        </w:tc>
      </w:tr>
      <w:tr>
        <w:tc>
          <w:tcPr>
            <w:tcW w:type="dxa" w:w="1651"/>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Finance costs</w:t>
            </w:r>
          </w:p>
        </w:tc>
        <w:tc>
          <w:tcPr>
            <w:tcW w:type="dxa" w:w="1651"/>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7.1 [S103]</w:t>
            </w:r>
          </w:p>
        </w:tc>
        <w:tc>
          <w:tcPr>
            <w:tcW w:type="dxa" w:w="1651"/>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23.1 [S315]</w:t>
            </w:r>
          </w:p>
        </w:tc>
        <w:tc>
          <w:tcPr>
            <w:tcW w:type="dxa" w:w="1651"/>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12.9 [S314]</w:t>
            </w:r>
          </w:p>
        </w:tc>
        <w:tc>
          <w:tcPr>
            <w:tcW w:type="dxa" w:w="1651"/>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17.2 [S515]</w:t>
            </w:r>
          </w:p>
        </w:tc>
        <w:tc>
          <w:tcPr>
            <w:tcW w:type="dxa" w:w="1651"/>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59.0 [S514]</w:t>
            </w:r>
          </w:p>
        </w:tc>
      </w:tr>
      <w:tr>
        <w:tc>
          <w:tcPr>
            <w:tcW w:type="dxa" w:w="1651"/>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Other income</w:t>
            </w:r>
          </w:p>
        </w:tc>
        <w:tc>
          <w:tcPr>
            <w:tcW w:type="dxa" w:w="1651"/>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146.6 [S101]</w:t>
            </w:r>
          </w:p>
        </w:tc>
        <w:tc>
          <w:tcPr>
            <w:tcW w:type="dxa" w:w="1651"/>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264.1 [S303]</w:t>
            </w:r>
          </w:p>
        </w:tc>
        <w:tc>
          <w:tcPr>
            <w:tcW w:type="dxa" w:w="1651"/>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235.6 [S302]</w:t>
            </w:r>
          </w:p>
        </w:tc>
        <w:tc>
          <w:tcPr>
            <w:tcW w:type="dxa" w:w="1651"/>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250.7 [S503]</w:t>
            </w:r>
          </w:p>
        </w:tc>
        <w:tc>
          <w:tcPr>
            <w:tcW w:type="dxa" w:w="1651"/>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357.0 [S502]</w:t>
            </w:r>
          </w:p>
        </w:tc>
      </w:tr>
      <w:tr>
        <w:tc>
          <w:tcPr>
            <w:tcW w:type="dxa" w:w="1651"/>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PBT (standalone)</w:t>
            </w:r>
          </w:p>
        </w:tc>
        <w:tc>
          <w:tcPr>
            <w:tcW w:type="dxa" w:w="1651"/>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1,316.5 [S107]</w:t>
            </w:r>
          </w:p>
        </w:tc>
        <w:tc>
          <w:tcPr>
            <w:tcW w:type="dxa" w:w="1651"/>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3,954.9 [S200]</w:t>
            </w:r>
          </w:p>
        </w:tc>
        <w:tc>
          <w:tcPr>
            <w:tcW w:type="dxa" w:w="1651"/>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1,955.0 [S330]</w:t>
            </w:r>
          </w:p>
        </w:tc>
        <w:tc>
          <w:tcPr>
            <w:tcW w:type="dxa" w:w="1651"/>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2,712.1 [S400]</w:t>
            </w:r>
          </w:p>
        </w:tc>
        <w:tc>
          <w:tcPr>
            <w:tcW w:type="dxa" w:w="1651"/>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7,135.1 [S500]</w:t>
            </w:r>
          </w:p>
        </w:tc>
      </w:tr>
      <w:tr>
        <w:tc>
          <w:tcPr>
            <w:tcW w:type="dxa" w:w="1651"/>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PAT (standalone)</w:t>
            </w:r>
          </w:p>
        </w:tc>
        <w:tc>
          <w:tcPr>
            <w:tcW w:type="dxa" w:w="1651"/>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1,299.4 [S107]</w:t>
            </w:r>
          </w:p>
        </w:tc>
        <w:tc>
          <w:tcPr>
            <w:tcW w:type="dxa" w:w="1651"/>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2,952.0 [S200]</w:t>
            </w:r>
          </w:p>
        </w:tc>
        <w:tc>
          <w:tcPr>
            <w:tcW w:type="dxa" w:w="1651"/>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1,544.5 [S338]</w:t>
            </w:r>
          </w:p>
        </w:tc>
        <w:tc>
          <w:tcPr>
            <w:tcW w:type="dxa" w:w="1651"/>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1,988.5 [S400]</w:t>
            </w:r>
          </w:p>
        </w:tc>
        <w:tc>
          <w:tcPr>
            <w:tcW w:type="dxa" w:w="1651"/>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5,324.7 [S538]</w:t>
            </w:r>
          </w:p>
        </w:tc>
      </w:tr>
      <w:tr>
        <w:tc>
          <w:tcPr>
            <w:tcW w:type="dxa" w:w="1651"/>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PAT margin %</w:t>
            </w:r>
          </w:p>
        </w:tc>
        <w:tc>
          <w:tcPr>
            <w:tcW w:type="dxa" w:w="1651"/>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14.5</w:t>
            </w:r>
          </w:p>
        </w:tc>
        <w:tc>
          <w:tcPr>
            <w:tcW w:type="dxa" w:w="1651"/>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20.8</w:t>
            </w:r>
          </w:p>
        </w:tc>
        <w:tc>
          <w:tcPr>
            <w:tcW w:type="dxa" w:w="1651"/>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10.8</w:t>
            </w:r>
          </w:p>
        </w:tc>
        <w:tc>
          <w:tcPr>
            <w:tcW w:type="dxa" w:w="1651"/>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15.1</w:t>
            </w:r>
          </w:p>
        </w:tc>
        <w:tc>
          <w:tcPr>
            <w:tcW w:type="dxa" w:w="1651"/>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31.7</w:t>
            </w:r>
          </w:p>
        </w:tc>
      </w:tr>
      <w:tr>
        <w:tc>
          <w:tcPr>
            <w:tcW w:type="dxa" w:w="1651"/>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EPS diluted (₹, standalone)</w:t>
            </w:r>
          </w:p>
        </w:tc>
        <w:tc>
          <w:tcPr>
            <w:tcW w:type="dxa" w:w="1651"/>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7.0 [S107]</w:t>
            </w:r>
          </w:p>
        </w:tc>
        <w:tc>
          <w:tcPr>
            <w:tcW w:type="dxa" w:w="1651"/>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16.1 [S200]</w:t>
            </w:r>
          </w:p>
        </w:tc>
        <w:tc>
          <w:tcPr>
            <w:tcW w:type="dxa" w:w="1651"/>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8.4 [S350]</w:t>
            </w:r>
          </w:p>
        </w:tc>
        <w:tc>
          <w:tcPr>
            <w:tcW w:type="dxa" w:w="1651"/>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11.2 [S551]</w:t>
            </w:r>
          </w:p>
        </w:tc>
        <w:tc>
          <w:tcPr>
            <w:tcW w:type="dxa" w:w="1651"/>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28.99 [S550]</w:t>
            </w:r>
          </w:p>
        </w:tc>
      </w:tr>
    </w:tbl>
    <w:p>
      <w:pPr>
        <w:spacing w:after="120"/>
      </w:pPr>
    </w:p>
    <w:p>
      <w:pPr>
        <w:spacing w:after="140"/>
      </w:pPr>
      <w:r>
        <w:rPr>
          <w:rFonts w:ascii="Calibri" w:cs="Calibri" w:eastAsia="Calibri" w:hAnsi="Calibri"/>
          <w:b w:val="false"/>
          <w:bCs w:val="false"/>
          <w:i/>
          <w:iCs/>
          <w:color w:val="1A1A1A"/>
          <w:sz w:val="17"/>
          <w:szCs w:val="17"/>
        </w:rPr>
        <w:t xml:space="preserve">Note: FY2025 standalone PAT (₹5,324.67cr [S538]) differs from the consolidated PAT (₹5,267.94cr) used in the estimates base and Exhibit 4 of the final note — the two are on different bases and are not interchangeable; standalone EPS is 28.99 [S550] on both a basic and diluted basis. Standalone EBITDA is not separately disclosed pre-FY2024; company-reported consolidated EBITDA is preferred in deliverables per reported-over-computed precedence (FY2025 ₹7,922cr).</w:t>
      </w:r>
    </w:p>
    <w:p>
      <w:pPr>
        <w:spacing w:after="60"/>
      </w:pPr>
      <w:r>
        <w:rPr>
          <w:rFonts w:ascii="Calibri" w:cs="Calibri" w:eastAsia="Calibri" w:hAnsi="Calibri"/>
          <w:i/>
          <w:iCs/>
          <w:color w:val="44546A"/>
          <w:sz w:val="18"/>
          <w:szCs w:val="18"/>
        </w:rPr>
        <w:t xml:space="preserve">Balance sheet &amp; cash flow highlights (standalone)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rPr>
          <w:tblHeader/>
        </w:trPr>
        <w:tc>
          <w:tcPr>
            <w:tcW w:type="dxa" w:w="1651"/>
            <w:tcBorders>
              <w:top w:val="single" w:color="D9D9D9" w:sz="2"/>
              <w:left w:val="single" w:color="D9D9D9" w:sz="2"/>
              <w:bottom w:val="single" w:color="D9D9D9" w:sz="2"/>
              <w:right w:val="single" w:color="D9D9D9" w:sz="2"/>
            </w:tcBorders>
            <w:shd w:fill="1B2A4A" w:color="auto"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9"/>
                <w:szCs w:val="19"/>
              </w:rPr>
              <w:t xml:space="preserve">Metric</w:t>
            </w:r>
          </w:p>
        </w:tc>
        <w:tc>
          <w:tcPr>
            <w:tcW w:type="dxa" w:w="1651"/>
            <w:tcBorders>
              <w:top w:val="single" w:color="D9D9D9" w:sz="2"/>
              <w:left w:val="single" w:color="D9D9D9" w:sz="2"/>
              <w:bottom w:val="single" w:color="D9D9D9" w:sz="2"/>
              <w:right w:val="single" w:color="D9D9D9" w:sz="2"/>
            </w:tcBorders>
            <w:shd w:fill="1B2A4A" w:color="auto"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9"/>
                <w:szCs w:val="19"/>
              </w:rPr>
              <w:t xml:space="preserve">FY2021</w:t>
            </w:r>
          </w:p>
        </w:tc>
        <w:tc>
          <w:tcPr>
            <w:tcW w:type="dxa" w:w="1651"/>
            <w:tcBorders>
              <w:top w:val="single" w:color="D9D9D9" w:sz="2"/>
              <w:left w:val="single" w:color="D9D9D9" w:sz="2"/>
              <w:bottom w:val="single" w:color="D9D9D9" w:sz="2"/>
              <w:right w:val="single" w:color="D9D9D9" w:sz="2"/>
            </w:tcBorders>
            <w:shd w:fill="1B2A4A" w:color="auto"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9"/>
                <w:szCs w:val="19"/>
              </w:rPr>
              <w:t xml:space="preserve">FY2022</w:t>
            </w:r>
          </w:p>
        </w:tc>
        <w:tc>
          <w:tcPr>
            <w:tcW w:type="dxa" w:w="1651"/>
            <w:tcBorders>
              <w:top w:val="single" w:color="D9D9D9" w:sz="2"/>
              <w:left w:val="single" w:color="D9D9D9" w:sz="2"/>
              <w:bottom w:val="single" w:color="D9D9D9" w:sz="2"/>
              <w:right w:val="single" w:color="D9D9D9" w:sz="2"/>
            </w:tcBorders>
            <w:shd w:fill="1B2A4A" w:color="auto"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9"/>
                <w:szCs w:val="19"/>
              </w:rPr>
              <w:t xml:space="preserve">FY2023</w:t>
            </w:r>
          </w:p>
        </w:tc>
        <w:tc>
          <w:tcPr>
            <w:tcW w:type="dxa" w:w="1651"/>
            <w:tcBorders>
              <w:top w:val="single" w:color="D9D9D9" w:sz="2"/>
              <w:left w:val="single" w:color="D9D9D9" w:sz="2"/>
              <w:bottom w:val="single" w:color="D9D9D9" w:sz="2"/>
              <w:right w:val="single" w:color="D9D9D9" w:sz="2"/>
            </w:tcBorders>
            <w:shd w:fill="1B2A4A" w:color="auto"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9"/>
                <w:szCs w:val="19"/>
              </w:rPr>
              <w:t xml:space="preserve">FY2024</w:t>
            </w:r>
          </w:p>
        </w:tc>
        <w:tc>
          <w:tcPr>
            <w:tcW w:type="dxa" w:w="1651"/>
            <w:tcBorders>
              <w:top w:val="single" w:color="D9D9D9" w:sz="2"/>
              <w:left w:val="single" w:color="D9D9D9" w:sz="2"/>
              <w:bottom w:val="single" w:color="D9D9D9" w:sz="2"/>
              <w:right w:val="single" w:color="D9D9D9" w:sz="2"/>
            </w:tcBorders>
            <w:shd w:fill="1B2A4A" w:color="auto"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9"/>
                <w:szCs w:val="19"/>
              </w:rPr>
              <w:t xml:space="preserve">FY2025</w:t>
            </w:r>
          </w:p>
        </w:tc>
      </w:tr>
      <w:tr>
        <w:tc>
          <w:tcPr>
            <w:tcW w:type="dxa" w:w="1651"/>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Total assets (₹cr)</w:t>
            </w:r>
          </w:p>
        </w:tc>
        <w:tc>
          <w:tcPr>
            <w:tcW w:type="dxa" w:w="1651"/>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14,710.6 [S108]</w:t>
            </w:r>
          </w:p>
        </w:tc>
        <w:tc>
          <w:tcPr>
            <w:tcW w:type="dxa" w:w="1651"/>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17,488.8 [S397]</w:t>
            </w:r>
          </w:p>
        </w:tc>
        <w:tc>
          <w:tcPr>
            <w:tcW w:type="dxa" w:w="1651"/>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17,738.7 [S396]</w:t>
            </w:r>
          </w:p>
        </w:tc>
        <w:tc>
          <w:tcPr>
            <w:tcW w:type="dxa" w:w="1651"/>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19,418.6 [S595]</w:t>
            </w:r>
          </w:p>
        </w:tc>
        <w:tc>
          <w:tcPr>
            <w:tcW w:type="dxa" w:w="1651"/>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23,122.5 [S594]</w:t>
            </w:r>
          </w:p>
        </w:tc>
      </w:tr>
      <w:tr>
        <w:tc>
          <w:tcPr>
            <w:tcW w:type="dxa" w:w="1651"/>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Inventories (₹cr)</w:t>
            </w:r>
          </w:p>
        </w:tc>
        <w:tc>
          <w:tcPr>
            <w:tcW w:type="dxa" w:w="1651"/>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1,476.3 [S110]</w:t>
            </w:r>
          </w:p>
        </w:tc>
        <w:tc>
          <w:tcPr>
            <w:tcW w:type="dxa" w:w="1651"/>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1,645.6 [S375]</w:t>
            </w:r>
          </w:p>
        </w:tc>
        <w:tc>
          <w:tcPr>
            <w:tcW w:type="dxa" w:w="1651"/>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1,840.2 [S374]</w:t>
            </w:r>
          </w:p>
        </w:tc>
        <w:tc>
          <w:tcPr>
            <w:tcW w:type="dxa" w:w="1651"/>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1,831.3 [S575]</w:t>
            </w:r>
          </w:p>
        </w:tc>
        <w:tc>
          <w:tcPr>
            <w:tcW w:type="dxa" w:w="1651"/>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1,908.8 [S574]</w:t>
            </w:r>
          </w:p>
        </w:tc>
      </w:tr>
      <w:tr>
        <w:tc>
          <w:tcPr>
            <w:tcW w:type="dxa" w:w="1651"/>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Net PPE (₹cr)</w:t>
            </w:r>
          </w:p>
        </w:tc>
        <w:tc>
          <w:tcPr>
            <w:tcW w:type="dxa" w:w="1651"/>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7,317.3</w:t>
            </w:r>
          </w:p>
        </w:tc>
        <w:tc>
          <w:tcPr>
            <w:tcW w:type="dxa" w:w="1651"/>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7,001.9</w:t>
            </w:r>
          </w:p>
        </w:tc>
        <w:tc>
          <w:tcPr>
            <w:tcW w:type="dxa" w:w="1651"/>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6,916.4</w:t>
            </w:r>
          </w:p>
        </w:tc>
        <w:tc>
          <w:tcPr>
            <w:tcW w:type="dxa" w:w="1651"/>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7,020.2</w:t>
            </w:r>
          </w:p>
        </w:tc>
        <w:tc>
          <w:tcPr>
            <w:tcW w:type="dxa" w:w="1651"/>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6,799.0</w:t>
            </w:r>
          </w:p>
        </w:tc>
      </w:tr>
      <w:tr>
        <w:tc>
          <w:tcPr>
            <w:tcW w:type="dxa" w:w="1651"/>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CWIP (₹cr)</w:t>
            </w:r>
          </w:p>
        </w:tc>
        <w:tc>
          <w:tcPr>
            <w:tcW w:type="dxa" w:w="1651"/>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1,431.1</w:t>
            </w:r>
          </w:p>
        </w:tc>
        <w:tc>
          <w:tcPr>
            <w:tcW w:type="dxa" w:w="1651"/>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1,763.4</w:t>
            </w:r>
          </w:p>
        </w:tc>
        <w:tc>
          <w:tcPr>
            <w:tcW w:type="dxa" w:w="1651"/>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2,744.9</w:t>
            </w:r>
          </w:p>
        </w:tc>
        <w:tc>
          <w:tcPr>
            <w:tcW w:type="dxa" w:w="1651"/>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3,961.5</w:t>
            </w:r>
          </w:p>
        </w:tc>
        <w:tc>
          <w:tcPr>
            <w:tcW w:type="dxa" w:w="1651"/>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4,934.7</w:t>
            </w:r>
          </w:p>
        </w:tc>
      </w:tr>
      <w:tr>
        <w:tc>
          <w:tcPr>
            <w:tcW w:type="dxa" w:w="1651"/>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CFO (₹cr)</w:t>
            </w:r>
          </w:p>
        </w:tc>
        <w:tc>
          <w:tcPr>
            <w:tcW w:type="dxa" w:w="1651"/>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2,199.4</w:t>
            </w:r>
          </w:p>
        </w:tc>
        <w:tc>
          <w:tcPr>
            <w:tcW w:type="dxa" w:w="1651"/>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4,049.6 [S3454]</w:t>
            </w:r>
          </w:p>
        </w:tc>
        <w:tc>
          <w:tcPr>
            <w:tcW w:type="dxa" w:w="1651"/>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908.2 [S3453]</w:t>
            </w:r>
          </w:p>
        </w:tc>
        <w:tc>
          <w:tcPr>
            <w:tcW w:type="dxa" w:w="1651"/>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2,727.1</w:t>
            </w:r>
          </w:p>
        </w:tc>
        <w:tc>
          <w:tcPr>
            <w:tcW w:type="dxa" w:w="1651"/>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5,806.1</w:t>
            </w:r>
          </w:p>
        </w:tc>
      </w:tr>
      <w:tr>
        <w:tc>
          <w:tcPr>
            <w:tcW w:type="dxa" w:w="1651"/>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Receivable days</w:t>
            </w:r>
          </w:p>
        </w:tc>
        <w:tc>
          <w:tcPr>
            <w:tcW w:type="dxa" w:w="1651"/>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N/A</w:t>
            </w:r>
          </w:p>
        </w:tc>
        <w:tc>
          <w:tcPr>
            <w:tcW w:type="dxa" w:w="1651"/>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1.9</w:t>
            </w:r>
          </w:p>
        </w:tc>
        <w:tc>
          <w:tcPr>
            <w:tcW w:type="dxa" w:w="1651"/>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2.3</w:t>
            </w:r>
          </w:p>
        </w:tc>
        <w:tc>
          <w:tcPr>
            <w:tcW w:type="dxa" w:w="1651"/>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4.3</w:t>
            </w:r>
          </w:p>
        </w:tc>
        <w:tc>
          <w:tcPr>
            <w:tcW w:type="dxa" w:w="1651"/>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4.1</w:t>
            </w:r>
          </w:p>
        </w:tc>
      </w:tr>
      <w:tr>
        <w:tc>
          <w:tcPr>
            <w:tcW w:type="dxa" w:w="1651"/>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ROE % (cons. from FY24)</w:t>
            </w:r>
          </w:p>
        </w:tc>
        <w:tc>
          <w:tcPr>
            <w:tcW w:type="dxa" w:w="1651"/>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N/A</w:t>
            </w:r>
          </w:p>
        </w:tc>
        <w:tc>
          <w:tcPr>
            <w:tcW w:type="dxa" w:w="1651"/>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25.4</w:t>
            </w:r>
          </w:p>
        </w:tc>
        <w:tc>
          <w:tcPr>
            <w:tcW w:type="dxa" w:w="1651"/>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12.0</w:t>
            </w:r>
          </w:p>
        </w:tc>
        <w:tc>
          <w:tcPr>
            <w:tcW w:type="dxa" w:w="1651"/>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13.8</w:t>
            </w:r>
          </w:p>
        </w:tc>
        <w:tc>
          <w:tcPr>
            <w:tcW w:type="dxa" w:w="1651"/>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32.7</w:t>
            </w:r>
          </w:p>
        </w:tc>
      </w:tr>
    </w:tbl>
    <w:p>
      <w:pPr>
        <w:spacing w:after="120"/>
      </w:pPr>
    </w:p>
    <w:p>
      <w:pPr>
        <w:spacing w:after="140"/>
      </w:pPr>
      <w:r>
        <w:rPr>
          <w:rFonts w:ascii="Calibri" w:cs="Calibri" w:eastAsia="Calibri" w:hAnsi="Calibri"/>
          <w:b w:val="false"/>
          <w:bCs w:val="false"/>
          <w:i w:val="false"/>
          <w:iCs w:val="false"/>
          <w:color w:val="1A1A1A"/>
          <w:sz w:val="19"/>
          <w:szCs w:val="19"/>
        </w:rPr>
        <w:t xml:space="preserve">The FY2025 margin move (why-why): standalone EBITDA rose ₹3,278.8cr→₹7,487.1cr [F-DER-FUN-01/02], margin 24.9%→44.6% (+1,966 bps) [F-DER-FUN-03/04] — revenue +27.7% while total expenses fell 11,043.1→10,009.5 (employee cost 2,034.7→1,786.5); operationally both price and volume; structurally a price-taker with near-zero hedging, so FY2025's ~45% margin is a cyclical LME/realization tailwind, directly reversible — Q4 FY2026 PAT −17.4% YoY already shows the reversal. CWIP/net-PPE nearly quadrupled 19.6%→72.6% [F-DER-FUN-05/06]: a build phase, not a harvest phase; three-year incremental ROCE cannot be computed pre-DPR (OQ-FUND-03). DSO rose 1.93→4.26 days on a ~1.1%-of-sales base — tripped RF-002/003, dismissed on materiality (F-FUND-06).</w:t>
      </w:r>
    </w:p>
    <w:p>
      <w:pPr>
        <w:spacing w:after="40" w:before="280"/>
      </w:pPr>
      <w:r>
        <w:rPr>
          <w:rFonts w:ascii="Georgia" w:cs="Georgia" w:eastAsia="Georgia" w:hAnsi="Georgia"/>
          <w:b/>
          <w:bCs/>
          <w:color w:val="1B2A4A"/>
          <w:sz w:val="25"/>
          <w:szCs w:val="25"/>
        </w:rPr>
        <w:t xml:space="preserve">5.  Management &amp; governance</w:t>
      </w:r>
    </w:p>
    <w:p>
      <w:pPr>
        <w:pBdr>
          <w:bottom w:val="single" w:color="D9D9D9" w:sz="4" w:space="4"/>
        </w:pBdr>
        <w:spacing w:after="140"/>
      </w:pPr>
    </w:p>
    <w:p>
      <w:pPr>
        <w:spacing w:after="140"/>
      </w:pPr>
      <w:r>
        <w:rPr>
          <w:rFonts w:ascii="Calibri" w:cs="Calibri" w:eastAsia="Calibri" w:hAnsi="Calibri"/>
          <w:b w:val="false"/>
          <w:bCs w:val="false"/>
          <w:i/>
          <w:iCs/>
          <w:color w:val="1A1A1A"/>
          <w:sz w:val="18"/>
          <w:szCs w:val="18"/>
        </w:rPr>
        <w:t xml:space="preserve">Governance verdict: Amber (composite 73.3/100, provisional on the legal/regulatory sub-score), downgraded from Green this cycle. The rating is not stated in this document.</w:t>
      </w:r>
    </w:p>
    <w:p>
      <w:pPr>
        <w:spacing w:after="60"/>
      </w:pPr>
      <w:r>
        <w:rPr>
          <w:rFonts w:ascii="Calibri" w:cs="Calibri" w:eastAsia="Calibri" w:hAnsi="Calibri"/>
          <w:i/>
          <w:iCs/>
          <w:color w:val="44546A"/>
          <w:sz w:val="18"/>
          <w:szCs w:val="18"/>
        </w:rPr>
        <w:t xml:space="preserve">Leadership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73"/>
        <w:gridCol w:w="2273"/>
        <w:gridCol w:w="1786"/>
        <w:gridCol w:w="3572"/>
      </w:tblGrid>
      <w:tr>
        <w:trPr>
          <w:tblHeader/>
        </w:trPr>
        <w:tc>
          <w:tcPr>
            <w:tcW w:type="dxa" w:w="2273"/>
            <w:tcBorders>
              <w:top w:val="single" w:color="D9D9D9" w:sz="2"/>
              <w:left w:val="single" w:color="D9D9D9" w:sz="2"/>
              <w:bottom w:val="single" w:color="D9D9D9" w:sz="2"/>
              <w:right w:val="single" w:color="D9D9D9" w:sz="2"/>
            </w:tcBorders>
            <w:shd w:fill="1B2A4A" w:color="auto"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9"/>
                <w:szCs w:val="19"/>
              </w:rPr>
              <w:t xml:space="preserve">Name</w:t>
            </w:r>
          </w:p>
        </w:tc>
        <w:tc>
          <w:tcPr>
            <w:tcW w:type="dxa" w:w="2273"/>
            <w:tcBorders>
              <w:top w:val="single" w:color="D9D9D9" w:sz="2"/>
              <w:left w:val="single" w:color="D9D9D9" w:sz="2"/>
              <w:bottom w:val="single" w:color="D9D9D9" w:sz="2"/>
              <w:right w:val="single" w:color="D9D9D9" w:sz="2"/>
            </w:tcBorders>
            <w:shd w:fill="1B2A4A" w:color="auto"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9"/>
                <w:szCs w:val="19"/>
              </w:rPr>
              <w:t xml:space="preserve">Role</w:t>
            </w:r>
          </w:p>
        </w:tc>
        <w:tc>
          <w:tcPr>
            <w:tcW w:type="dxa" w:w="1786"/>
            <w:tcBorders>
              <w:top w:val="single" w:color="D9D9D9" w:sz="2"/>
              <w:left w:val="single" w:color="D9D9D9" w:sz="2"/>
              <w:bottom w:val="single" w:color="D9D9D9" w:sz="2"/>
              <w:right w:val="single" w:color="D9D9D9" w:sz="2"/>
            </w:tcBorders>
            <w:shd w:fill="1B2A4A" w:color="auto"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9"/>
                <w:szCs w:val="19"/>
              </w:rPr>
              <w:t xml:space="preserve">Since</w:t>
            </w:r>
          </w:p>
        </w:tc>
        <w:tc>
          <w:tcPr>
            <w:tcW w:type="dxa" w:w="3572"/>
            <w:tcBorders>
              <w:top w:val="single" w:color="D9D9D9" w:sz="2"/>
              <w:left w:val="single" w:color="D9D9D9" w:sz="2"/>
              <w:bottom w:val="single" w:color="D9D9D9" w:sz="2"/>
              <w:right w:val="single" w:color="D9D9D9" w:sz="2"/>
            </w:tcBorders>
            <w:shd w:fill="1B2A4A" w:color="auto"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9"/>
                <w:szCs w:val="19"/>
              </w:rPr>
              <w:t xml:space="preserve">Prior / notable</w:t>
            </w:r>
          </w:p>
        </w:tc>
      </w:tr>
      <w:tr>
        <w:tc>
          <w:tcPr>
            <w:tcW w:type="dxa" w:w="2273"/>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Brijendra Pratap Singh</w:t>
            </w:r>
          </w:p>
        </w:tc>
        <w:tc>
          <w:tcPr>
            <w:tcW w:type="dxa" w:w="2273"/>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Chairman-cum-Managing Director</w:t>
            </w:r>
          </w:p>
        </w:tc>
        <w:tc>
          <w:tcPr>
            <w:tcW w:type="dxa" w:w="1786"/>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Charge 8-Jan-2025 (PESB 17-Sep-2024)</w:t>
            </w:r>
          </w:p>
        </w:tc>
        <w:tc>
          <w:tcPr>
            <w:tcW w:type="dxa" w:w="3572"/>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35+ yrs SAIL (ex Director-in-Charge, Burnpur/Durgapur); primary spokesperson on all 4 FY26 calls</w:t>
            </w:r>
          </w:p>
        </w:tc>
      </w:tr>
      <w:tr>
        <w:tc>
          <w:tcPr>
            <w:tcW w:type="dxa" w:w="2273"/>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Abhay Kumar Behuria</w:t>
            </w:r>
          </w:p>
        </w:tc>
        <w:tc>
          <w:tcPr>
            <w:tcW w:type="dxa" w:w="2273"/>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Director (Finance)</w:t>
            </w:r>
          </w:p>
        </w:tc>
        <w:tc>
          <w:tcPr>
            <w:tcW w:type="dxa" w:w="1786"/>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11-Jun-2025</w:t>
            </w:r>
          </w:p>
        </w:tc>
        <w:tc>
          <w:tcPr>
            <w:tcW w:type="dxa" w:w="3572"/>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ED Finance, Rourkela Steel Plant (SAIL)</w:t>
            </w:r>
          </w:p>
        </w:tc>
      </w:tr>
      <w:tr>
        <w:tc>
          <w:tcPr>
            <w:tcW w:type="dxa" w:w="2273"/>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Jagdish Arora</w:t>
            </w:r>
          </w:p>
        </w:tc>
        <w:tc>
          <w:tcPr>
            <w:tcW w:type="dxa" w:w="2273"/>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Director (Production &amp; Technical)</w:t>
            </w:r>
          </w:p>
        </w:tc>
        <w:tc>
          <w:tcPr>
            <w:tcW w:type="dxa" w:w="1786"/>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Not extracted</w:t>
            </w:r>
          </w:p>
        </w:tc>
        <w:tc>
          <w:tcPr>
            <w:tcW w:type="dxa" w:w="3572"/>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Handled operational/technical Q&amp;A, Q2 FY26</w:t>
            </w:r>
          </w:p>
        </w:tc>
      </w:tr>
      <w:tr>
        <w:tc>
          <w:tcPr>
            <w:tcW w:type="dxa" w:w="2273"/>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Anil Kumar Singh</w:t>
            </w:r>
          </w:p>
        </w:tc>
        <w:tc>
          <w:tcPr>
            <w:tcW w:type="dxa" w:w="2273"/>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Director (Commercial)</w:t>
            </w:r>
          </w:p>
        </w:tc>
        <w:tc>
          <w:tcPr>
            <w:tcW w:type="dxa" w:w="1786"/>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7-Jan-2026</w:t>
            </w:r>
          </w:p>
        </w:tc>
        <w:tc>
          <w:tcPr>
            <w:tcW w:type="dxa" w:w="3572"/>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Ex-Hindustan Copper / RINL</w:t>
            </w:r>
          </w:p>
        </w:tc>
      </w:tr>
      <w:tr>
        <w:tc>
          <w:tcPr>
            <w:tcW w:type="dxa" w:w="2273"/>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Pankaj Kumar Sharma</w:t>
            </w:r>
          </w:p>
        </w:tc>
        <w:tc>
          <w:tcPr>
            <w:tcW w:type="dxa" w:w="2273"/>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Director (Production)</w:t>
            </w:r>
          </w:p>
        </w:tc>
        <w:tc>
          <w:tcPr>
            <w:tcW w:type="dxa" w:w="1786"/>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1-Feb-2023</w:t>
            </w:r>
          </w:p>
        </w:tc>
        <w:tc>
          <w:tcPr>
            <w:tcW w:type="dxa" w:w="3572"/>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Ex-NMDC</w:t>
            </w:r>
          </w:p>
        </w:tc>
      </w:tr>
      <w:tr>
        <w:tc>
          <w:tcPr>
            <w:tcW w:type="dxa" w:w="2273"/>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Three independent directors</w:t>
            </w:r>
          </w:p>
        </w:tc>
        <w:tc>
          <w:tcPr>
            <w:tcW w:type="dxa" w:w="2273"/>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Independent</w:t>
            </w:r>
          </w:p>
        </w:tc>
        <w:tc>
          <w:tcPr>
            <w:tcW w:type="dxa" w:w="1786"/>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Ceased 31-Mar-2026, not replaced [F-EXT-1155]</w:t>
            </w:r>
          </w:p>
        </w:tc>
        <w:tc>
          <w:tcPr>
            <w:tcW w:type="dxa" w:w="3572"/>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Cessation triggered the LODR breach below</w:t>
            </w:r>
          </w:p>
        </w:tc>
      </w:tr>
    </w:tbl>
    <w:p>
      <w:pPr>
        <w:spacing w:after="120"/>
      </w:pPr>
    </w:p>
    <w:p>
      <w:pPr>
        <w:spacing w:after="60"/>
      </w:pPr>
      <w:r>
        <w:rPr>
          <w:rFonts w:ascii="Calibri" w:cs="Calibri" w:eastAsia="Calibri" w:hAnsi="Calibri"/>
          <w:i/>
          <w:iCs/>
          <w:color w:val="44546A"/>
          <w:sz w:val="18"/>
          <w:szCs w:val="18"/>
        </w:rPr>
        <w:t xml:space="preserve">Governance composite (weighted)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79"/>
        <w:gridCol w:w="1188"/>
        <w:gridCol w:w="1386"/>
        <w:gridCol w:w="5151"/>
      </w:tblGrid>
      <w:tr>
        <w:trPr>
          <w:tblHeader/>
        </w:trPr>
        <w:tc>
          <w:tcPr>
            <w:tcW w:type="dxa" w:w="2179"/>
            <w:tcBorders>
              <w:top w:val="single" w:color="D9D9D9" w:sz="2"/>
              <w:left w:val="single" w:color="D9D9D9" w:sz="2"/>
              <w:bottom w:val="single" w:color="D9D9D9" w:sz="2"/>
              <w:right w:val="single" w:color="D9D9D9" w:sz="2"/>
            </w:tcBorders>
            <w:shd w:fill="1B2A4A" w:color="auto"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9"/>
                <w:szCs w:val="19"/>
              </w:rPr>
              <w:t xml:space="preserve">Component</w:t>
            </w:r>
          </w:p>
        </w:tc>
        <w:tc>
          <w:tcPr>
            <w:tcW w:type="dxa" w:w="1188"/>
            <w:tcBorders>
              <w:top w:val="single" w:color="D9D9D9" w:sz="2"/>
              <w:left w:val="single" w:color="D9D9D9" w:sz="2"/>
              <w:bottom w:val="single" w:color="D9D9D9" w:sz="2"/>
              <w:right w:val="single" w:color="D9D9D9" w:sz="2"/>
            </w:tcBorders>
            <w:shd w:fill="1B2A4A" w:color="auto"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9"/>
                <w:szCs w:val="19"/>
              </w:rPr>
              <w:t xml:space="preserve">Weight</w:t>
            </w:r>
          </w:p>
        </w:tc>
        <w:tc>
          <w:tcPr>
            <w:tcW w:type="dxa" w:w="1386"/>
            <w:tcBorders>
              <w:top w:val="single" w:color="D9D9D9" w:sz="2"/>
              <w:left w:val="single" w:color="D9D9D9" w:sz="2"/>
              <w:bottom w:val="single" w:color="D9D9D9" w:sz="2"/>
              <w:right w:val="single" w:color="D9D9D9" w:sz="2"/>
            </w:tcBorders>
            <w:shd w:fill="1B2A4A" w:color="auto"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9"/>
                <w:szCs w:val="19"/>
              </w:rPr>
              <w:t xml:space="preserve">Score</w:t>
            </w:r>
          </w:p>
        </w:tc>
        <w:tc>
          <w:tcPr>
            <w:tcW w:type="dxa" w:w="5151"/>
            <w:tcBorders>
              <w:top w:val="single" w:color="D9D9D9" w:sz="2"/>
              <w:left w:val="single" w:color="D9D9D9" w:sz="2"/>
              <w:bottom w:val="single" w:color="D9D9D9" w:sz="2"/>
              <w:right w:val="single" w:color="D9D9D9" w:sz="2"/>
            </w:tcBorders>
            <w:shd w:fill="1B2A4A" w:color="auto"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9"/>
                <w:szCs w:val="19"/>
              </w:rPr>
              <w:t xml:space="preserve">Note</w:t>
            </w:r>
          </w:p>
        </w:tc>
      </w:tr>
      <w:tr>
        <w:tc>
          <w:tcPr>
            <w:tcW w:type="dxa" w:w="2179"/>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Accounting</w:t>
            </w:r>
          </w:p>
        </w:tc>
        <w:tc>
          <w:tcPr>
            <w:tcW w:type="dxa" w:w="1188"/>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35%</w:t>
            </w:r>
          </w:p>
        </w:tc>
        <w:tc>
          <w:tcPr>
            <w:tcW w:type="dxa" w:w="1386"/>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90</w:t>
            </w:r>
          </w:p>
        </w:tc>
        <w:tc>
          <w:tcPr>
            <w:tcW w:type="dxa" w:w="5151"/>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Unqualified opinions FY2021–FY2025; CAG “Nil” FY2024/FY2025 [F-AUD-04/25]; held below high-90s only for a payroll audit-trail control gap [F-AUD-26]</w:t>
            </w:r>
          </w:p>
        </w:tc>
      </w:tr>
      <w:tr>
        <w:tc>
          <w:tcPr>
            <w:tcW w:type="dxa" w:w="2179"/>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Governance</w:t>
            </w:r>
          </w:p>
        </w:tc>
        <w:tc>
          <w:tcPr>
            <w:tcW w:type="dxa" w:w="1188"/>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30%</w:t>
            </w:r>
          </w:p>
        </w:tc>
        <w:tc>
          <w:tcPr>
            <w:tcW w:type="dxa" w:w="1386"/>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58</w:t>
            </w:r>
          </w:p>
        </w:tc>
        <w:tc>
          <w:tcPr>
            <w:tcW w:type="dxa" w:w="5151"/>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Downgraded from 80 on the fined LODR breach (F-EXT-1155) + open CBI probe (F-EXT-1156)</w:t>
            </w:r>
          </w:p>
        </w:tc>
      </w:tr>
      <w:tr>
        <w:tc>
          <w:tcPr>
            <w:tcW w:type="dxa" w:w="2179"/>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Legal / regulatory</w:t>
            </w:r>
          </w:p>
        </w:tc>
        <w:tc>
          <w:tcPr>
            <w:tcW w:type="dxa" w:w="1188"/>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20%</w:t>
            </w:r>
          </w:p>
        </w:tc>
        <w:tc>
          <w:tcPr>
            <w:tcW w:type="dxa" w:w="1386"/>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62 (prov.)</w:t>
            </w:r>
          </w:p>
        </w:tc>
        <w:tc>
          <w:tcPr>
            <w:tcW w:type="dxa" w:w="5151"/>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Downgraded from 70; SEBI/NCLT/NCLAT docket sweep unresolved (portals not indexable) — “unverified-clean, disclosed gap”</w:t>
            </w:r>
          </w:p>
        </w:tc>
      </w:tr>
      <w:tr>
        <w:tc>
          <w:tcPr>
            <w:tcW w:type="dxa" w:w="2179"/>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Concall behaviour</w:t>
            </w:r>
          </w:p>
        </w:tc>
        <w:tc>
          <w:tcPr>
            <w:tcW w:type="dxa" w:w="1188"/>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15%</w:t>
            </w:r>
          </w:p>
        </w:tc>
        <w:tc>
          <w:tcPr>
            <w:tcW w:type="dxa" w:w="1386"/>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80</w:t>
            </w:r>
          </w:p>
        </w:tc>
        <w:tc>
          <w:tcPr>
            <w:tcW w:type="dxa" w:w="5151"/>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2 evasive-candidate records of ~350+ across 4 calls; both self-flagged uncertainty on mine-lease dates, not refusal</w:t>
            </w:r>
          </w:p>
        </w:tc>
      </w:tr>
    </w:tbl>
    <w:p>
      <w:pPr>
        <w:spacing w:after="120"/>
      </w:pPr>
    </w:p>
    <w:p>
      <w:pPr>
        <w:spacing w:after="140"/>
      </w:pPr>
      <w:r>
        <w:rPr>
          <w:rFonts w:ascii="Calibri" w:cs="Calibri" w:eastAsia="Calibri" w:hAnsi="Calibri"/>
          <w:b w:val="false"/>
          <w:bCs w:val="false"/>
          <w:i/>
          <w:iCs/>
          <w:color w:val="1A1A1A"/>
          <w:sz w:val="18"/>
          <w:szCs w:val="18"/>
        </w:rPr>
        <w:t xml:space="preserve">Weighted: 0.35×90 + 0.30×58 + 0.20×62 + 0.15×80 = 73.3.</w:t>
      </w:r>
    </w:p>
    <w:p>
      <w:pPr>
        <w:spacing w:after="60"/>
      </w:pPr>
      <w:r>
        <w:rPr>
          <w:rFonts w:ascii="Calibri" w:cs="Calibri" w:eastAsia="Calibri" w:hAnsi="Calibri"/>
          <w:i/>
          <w:iCs/>
          <w:color w:val="44546A"/>
          <w:sz w:val="18"/>
          <w:szCs w:val="18"/>
        </w:rPr>
        <w:t xml:space="preserve">Guidance ledger + credibility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28"/>
        <w:gridCol w:w="5256"/>
        <w:gridCol w:w="2021"/>
      </w:tblGrid>
      <w:tr>
        <w:trPr>
          <w:tblHeader/>
        </w:trPr>
        <w:tc>
          <w:tcPr>
            <w:tcW w:type="dxa" w:w="2628"/>
            <w:tcBorders>
              <w:top w:val="single" w:color="D9D9D9" w:sz="2"/>
              <w:left w:val="single" w:color="D9D9D9" w:sz="2"/>
              <w:bottom w:val="single" w:color="D9D9D9" w:sz="2"/>
              <w:right w:val="single" w:color="D9D9D9" w:sz="2"/>
            </w:tcBorders>
            <w:shd w:fill="1B2A4A" w:color="auto"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9"/>
                <w:szCs w:val="19"/>
              </w:rPr>
              <w:t xml:space="preserve">Metric family</w:t>
            </w:r>
          </w:p>
        </w:tc>
        <w:tc>
          <w:tcPr>
            <w:tcW w:type="dxa" w:w="5256"/>
            <w:tcBorders>
              <w:top w:val="single" w:color="D9D9D9" w:sz="2"/>
              <w:left w:val="single" w:color="D9D9D9" w:sz="2"/>
              <w:bottom w:val="single" w:color="D9D9D9" w:sz="2"/>
              <w:right w:val="single" w:color="D9D9D9" w:sz="2"/>
            </w:tcBorders>
            <w:shd w:fill="1B2A4A" w:color="auto"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9"/>
                <w:szCs w:val="19"/>
              </w:rPr>
              <w:t xml:space="preserve">One-line history</w:t>
            </w:r>
          </w:p>
        </w:tc>
        <w:tc>
          <w:tcPr>
            <w:tcW w:type="dxa" w:w="2021"/>
            <w:tcBorders>
              <w:top w:val="single" w:color="D9D9D9" w:sz="2"/>
              <w:left w:val="single" w:color="D9D9D9" w:sz="2"/>
              <w:bottom w:val="single" w:color="D9D9D9" w:sz="2"/>
              <w:right w:val="single" w:color="D9D9D9" w:sz="2"/>
            </w:tcBorders>
            <w:shd w:fill="1B2A4A" w:color="auto"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9"/>
                <w:szCs w:val="19"/>
              </w:rPr>
              <w:t xml:space="preserve">Credibility</w:t>
            </w:r>
          </w:p>
        </w:tc>
      </w:tr>
      <w:tr>
        <w:tc>
          <w:tcPr>
            <w:tcW w:type="dxa" w:w="2628"/>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Alumina volume production/sales</w:t>
            </w:r>
          </w:p>
        </w:tc>
        <w:tc>
          <w:tcPr>
            <w:tcW w:type="dxa" w:w="5256"/>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Beat 3/3 verifiable full-year guides (FY26 14.46 lakh t vs successive guides), though the guide moved down mid-year first</w:t>
            </w:r>
          </w:p>
        </w:tc>
        <w:tc>
          <w:tcPr>
            <w:tcW w:type="dxa" w:w="2021"/>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C4711B"/>
                <w:sz w:val="19"/>
                <w:szCs w:val="19"/>
              </w:rPr>
              <w:t xml:space="preserve">Medium</w:t>
            </w:r>
          </w:p>
        </w:tc>
      </w:tr>
      <w:tr>
        <w:tc>
          <w:tcPr>
            <w:tcW w:type="dxa" w:w="2628"/>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Metal volume production</w:t>
            </w:r>
          </w:p>
        </w:tc>
        <w:tc>
          <w:tcPr>
            <w:tcW w:type="dxa" w:w="5256"/>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Met 1/1 almost exactly (470K guided vs 471K actual, &lt;0.3%)</w:t>
            </w:r>
          </w:p>
        </w:tc>
        <w:tc>
          <w:tcPr>
            <w:tcW w:type="dxa" w:w="2021"/>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8B1E1E"/>
                <w:sz w:val="19"/>
                <w:szCs w:val="19"/>
              </w:rPr>
              <w:t xml:space="preserve">High</w:t>
            </w:r>
          </w:p>
        </w:tc>
      </w:tr>
      <w:tr>
        <w:tc>
          <w:tcPr>
            <w:tcW w:type="dxa" w:w="2628"/>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5th-stream refinery commissioning timeline</w:t>
            </w:r>
          </w:p>
        </w:tc>
        <w:tc>
          <w:tcPr>
            <w:tcW w:type="dxa" w:w="5256"/>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One material slip (implied Sept-2025 → June-2026), then held 3 quarters</w:t>
            </w:r>
          </w:p>
        </w:tc>
        <w:tc>
          <w:tcPr>
            <w:tcW w:type="dxa" w:w="2021"/>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2E6E3E"/>
                <w:sz w:val="19"/>
                <w:szCs w:val="19"/>
              </w:rPr>
              <w:t xml:space="preserve">Low</w:t>
            </w:r>
          </w:p>
        </w:tc>
      </w:tr>
      <w:tr>
        <w:tc>
          <w:tcPr>
            <w:tcW w:type="dxa" w:w="2628"/>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5th-stream FY26 volume contribution</w:t>
            </w:r>
          </w:p>
        </w:tc>
        <w:tc>
          <w:tcPr>
            <w:tcW w:type="dxa" w:w="5256"/>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Cut ~40% in-year (500KT→300KT), then deferred to FY27 (200KT)</w:t>
            </w:r>
          </w:p>
        </w:tc>
        <w:tc>
          <w:tcPr>
            <w:tcW w:type="dxa" w:w="2021"/>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2E6E3E"/>
                <w:sz w:val="19"/>
                <w:szCs w:val="19"/>
              </w:rPr>
              <w:t xml:space="preserve">Low</w:t>
            </w:r>
          </w:p>
        </w:tc>
      </w:tr>
      <w:tr>
        <w:tc>
          <w:tcPr>
            <w:tcW w:type="dxa" w:w="2628"/>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0.5 MTPA smelter capex &amp; timeline</w:t>
            </w:r>
          </w:p>
        </w:tc>
        <w:tc>
          <w:tcPr>
            <w:tcW w:type="dxa" w:w="5256"/>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Date stated Aug-2030 / Dec-2030 / Jun-2031 (self-contradictory Q4 PPT); capex ₹30,000cr → ₹23,000–24,000cr</w:t>
            </w:r>
          </w:p>
        </w:tc>
        <w:tc>
          <w:tcPr>
            <w:tcW w:type="dxa" w:w="2021"/>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2E6E3E"/>
                <w:sz w:val="19"/>
                <w:szCs w:val="19"/>
              </w:rPr>
              <w:t xml:space="preserve">Low</w:t>
            </w:r>
          </w:p>
        </w:tc>
      </w:tr>
      <w:tr>
        <w:tc>
          <w:tcPr>
            <w:tcW w:type="dxa" w:w="2628"/>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Pottangi bauxite commissioning</w:t>
            </w:r>
          </w:p>
        </w:tc>
        <w:tc>
          <w:tcPr>
            <w:tcW w:type="dxa" w:w="5256"/>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Transcript-vs-PPT date mismatch same quarter; MDO awarded Dilip Buildcon Dec-2025</w:t>
            </w:r>
          </w:p>
        </w:tc>
        <w:tc>
          <w:tcPr>
            <w:tcW w:type="dxa" w:w="2021"/>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2E6E3E"/>
                <w:sz w:val="19"/>
                <w:szCs w:val="19"/>
              </w:rPr>
              <w:t xml:space="preserve">Low</w:t>
            </w:r>
          </w:p>
        </w:tc>
      </w:tr>
      <w:tr>
        <w:tc>
          <w:tcPr>
            <w:tcW w:type="dxa" w:w="2628"/>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FY capex total</w:t>
            </w:r>
          </w:p>
        </w:tc>
        <w:tc>
          <w:tcPr>
            <w:tcW w:type="dxa" w:w="5256"/>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FY26 ₹1,700cr guided vs ~₹2,000–2,100cr actual (+18–24%)</w:t>
            </w:r>
          </w:p>
        </w:tc>
        <w:tc>
          <w:tcPr>
            <w:tcW w:type="dxa" w:w="2021"/>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C4711B"/>
                <w:sz w:val="19"/>
                <w:szCs w:val="19"/>
              </w:rPr>
              <w:t xml:space="preserve">Medium</w:t>
            </w:r>
          </w:p>
        </w:tc>
      </w:tr>
      <w:tr>
        <w:tc>
          <w:tcPr>
            <w:tcW w:type="dxa" w:w="2628"/>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Alumina price realization</w:t>
            </w:r>
          </w:p>
        </w:tc>
        <w:tc>
          <w:tcPr>
            <w:tcW w:type="dxa" w:w="5256"/>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Ratcheted down each quarter ($400–450→$320–340→$310–320)</w:t>
            </w:r>
          </w:p>
        </w:tc>
        <w:tc>
          <w:tcPr>
            <w:tcW w:type="dxa" w:w="2021"/>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2E6E3E"/>
                <w:sz w:val="19"/>
                <w:szCs w:val="19"/>
              </w:rPr>
              <w:t xml:space="preserve">Low</w:t>
            </w:r>
          </w:p>
        </w:tc>
      </w:tr>
      <w:tr>
        <w:tc>
          <w:tcPr>
            <w:tcW w:type="dxa" w:w="2628"/>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Aluminium LME price</w:t>
            </w:r>
          </w:p>
        </w:tc>
        <w:tc>
          <w:tcPr>
            <w:tcW w:type="dxa" w:w="5256"/>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Q4 guide missed low; CY2026 guide swung +17% in one quarter</w:t>
            </w:r>
          </w:p>
        </w:tc>
        <w:tc>
          <w:tcPr>
            <w:tcW w:type="dxa" w:w="2021"/>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2E6E3E"/>
                <w:sz w:val="19"/>
                <w:szCs w:val="19"/>
              </w:rPr>
              <w:t xml:space="preserve">Low</w:t>
            </w:r>
          </w:p>
        </w:tc>
      </w:tr>
      <w:tr>
        <w:tc>
          <w:tcPr>
            <w:tcW w:type="dxa" w:w="2628"/>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Coal captive production</w:t>
            </w:r>
          </w:p>
        </w:tc>
        <w:tc>
          <w:tcPr>
            <w:tcW w:type="dxa" w:w="5256"/>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4 MTpa held all 4 quarters, delivered (+41.84% YoY)</w:t>
            </w:r>
          </w:p>
        </w:tc>
        <w:tc>
          <w:tcPr>
            <w:tcW w:type="dxa" w:w="2021"/>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8B1E1E"/>
                <w:sz w:val="19"/>
                <w:szCs w:val="19"/>
              </w:rPr>
              <w:t xml:space="preserve">Medium-High</w:t>
            </w:r>
          </w:p>
        </w:tc>
      </w:tr>
    </w:tbl>
    <w:p>
      <w:pPr>
        <w:spacing w:after="120"/>
      </w:pPr>
    </w:p>
    <w:p>
      <w:pPr>
        <w:spacing w:after="140"/>
      </w:pPr>
      <w:r>
        <w:rPr>
          <w:rFonts w:ascii="Calibri" w:cs="Calibri" w:eastAsia="Calibri" w:hAnsi="Calibri"/>
          <w:b w:val="false"/>
          <w:bCs w:val="false"/>
          <w:i w:val="false"/>
          <w:iCs w:val="false"/>
          <w:color w:val="1A1A1A"/>
          <w:sz w:val="19"/>
          <w:szCs w:val="19"/>
        </w:rPr>
        <w:t xml:space="preserve">Guidance families most relevant to FY27–28 estimates (5th-stream volume, price) are precisely the lowest-credibility families. The cost-efficiency and metal-volume families are the cleanest.</w:t>
      </w:r>
    </w:p>
    <w:p>
      <w:pPr>
        <w:spacing w:after="60"/>
      </w:pPr>
      <w:r>
        <w:rPr>
          <w:rFonts w:ascii="Calibri" w:cs="Calibri" w:eastAsia="Calibri" w:hAnsi="Calibri"/>
          <w:i/>
          <w:iCs/>
          <w:color w:val="44546A"/>
          <w:sz w:val="18"/>
          <w:szCs w:val="18"/>
        </w:rPr>
        <w:t xml:space="preserve">Direct-quotes bank (claims vs reality; attributed by role)</w:t>
      </w:r>
    </w:p>
    <w:p>
      <w:pPr>
        <w:pStyle w:val="ListParagraph"/>
        <w:numPr>
          <w:ilvl w:val="0"/>
          <w:numId w:val="2"/>
        </w:numPr>
        <w:spacing w:after="70"/>
      </w:pPr>
      <w:r>
        <w:rPr>
          <w:rFonts w:ascii="Calibri" w:cs="Calibri" w:eastAsia="Calibri" w:hAnsi="Calibri"/>
          <w:color w:val="1A1A1A"/>
          <w:sz w:val="21"/>
          <w:szCs w:val="21"/>
        </w:rPr>
        <w:t xml:space="preserve">CMD, Q4 FY26 call [QT-Q4-001]: best-ever physical performance across bauxite, alumina and metal production. Reality: accurate at the volume level, but glosses the sharply negative Q4 YoY profit trend (revenue −4.8%, PAT −17.4% [S693]) — headline narrative and quarterly cadence diverge (F-FUND-10).</w:t>
      </w:r>
    </w:p>
    <w:p>
      <w:pPr>
        <w:pStyle w:val="ListParagraph"/>
        <w:numPr>
          <w:ilvl w:val="0"/>
          <w:numId w:val="2"/>
        </w:numPr>
        <w:spacing w:after="70"/>
      </w:pPr>
      <w:r>
        <w:rPr>
          <w:rFonts w:ascii="Calibri" w:cs="Calibri" w:eastAsia="Calibri" w:hAnsi="Calibri"/>
          <w:color w:val="1A1A1A"/>
          <w:sz w:val="21"/>
          <w:szCs w:val="21"/>
        </w:rPr>
        <w:t xml:space="preserve">Management, Q3 FY26 call [GD-Q3-037]: the 5th-stream FY26 contribution reset to “a more realistic 3 lakh KT.” Reality: a company-labelled ~40% in-year revision on the single largest near-term growth lever (RF-GUI-01).</w:t>
      </w:r>
    </w:p>
    <w:p>
      <w:pPr>
        <w:pStyle w:val="ListParagraph"/>
        <w:numPr>
          <w:ilvl w:val="0"/>
          <w:numId w:val="2"/>
        </w:numPr>
        <w:spacing w:after="70"/>
      </w:pPr>
      <w:r>
        <w:rPr>
          <w:rFonts w:ascii="Calibri" w:cs="Calibri" w:eastAsia="Calibri" w:hAnsi="Calibri"/>
          <w:color w:val="1A1A1A"/>
          <w:sz w:val="21"/>
          <w:szCs w:val="21"/>
        </w:rPr>
        <w:t xml:space="preserve">CMD, Q2 FY26 call [QT-Q2-041], on bauxite mine-lease renewal dates: self-flagged uncertainty (“we will have to check up the data”) — routed as OQ-DR1-1, treated as transparency-positive rather than evasive.</w:t>
      </w:r>
    </w:p>
    <w:p>
      <w:pPr>
        <w:spacing w:after="140"/>
      </w:pPr>
      <w:r>
        <w:rPr>
          <w:rFonts w:ascii="Calibri" w:cs="Calibri" w:eastAsia="Calibri" w:hAnsi="Calibri"/>
          <w:b w:val="false"/>
          <w:bCs w:val="false"/>
          <w:i w:val="false"/>
          <w:iCs w:val="false"/>
          <w:color w:val="1A1A1A"/>
          <w:sz w:val="19"/>
          <w:szCs w:val="19"/>
        </w:rPr>
        <w:t xml:space="preserve">Forensic scorecard (weighted, standalone FY2021–FY2025): composite 75/100. Components: cash_conversion 62, accrual_ratio_trend 78, one_off_frequency 92, provisioning_adequacy 72, audit_cleanliness 92, disclosure_quality 68 (weights 25/20/15/15/15/10) — above-median for an Indian commodity CPSE.</w:t>
      </w:r>
    </w:p>
    <w:p>
      <w:pPr>
        <w:spacing w:after="60"/>
      </w:pPr>
      <w:r>
        <w:rPr>
          <w:rFonts w:ascii="Calibri" w:cs="Calibri" w:eastAsia="Calibri" w:hAnsi="Calibri"/>
          <w:i/>
          <w:iCs/>
          <w:color w:val="44546A"/>
          <w:sz w:val="18"/>
          <w:szCs w:val="18"/>
        </w:rPr>
        <w:t xml:space="preserve">Governance chronology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58"/>
        <w:gridCol w:w="7547"/>
      </w:tblGrid>
      <w:tr>
        <w:trPr>
          <w:tblHeader/>
        </w:trPr>
        <w:tc>
          <w:tcPr>
            <w:tcW w:type="dxa" w:w="2358"/>
            <w:tcBorders>
              <w:top w:val="single" w:color="D9D9D9" w:sz="2"/>
              <w:left w:val="single" w:color="D9D9D9" w:sz="2"/>
              <w:bottom w:val="single" w:color="D9D9D9" w:sz="2"/>
              <w:right w:val="single" w:color="D9D9D9" w:sz="2"/>
            </w:tcBorders>
            <w:shd w:fill="1B2A4A" w:color="auto"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9"/>
                <w:szCs w:val="19"/>
              </w:rPr>
              <w:t xml:space="preserve">Date</w:t>
            </w:r>
          </w:p>
        </w:tc>
        <w:tc>
          <w:tcPr>
            <w:tcW w:type="dxa" w:w="7547"/>
            <w:tcBorders>
              <w:top w:val="single" w:color="D9D9D9" w:sz="2"/>
              <w:left w:val="single" w:color="D9D9D9" w:sz="2"/>
              <w:bottom w:val="single" w:color="D9D9D9" w:sz="2"/>
              <w:right w:val="single" w:color="D9D9D9" w:sz="2"/>
            </w:tcBorders>
            <w:shd w:fill="1B2A4A" w:color="auto"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9"/>
                <w:szCs w:val="19"/>
              </w:rPr>
              <w:t xml:space="preserve">Event</w:t>
            </w:r>
          </w:p>
        </w:tc>
      </w:tr>
      <w:tr>
        <w:tc>
          <w:tcPr>
            <w:tcW w:type="dxa" w:w="2358"/>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FY2021</w:t>
            </w:r>
          </w:p>
        </w:tc>
        <w:tc>
          <w:tcPr>
            <w:tcW w:type="dxa" w:w="7547"/>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Unqualified opinion; buyback 2.9cr shares ₹170.12cr; contingent liabilities ₹2,153.48cr</w:t>
            </w:r>
          </w:p>
        </w:tc>
      </w:tr>
      <w:tr>
        <w:tc>
          <w:tcPr>
            <w:tcW w:type="dxa" w:w="2358"/>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FY2022</w:t>
            </w:r>
          </w:p>
        </w:tc>
        <w:tc>
          <w:tcPr>
            <w:tcW w:type="dxa" w:w="7547"/>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Unqualified; dividend payout 37.33%; contingent liabilities ₹2,378.4cr</w:t>
            </w:r>
          </w:p>
        </w:tc>
      </w:tr>
      <w:tr>
        <w:tc>
          <w:tcPr>
            <w:tcW w:type="dxa" w:w="2358"/>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FY2023</w:t>
            </w:r>
          </w:p>
        </w:tc>
        <w:tc>
          <w:tcPr>
            <w:tcW w:type="dxa" w:w="7547"/>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Unqualified; other income 25.9% of CFO (RF-001); DSO +21% (RF-002)</w:t>
            </w:r>
          </w:p>
        </w:tc>
      </w:tr>
      <w:tr>
        <w:tc>
          <w:tcPr>
            <w:tcW w:type="dxa" w:w="2358"/>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FY2024</w:t>
            </w:r>
          </w:p>
        </w:tc>
        <w:tc>
          <w:tcPr>
            <w:tcW w:type="dxa" w:w="7547"/>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Unqualified (A.K. Sabat &amp; Co. / P.A. &amp; Associates); CAG “Nil”; contingent liabilities ₹1,920.03cr; DSO +82% (RF-003)</w:t>
            </w:r>
          </w:p>
        </w:tc>
      </w:tr>
      <w:tr>
        <w:tc>
          <w:tcPr>
            <w:tcW w:type="dxa" w:w="2358"/>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FY2025 (AR 02-Sep-2025)</w:t>
            </w:r>
          </w:p>
        </w:tc>
        <w:tc>
          <w:tcPr>
            <w:tcW w:type="dxa" w:w="7547"/>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Unqualified (B M Chatrath &amp; Co. LLP / SRB &amp; Associates); CAG “Nil”; contingent liabilities ₹2,050.43cr; dividend to GoI ₹941.80cr; payroll audit-trail feature not enabled</w:t>
            </w:r>
          </w:p>
        </w:tc>
      </w:tr>
      <w:tr>
        <w:tc>
          <w:tcPr>
            <w:tcW w:type="dxa" w:w="2358"/>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2026-02-27</w:t>
            </w:r>
          </w:p>
        </w:tc>
        <w:tc>
          <w:tcPr>
            <w:tcW w:type="dxa" w:w="7547"/>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BSE &amp; NSE each fine NALCO ₹5,42,800 (total ₹10,85,600 incl. 18% GST) for LODR Reg. 17(1) breach, quarter ended 31-Dec-2025 [F-EXT-1155]</w:t>
            </w:r>
          </w:p>
        </w:tc>
      </w:tr>
      <w:tr>
        <w:tc>
          <w:tcPr>
            <w:tcW w:type="dxa" w:w="2358"/>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2026-03-17</w:t>
            </w:r>
          </w:p>
        </w:tc>
        <w:tc>
          <w:tcPr>
            <w:tcW w:type="dxa" w:w="7547"/>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NALCO requests fine waiver, citing GoI's exclusive control over ID appointments; outcome not yet reported</w:t>
            </w:r>
          </w:p>
        </w:tc>
      </w:tr>
      <w:tr>
        <w:tc>
          <w:tcPr>
            <w:tcW w:type="dxa" w:w="2358"/>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2026-03-31</w:t>
            </w:r>
          </w:p>
        </w:tc>
        <w:tc>
          <w:tcPr>
            <w:tcW w:type="dxa" w:w="7547"/>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Three IDs cease on tenure expiry, not replaced — degrades board + Audit/NRC/Stakeholders committees</w:t>
            </w:r>
          </w:p>
        </w:tc>
      </w:tr>
      <w:tr>
        <w:tc>
          <w:tcPr>
            <w:tcW w:type="dxa" w:w="2358"/>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2026</w:t>
            </w:r>
          </w:p>
        </w:tc>
        <w:tc>
          <w:tcPr>
            <w:tcW w:type="dxa" w:w="7547"/>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CBI opens a recruitment-fraud probe at the Haradghana site (~20 people allegedly given jobs without advertisement); NALCO disputes the “raid” framing [F-EXT-1156]</w:t>
            </w:r>
          </w:p>
        </w:tc>
      </w:tr>
    </w:tbl>
    <w:p>
      <w:pPr>
        <w:spacing w:after="120"/>
      </w:pPr>
    </w:p>
    <w:p>
      <w:pPr>
        <w:spacing w:after="140"/>
      </w:pPr>
      <w:r>
        <w:rPr>
          <w:rFonts w:ascii="Calibri" w:cs="Calibri" w:eastAsia="Calibri" w:hAnsi="Calibri"/>
          <w:b w:val="false"/>
          <w:bCs w:val="false"/>
          <w:i w:val="false"/>
          <w:iCs w:val="false"/>
          <w:color w:val="1A1A1A"/>
          <w:sz w:val="19"/>
          <w:szCs w:val="19"/>
        </w:rPr>
        <w:t xml:space="preserve">Shareholding: promoter (President of India / Ministry of Mines) 51.28%, unchanged vs Dec-2025, no encumbrance [S1450] — pledge concept does not apply to a sovereign promoter. Related-party trade is structurally CPSE-to-CPSE under a common owner: FY2025 CPSE purchases ₹3,264.17cr (19.4% of revenue), CPSE sales ₹2,436.35cr (14.5%), dividend to GoI ₹941.80cr [F-GOV-01/02]. The 51.28% holding leaves OFS headroom above the 51% control floor; no OFS/DIPAM target found — a structural overhang to monitor, not a red flag.</w:t>
      </w:r>
    </w:p>
    <w:p>
      <w:pPr>
        <w:spacing w:after="40" w:before="280"/>
      </w:pPr>
      <w:r>
        <w:rPr>
          <w:rFonts w:ascii="Georgia" w:cs="Georgia" w:eastAsia="Georgia" w:hAnsi="Georgia"/>
          <w:b/>
          <w:bCs/>
          <w:color w:val="1B2A4A"/>
          <w:sz w:val="25"/>
          <w:szCs w:val="25"/>
        </w:rPr>
        <w:t xml:space="preserve">6.  Earnings quality &amp; red-flag ledger</w:t>
      </w:r>
    </w:p>
    <w:p>
      <w:pPr>
        <w:pBdr>
          <w:bottom w:val="single" w:color="D9D9D9" w:sz="4" w:space="4"/>
        </w:pBdr>
        <w:spacing w:after="140"/>
      </w:pPr>
    </w:p>
    <w:p>
      <w:pPr>
        <w:spacing w:after="140"/>
      </w:pPr>
      <w:r>
        <w:rPr>
          <w:rFonts w:ascii="Calibri" w:cs="Calibri" w:eastAsia="Calibri" w:hAnsi="Calibri"/>
          <w:b w:val="false"/>
          <w:bCs w:val="false"/>
          <w:i w:val="false"/>
          <w:iCs w:val="false"/>
          <w:color w:val="1A1A1A"/>
          <w:sz w:val="19"/>
          <w:szCs w:val="19"/>
        </w:rPr>
        <w:t xml:space="preserve">All 23 adjudicated entries: 2 confirmed, 7 disclosed, 14 dismissed, 0 candidate. Dismissed flags stay visible with their dismissal reasons for auditability. The two confirmed flags below are both guidance-credibility issues (RF-GUI-01/02), not accounting-integrity issues — no section-4 manipulation screen confirms gross-up, cash-flow reclassification, capitalization anomaly, or RPT round-tripping.</w:t>
      </w:r>
    </w:p>
    <w:p>
      <w:pPr>
        <w:spacing w:after="60"/>
      </w:pPr>
      <w:r>
        <w:rPr>
          <w:rFonts w:ascii="Calibri" w:cs="Calibri" w:eastAsia="Calibri" w:hAnsi="Calibri"/>
          <w:i/>
          <w:iCs/>
          <w:color w:val="44546A"/>
          <w:sz w:val="18"/>
          <w:szCs w:val="18"/>
        </w:rPr>
        <w:t xml:space="preserve">Confirmed and disclosed flags (9 of 23) — rendered individually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37"/>
        <w:gridCol w:w="1737"/>
        <w:gridCol w:w="1216"/>
        <w:gridCol w:w="5213"/>
      </w:tblGrid>
      <w:tr>
        <w:trPr>
          <w:tblHeader/>
        </w:trPr>
        <w:tc>
          <w:tcPr>
            <w:tcW w:type="dxa" w:w="1737"/>
            <w:tcBorders>
              <w:top w:val="single" w:color="D9D9D9" w:sz="2"/>
              <w:left w:val="single" w:color="D9D9D9" w:sz="2"/>
              <w:bottom w:val="single" w:color="D9D9D9" w:sz="2"/>
              <w:right w:val="single" w:color="D9D9D9" w:sz="2"/>
            </w:tcBorders>
            <w:shd w:fill="1B2A4A" w:color="auto"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9"/>
                <w:szCs w:val="19"/>
              </w:rPr>
              <w:t xml:space="preserve">ID</w:t>
            </w:r>
          </w:p>
        </w:tc>
        <w:tc>
          <w:tcPr>
            <w:tcW w:type="dxa" w:w="1737"/>
            <w:tcBorders>
              <w:top w:val="single" w:color="D9D9D9" w:sz="2"/>
              <w:left w:val="single" w:color="D9D9D9" w:sz="2"/>
              <w:bottom w:val="single" w:color="D9D9D9" w:sz="2"/>
              <w:right w:val="single" w:color="D9D9D9" w:sz="2"/>
            </w:tcBorders>
            <w:shd w:fill="1B2A4A" w:color="auto"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9"/>
                <w:szCs w:val="19"/>
              </w:rPr>
              <w:t xml:space="preserve">Status</w:t>
            </w:r>
          </w:p>
        </w:tc>
        <w:tc>
          <w:tcPr>
            <w:tcW w:type="dxa" w:w="1216"/>
            <w:tcBorders>
              <w:top w:val="single" w:color="D9D9D9" w:sz="2"/>
              <w:left w:val="single" w:color="D9D9D9" w:sz="2"/>
              <w:bottom w:val="single" w:color="D9D9D9" w:sz="2"/>
              <w:right w:val="single" w:color="D9D9D9" w:sz="2"/>
            </w:tcBorders>
            <w:shd w:fill="1B2A4A" w:color="auto"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9"/>
                <w:szCs w:val="19"/>
              </w:rPr>
              <w:t xml:space="preserve">Sev.</w:t>
            </w:r>
          </w:p>
        </w:tc>
        <w:tc>
          <w:tcPr>
            <w:tcW w:type="dxa" w:w="5213"/>
            <w:tcBorders>
              <w:top w:val="single" w:color="D9D9D9" w:sz="2"/>
              <w:left w:val="single" w:color="D9D9D9" w:sz="2"/>
              <w:bottom w:val="single" w:color="D9D9D9" w:sz="2"/>
              <w:right w:val="single" w:color="D9D9D9" w:sz="2"/>
            </w:tcBorders>
            <w:shd w:fill="1B2A4A" w:color="auto"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9"/>
                <w:szCs w:val="19"/>
              </w:rPr>
              <w:t xml:space="preserve">Why-chain (compressed)</w:t>
            </w:r>
          </w:p>
        </w:tc>
      </w:tr>
      <w:tr>
        <w:tc>
          <w:tcPr>
            <w:tcW w:type="dxa" w:w="1737"/>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RF-GUI-01</w:t>
            </w:r>
          </w:p>
        </w:tc>
        <w:tc>
          <w:tcPr>
            <w:tcW w:type="dxa" w:w="1737"/>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8B1E1E"/>
                <w:sz w:val="19"/>
                <w:szCs w:val="19"/>
              </w:rPr>
              <w:t xml:space="preserve">Confirmed</w:t>
            </w:r>
          </w:p>
        </w:tc>
        <w:tc>
          <w:tcPr>
            <w:tcW w:type="dxa" w:w="1216"/>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Medium</w:t>
            </w:r>
          </w:p>
        </w:tc>
        <w:tc>
          <w:tcPr>
            <w:tcW w:type="dxa" w:w="5213"/>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5th-stream FY26 volume cut ~40% in-year (500KT→300KT), then deferred to FY27 — no reconciling explanation</w:t>
            </w:r>
          </w:p>
        </w:tc>
      </w:tr>
      <w:tr>
        <w:tc>
          <w:tcPr>
            <w:tcW w:type="dxa" w:w="1737"/>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RF-GUI-02</w:t>
            </w:r>
          </w:p>
        </w:tc>
        <w:tc>
          <w:tcPr>
            <w:tcW w:type="dxa" w:w="1737"/>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8B1E1E"/>
                <w:sz w:val="19"/>
                <w:szCs w:val="19"/>
              </w:rPr>
              <w:t xml:space="preserve">Confirmed</w:t>
            </w:r>
          </w:p>
        </w:tc>
        <w:tc>
          <w:tcPr>
            <w:tcW w:type="dxa" w:w="1216"/>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Low</w:t>
            </w:r>
          </w:p>
        </w:tc>
        <w:tc>
          <w:tcPr>
            <w:tcW w:type="dxa" w:w="5213"/>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Alumina contract-mix target stated three ways in one FY (80/20 spot → 50/50 → spot-only); Q2 quote extraction-tagged evasive</w:t>
            </w:r>
          </w:p>
        </w:tc>
      </w:tr>
      <w:tr>
        <w:tc>
          <w:tcPr>
            <w:tcW w:type="dxa" w:w="1737"/>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RF-001</w:t>
            </w:r>
          </w:p>
        </w:tc>
        <w:tc>
          <w:tcPr>
            <w:tcW w:type="dxa" w:w="1737"/>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C4711B"/>
                <w:sz w:val="19"/>
                <w:szCs w:val="19"/>
              </w:rPr>
              <w:t xml:space="preserve">Disclosed</w:t>
            </w:r>
          </w:p>
        </w:tc>
        <w:tc>
          <w:tcPr>
            <w:tcW w:type="dxa" w:w="1216"/>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Medium</w:t>
            </w:r>
          </w:p>
        </w:tc>
        <w:tc>
          <w:tcPr>
            <w:tcW w:type="dxa" w:w="5213"/>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Other income 25.9% of CFO FY2023 — CFO collapsed −77.6% (4,049.6→908.2cr) in the commodity trough while other income stayed flat; specific WC leg unconfirmed (FQ-NALCO-01)</w:t>
            </w:r>
          </w:p>
        </w:tc>
      </w:tr>
      <w:tr>
        <w:tc>
          <w:tcPr>
            <w:tcW w:type="dxa" w:w="1737"/>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RF-MERGE-02</w:t>
            </w:r>
          </w:p>
        </w:tc>
        <w:tc>
          <w:tcPr>
            <w:tcW w:type="dxa" w:w="1737"/>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C4711B"/>
                <w:sz w:val="19"/>
                <w:szCs w:val="19"/>
              </w:rPr>
              <w:t xml:space="preserve">Disclosed</w:t>
            </w:r>
          </w:p>
        </w:tc>
        <w:tc>
          <w:tcPr>
            <w:tcW w:type="dxa" w:w="1216"/>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Medium</w:t>
            </w:r>
          </w:p>
        </w:tc>
        <w:tc>
          <w:tcPr>
            <w:tcW w:type="dxa" w:w="5213"/>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Other income FY2022 −11.2% (297.4→264.1) between AR comparatives — largest relative P&amp;L delta, no captured footnote (FQ-NALCO-02)</w:t>
            </w:r>
          </w:p>
        </w:tc>
      </w:tr>
      <w:tr>
        <w:tc>
          <w:tcPr>
            <w:tcW w:type="dxa" w:w="1737"/>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RF-MERGE-08</w:t>
            </w:r>
          </w:p>
        </w:tc>
        <w:tc>
          <w:tcPr>
            <w:tcW w:type="dxa" w:w="1737"/>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C4711B"/>
                <w:sz w:val="19"/>
                <w:szCs w:val="19"/>
              </w:rPr>
              <w:t xml:space="preserve">Disclosed</w:t>
            </w:r>
          </w:p>
        </w:tc>
        <w:tc>
          <w:tcPr>
            <w:tcW w:type="dxa" w:w="1216"/>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Medium</w:t>
            </w:r>
          </w:p>
        </w:tc>
        <w:tc>
          <w:tcPr>
            <w:tcW w:type="dxa" w:w="5213"/>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Total assets FY2022 +1.22% (₹211.04cr) between AR comparatives — matched by identical liabilities move; no footnote (FQ-NALCO-02)</w:t>
            </w:r>
          </w:p>
        </w:tc>
      </w:tr>
      <w:tr>
        <w:tc>
          <w:tcPr>
            <w:tcW w:type="dxa" w:w="1737"/>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RF-MERGE-09</w:t>
            </w:r>
          </w:p>
        </w:tc>
        <w:tc>
          <w:tcPr>
            <w:tcW w:type="dxa" w:w="1737"/>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C4711B"/>
                <w:sz w:val="19"/>
                <w:szCs w:val="19"/>
              </w:rPr>
              <w:t xml:space="preserve">Disclosed</w:t>
            </w:r>
          </w:p>
        </w:tc>
        <w:tc>
          <w:tcPr>
            <w:tcW w:type="dxa" w:w="1216"/>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Medium</w:t>
            </w:r>
          </w:p>
        </w:tc>
        <w:tc>
          <w:tcPr>
            <w:tcW w:type="dxa" w:w="5213"/>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Total liabilities FY2022 +4.47% (₹211.04cr) — same balance-sheet-identity-preserving reclassification as RF-MERGE-08</w:t>
            </w:r>
          </w:p>
        </w:tc>
      </w:tr>
      <w:tr>
        <w:tc>
          <w:tcPr>
            <w:tcW w:type="dxa" w:w="1737"/>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RF-MERGE-12</w:t>
            </w:r>
          </w:p>
        </w:tc>
        <w:tc>
          <w:tcPr>
            <w:tcW w:type="dxa" w:w="1737"/>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C4711B"/>
                <w:sz w:val="19"/>
                <w:szCs w:val="19"/>
              </w:rPr>
              <w:t xml:space="preserve">Disclosed</w:t>
            </w:r>
          </w:p>
        </w:tc>
        <w:tc>
          <w:tcPr>
            <w:tcW w:type="dxa" w:w="1216"/>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Medium</w:t>
            </w:r>
          </w:p>
        </w:tc>
        <w:tc>
          <w:tcPr>
            <w:tcW w:type="dxa" w:w="5213"/>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Total assets FY2022 consolidated +1.22% (₹211.04cr) — the same regrouping flows through consolidation (FQ-NALCO-02)</w:t>
            </w:r>
          </w:p>
        </w:tc>
      </w:tr>
      <w:tr>
        <w:tc>
          <w:tcPr>
            <w:tcW w:type="dxa" w:w="1737"/>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RF-GUI-03</w:t>
            </w:r>
          </w:p>
        </w:tc>
        <w:tc>
          <w:tcPr>
            <w:tcW w:type="dxa" w:w="1737"/>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C4711B"/>
                <w:sz w:val="19"/>
                <w:szCs w:val="19"/>
              </w:rPr>
              <w:t xml:space="preserve">Disclosed</w:t>
            </w:r>
          </w:p>
        </w:tc>
        <w:tc>
          <w:tcPr>
            <w:tcW w:type="dxa" w:w="1216"/>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Low</w:t>
            </w:r>
          </w:p>
        </w:tc>
        <w:tc>
          <w:tcPr>
            <w:tcW w:type="dxa" w:w="5213"/>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0.5 MT smelter commissioning date inconsistent across/within docs (Aug-2030 / Dec-2030 / Jun-2031) — documentation hygiene, pre-DPR</w:t>
            </w:r>
          </w:p>
        </w:tc>
      </w:tr>
      <w:tr>
        <w:tc>
          <w:tcPr>
            <w:tcW w:type="dxa" w:w="1737"/>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RF-GUI-04</w:t>
            </w:r>
          </w:p>
        </w:tc>
        <w:tc>
          <w:tcPr>
            <w:tcW w:type="dxa" w:w="1737"/>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C4711B"/>
                <w:sz w:val="19"/>
                <w:szCs w:val="19"/>
              </w:rPr>
              <w:t xml:space="preserve">Disclosed</w:t>
            </w:r>
          </w:p>
        </w:tc>
        <w:tc>
          <w:tcPr>
            <w:tcW w:type="dxa" w:w="1216"/>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Low</w:t>
            </w:r>
          </w:p>
        </w:tc>
        <w:tc>
          <w:tcPr>
            <w:tcW w:type="dxa" w:w="5213"/>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Pottangi date mismatch same-quarter (June call vs May PPT) — a one-month transcription slip (OQ-GUI-02)</w:t>
            </w:r>
          </w:p>
        </w:tc>
      </w:tr>
    </w:tbl>
    <w:p>
      <w:pPr>
        <w:spacing w:after="120"/>
      </w:pPr>
    </w:p>
    <w:p>
      <w:pPr>
        <w:spacing w:after="60"/>
      </w:pPr>
      <w:r>
        <w:rPr>
          <w:rFonts w:ascii="Calibri" w:cs="Calibri" w:eastAsia="Calibri" w:hAnsi="Calibri"/>
          <w:i/>
          <w:iCs/>
          <w:color w:val="44546A"/>
          <w:sz w:val="18"/>
          <w:szCs w:val="18"/>
        </w:rPr>
        <w:t xml:space="preserve">Dismissed, low-severity (14 of 23) — condensed</w:t>
      </w:r>
    </w:p>
    <w:p>
      <w:pPr>
        <w:spacing w:after="140"/>
      </w:pPr>
      <w:r>
        <w:rPr>
          <w:rFonts w:ascii="Calibri" w:cs="Calibri" w:eastAsia="Calibri" w:hAnsi="Calibri"/>
          <w:b w:val="false"/>
          <w:bCs w:val="false"/>
          <w:i w:val="false"/>
          <w:iCs w:val="false"/>
          <w:color w:val="1A1A1A"/>
          <w:sz w:val="19"/>
          <w:szCs w:val="19"/>
        </w:rPr>
        <w:t xml:space="preserve">The 14 dismissed entries are condensed here rather than listed row-by-row (each stays in the source ledger with its dismissal reason). RF-002/RF-003: DSO rose 1.93→2.34→4.26 days across FY2023–FY2024 (+21%, then +82%) — percentage noise on a sub-week base with no channel-stuffing signature (inventory rose too); stabilized at 4.05 days by FY2025. RF-MERGE-01, 03–07, 10–11, 13–16 (12 entries): routine AR-to-AR comparative regroupings and PPT-vs-AR rounding deltas, each under ~1.1% and each resolved by taking the latest/audited figure — individually immaterial (rounding on revenue, total income, finance costs, other/total expenses, inventories, segment revenue; and the ~1% PPT-vs-AR gap on FY2025 PBT/PAT, a known and disclosed precedent for FY2026's PPT-sourced figures).</w:t>
      </w:r>
    </w:p>
    <w:p>
      <w:pPr>
        <w:spacing w:after="140"/>
      </w:pPr>
      <w:r>
        <w:rPr>
          <w:rFonts w:ascii="Calibri" w:cs="Calibri" w:eastAsia="Calibri" w:hAnsi="Calibri"/>
          <w:b w:val="false"/>
          <w:bCs w:val="false"/>
          <w:i w:val="false"/>
          <w:iCs w:val="false"/>
          <w:color w:val="1A1A1A"/>
          <w:sz w:val="19"/>
          <w:szCs w:val="19"/>
        </w:rPr>
        <w:t xml:space="preserve">Composite interpretation: principal soft spots are the unexplained FY2023 CFO/working-capital swing (RF-001) and four comparative-period deltas above 1% without footnote traceability (RF-MERGE-02/08/09/12). Capitalization and RPT screens (F-FOR-06) return no-data rather than a clean pass — an extraction-scope gap, disclosed, not a negative finding.</w:t>
      </w:r>
    </w:p>
    <w:p>
      <w:pPr>
        <w:spacing w:after="40" w:before="280"/>
      </w:pPr>
      <w:r>
        <w:rPr>
          <w:rFonts w:ascii="Georgia" w:cs="Georgia" w:eastAsia="Georgia" w:hAnsi="Georgia"/>
          <w:b/>
          <w:bCs/>
          <w:color w:val="1B2A4A"/>
          <w:sz w:val="25"/>
          <w:szCs w:val="25"/>
        </w:rPr>
        <w:t xml:space="preserve">7.  Valuation &amp; peers</w:t>
      </w:r>
    </w:p>
    <w:p>
      <w:pPr>
        <w:pBdr>
          <w:bottom w:val="single" w:color="D9D9D9" w:sz="4" w:space="4"/>
        </w:pBdr>
        <w:spacing w:after="140"/>
      </w:pPr>
    </w:p>
    <w:p>
      <w:pPr>
        <w:spacing w:after="60"/>
      </w:pPr>
      <w:r>
        <w:rPr>
          <w:rFonts w:ascii="Calibri" w:cs="Calibri" w:eastAsia="Calibri" w:hAnsi="Calibri"/>
          <w:i/>
          <w:iCs/>
          <w:color w:val="44546A"/>
          <w:sz w:val="18"/>
          <w:szCs w:val="18"/>
        </w:rPr>
        <w:t xml:space="preserve">Historical P/E band (standalone EPS, 5y + FY2026 cross-check)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15"/>
        <w:gridCol w:w="1415"/>
        <w:gridCol w:w="1415"/>
        <w:gridCol w:w="1415"/>
        <w:gridCol w:w="1415"/>
        <w:gridCol w:w="1415"/>
        <w:gridCol w:w="1415"/>
      </w:tblGrid>
      <w:tr>
        <w:trPr>
          <w:tblHeader/>
        </w:trPr>
        <w:tc>
          <w:tcPr>
            <w:tcW w:type="dxa" w:w="1415"/>
            <w:tcBorders>
              <w:top w:val="single" w:color="D9D9D9" w:sz="2"/>
              <w:left w:val="single" w:color="D9D9D9" w:sz="2"/>
              <w:bottom w:val="single" w:color="D9D9D9" w:sz="2"/>
              <w:right w:val="single" w:color="D9D9D9" w:sz="2"/>
            </w:tcBorders>
            <w:shd w:fill="1B2A4A" w:color="auto"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9"/>
                <w:szCs w:val="19"/>
              </w:rPr>
              <w:t xml:space="preserve">FY</w:t>
            </w:r>
          </w:p>
        </w:tc>
        <w:tc>
          <w:tcPr>
            <w:tcW w:type="dxa" w:w="1415"/>
            <w:tcBorders>
              <w:top w:val="single" w:color="D9D9D9" w:sz="2"/>
              <w:left w:val="single" w:color="D9D9D9" w:sz="2"/>
              <w:bottom w:val="single" w:color="D9D9D9" w:sz="2"/>
              <w:right w:val="single" w:color="D9D9D9" w:sz="2"/>
            </w:tcBorders>
            <w:shd w:fill="1B2A4A" w:color="auto"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9"/>
                <w:szCs w:val="19"/>
              </w:rPr>
              <w:t xml:space="preserve">Avg price</w:t>
            </w:r>
          </w:p>
        </w:tc>
        <w:tc>
          <w:tcPr>
            <w:tcW w:type="dxa" w:w="1415"/>
            <w:tcBorders>
              <w:top w:val="single" w:color="D9D9D9" w:sz="2"/>
              <w:left w:val="single" w:color="D9D9D9" w:sz="2"/>
              <w:bottom w:val="single" w:color="D9D9D9" w:sz="2"/>
              <w:right w:val="single" w:color="D9D9D9" w:sz="2"/>
            </w:tcBorders>
            <w:shd w:fill="1B2A4A" w:color="auto"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9"/>
                <w:szCs w:val="19"/>
              </w:rPr>
              <w:t xml:space="preserve">End price</w:t>
            </w:r>
          </w:p>
        </w:tc>
        <w:tc>
          <w:tcPr>
            <w:tcW w:type="dxa" w:w="1415"/>
            <w:tcBorders>
              <w:top w:val="single" w:color="D9D9D9" w:sz="2"/>
              <w:left w:val="single" w:color="D9D9D9" w:sz="2"/>
              <w:bottom w:val="single" w:color="D9D9D9" w:sz="2"/>
              <w:right w:val="single" w:color="D9D9D9" w:sz="2"/>
            </w:tcBorders>
            <w:shd w:fill="1B2A4A" w:color="auto"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9"/>
                <w:szCs w:val="19"/>
              </w:rPr>
              <w:t xml:space="preserve">EPS</w:t>
            </w:r>
          </w:p>
        </w:tc>
        <w:tc>
          <w:tcPr>
            <w:tcW w:type="dxa" w:w="1415"/>
            <w:tcBorders>
              <w:top w:val="single" w:color="D9D9D9" w:sz="2"/>
              <w:left w:val="single" w:color="D9D9D9" w:sz="2"/>
              <w:bottom w:val="single" w:color="D9D9D9" w:sz="2"/>
              <w:right w:val="single" w:color="D9D9D9" w:sz="2"/>
            </w:tcBorders>
            <w:shd w:fill="1B2A4A" w:color="auto"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9"/>
                <w:szCs w:val="19"/>
              </w:rPr>
              <w:t xml:space="preserve">P/E on avg</w:t>
            </w:r>
          </w:p>
        </w:tc>
        <w:tc>
          <w:tcPr>
            <w:tcW w:type="dxa" w:w="1415"/>
            <w:tcBorders>
              <w:top w:val="single" w:color="D9D9D9" w:sz="2"/>
              <w:left w:val="single" w:color="D9D9D9" w:sz="2"/>
              <w:bottom w:val="single" w:color="D9D9D9" w:sz="2"/>
              <w:right w:val="single" w:color="D9D9D9" w:sz="2"/>
            </w:tcBorders>
            <w:shd w:fill="1B2A4A" w:color="auto"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9"/>
                <w:szCs w:val="19"/>
              </w:rPr>
              <w:t xml:space="preserve">P/E on end</w:t>
            </w:r>
          </w:p>
        </w:tc>
        <w:tc>
          <w:tcPr>
            <w:tcW w:type="dxa" w:w="1415"/>
            <w:tcBorders>
              <w:top w:val="single" w:color="D9D9D9" w:sz="2"/>
              <w:left w:val="single" w:color="D9D9D9" w:sz="2"/>
              <w:bottom w:val="single" w:color="D9D9D9" w:sz="2"/>
              <w:right w:val="single" w:color="D9D9D9" w:sz="2"/>
            </w:tcBorders>
            <w:shd w:fill="1B2A4A" w:color="auto"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9"/>
                <w:szCs w:val="19"/>
              </w:rPr>
              <w:t xml:space="preserve">Src</w:t>
            </w:r>
          </w:p>
        </w:tc>
      </w:tr>
      <w:tr>
        <w:tc>
          <w:tcPr>
            <w:tcW w:type="dxa" w:w="1415"/>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FY2021</w:t>
            </w:r>
          </w:p>
        </w:tc>
        <w:tc>
          <w:tcPr>
            <w:tcW w:type="dxa" w:w="1415"/>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28.67</w:t>
            </w:r>
          </w:p>
        </w:tc>
        <w:tc>
          <w:tcPr>
            <w:tcW w:type="dxa" w:w="1415"/>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42.32</w:t>
            </w:r>
          </w:p>
        </w:tc>
        <w:tc>
          <w:tcPr>
            <w:tcW w:type="dxa" w:w="1415"/>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6.97</w:t>
            </w:r>
          </w:p>
        </w:tc>
        <w:tc>
          <w:tcPr>
            <w:tcW w:type="dxa" w:w="1415"/>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4.11</w:t>
            </w:r>
          </w:p>
        </w:tc>
        <w:tc>
          <w:tcPr>
            <w:tcW w:type="dxa" w:w="1415"/>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6.07</w:t>
            </w:r>
          </w:p>
        </w:tc>
        <w:tc>
          <w:tcPr>
            <w:tcW w:type="dxa" w:w="1415"/>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S1300</w:t>
            </w:r>
          </w:p>
        </w:tc>
      </w:tr>
      <w:tr>
        <w:tc>
          <w:tcPr>
            <w:tcW w:type="dxa" w:w="1415"/>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FY2022</w:t>
            </w:r>
          </w:p>
        </w:tc>
        <w:tc>
          <w:tcPr>
            <w:tcW w:type="dxa" w:w="1415"/>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74.16</w:t>
            </w:r>
          </w:p>
        </w:tc>
        <w:tc>
          <w:tcPr>
            <w:tcW w:type="dxa" w:w="1415"/>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100.92</w:t>
            </w:r>
          </w:p>
        </w:tc>
        <w:tc>
          <w:tcPr>
            <w:tcW w:type="dxa" w:w="1415"/>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16.07</w:t>
            </w:r>
          </w:p>
        </w:tc>
        <w:tc>
          <w:tcPr>
            <w:tcW w:type="dxa" w:w="1415"/>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4.61</w:t>
            </w:r>
          </w:p>
        </w:tc>
        <w:tc>
          <w:tcPr>
            <w:tcW w:type="dxa" w:w="1415"/>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6.28</w:t>
            </w:r>
          </w:p>
        </w:tc>
        <w:tc>
          <w:tcPr>
            <w:tcW w:type="dxa" w:w="1415"/>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S1301</w:t>
            </w:r>
          </w:p>
        </w:tc>
      </w:tr>
      <w:tr>
        <w:tc>
          <w:tcPr>
            <w:tcW w:type="dxa" w:w="1415"/>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FY2023</w:t>
            </w:r>
          </w:p>
        </w:tc>
        <w:tc>
          <w:tcPr>
            <w:tcW w:type="dxa" w:w="1415"/>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68.98</w:t>
            </w:r>
          </w:p>
        </w:tc>
        <w:tc>
          <w:tcPr>
            <w:tcW w:type="dxa" w:w="1415"/>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69.13</w:t>
            </w:r>
          </w:p>
        </w:tc>
        <w:tc>
          <w:tcPr>
            <w:tcW w:type="dxa" w:w="1415"/>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8.41</w:t>
            </w:r>
          </w:p>
        </w:tc>
        <w:tc>
          <w:tcPr>
            <w:tcW w:type="dxa" w:w="1415"/>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8.20</w:t>
            </w:r>
          </w:p>
        </w:tc>
        <w:tc>
          <w:tcPr>
            <w:tcW w:type="dxa" w:w="1415"/>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8.22</w:t>
            </w:r>
          </w:p>
        </w:tc>
        <w:tc>
          <w:tcPr>
            <w:tcW w:type="dxa" w:w="1415"/>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S1302</w:t>
            </w:r>
          </w:p>
        </w:tc>
      </w:tr>
      <w:tr>
        <w:tc>
          <w:tcPr>
            <w:tcW w:type="dxa" w:w="1415"/>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FY2024</w:t>
            </w:r>
          </w:p>
        </w:tc>
        <w:tc>
          <w:tcPr>
            <w:tcW w:type="dxa" w:w="1415"/>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93.75</w:t>
            </w:r>
          </w:p>
        </w:tc>
        <w:tc>
          <w:tcPr>
            <w:tcW w:type="dxa" w:w="1415"/>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139.07</w:t>
            </w:r>
          </w:p>
        </w:tc>
        <w:tc>
          <w:tcPr>
            <w:tcW w:type="dxa" w:w="1415"/>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11.22</w:t>
            </w:r>
          </w:p>
        </w:tc>
        <w:tc>
          <w:tcPr>
            <w:tcW w:type="dxa" w:w="1415"/>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8.36</w:t>
            </w:r>
          </w:p>
        </w:tc>
        <w:tc>
          <w:tcPr>
            <w:tcW w:type="dxa" w:w="1415"/>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12.39</w:t>
            </w:r>
          </w:p>
        </w:tc>
        <w:tc>
          <w:tcPr>
            <w:tcW w:type="dxa" w:w="1415"/>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S1303</w:t>
            </w:r>
          </w:p>
        </w:tc>
      </w:tr>
      <w:tr>
        <w:tc>
          <w:tcPr>
            <w:tcW w:type="dxa" w:w="1415"/>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FY2025</w:t>
            </w:r>
          </w:p>
        </w:tc>
        <w:tc>
          <w:tcPr>
            <w:tcW w:type="dxa" w:w="1415"/>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183.26</w:t>
            </w:r>
          </w:p>
        </w:tc>
        <w:tc>
          <w:tcPr>
            <w:tcW w:type="dxa" w:w="1415"/>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167.94</w:t>
            </w:r>
          </w:p>
        </w:tc>
        <w:tc>
          <w:tcPr>
            <w:tcW w:type="dxa" w:w="1415"/>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28.99</w:t>
            </w:r>
          </w:p>
        </w:tc>
        <w:tc>
          <w:tcPr>
            <w:tcW w:type="dxa" w:w="1415"/>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6.32</w:t>
            </w:r>
          </w:p>
        </w:tc>
        <w:tc>
          <w:tcPr>
            <w:tcW w:type="dxa" w:w="1415"/>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5.79</w:t>
            </w:r>
          </w:p>
        </w:tc>
        <w:tc>
          <w:tcPr>
            <w:tcW w:type="dxa" w:w="1415"/>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S1304</w:t>
            </w:r>
          </w:p>
        </w:tc>
      </w:tr>
      <w:tr>
        <w:tc>
          <w:tcPr>
            <w:tcW w:type="dxa" w:w="1415"/>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FY2026 (cross-check)</w:t>
            </w:r>
          </w:p>
        </w:tc>
        <w:tc>
          <w:tcPr>
            <w:tcW w:type="dxa" w:w="1415"/>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239.99</w:t>
            </w:r>
          </w:p>
        </w:tc>
        <w:tc>
          <w:tcPr>
            <w:tcW w:type="dxa" w:w="1415"/>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384.19</w:t>
            </w:r>
          </w:p>
        </w:tc>
        <w:tc>
          <w:tcPr>
            <w:tcW w:type="dxa" w:w="1415"/>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31.67</w:t>
            </w:r>
          </w:p>
        </w:tc>
        <w:tc>
          <w:tcPr>
            <w:tcW w:type="dxa" w:w="1415"/>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7.58</w:t>
            </w:r>
          </w:p>
        </w:tc>
        <w:tc>
          <w:tcPr>
            <w:tcW w:type="dxa" w:w="1415"/>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12.13</w:t>
            </w:r>
          </w:p>
        </w:tc>
        <w:tc>
          <w:tcPr>
            <w:tcW w:type="dxa" w:w="1415"/>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S1305</w:t>
            </w:r>
          </w:p>
        </w:tc>
      </w:tr>
      <w:tr>
        <w:tc>
          <w:tcPr>
            <w:tcW w:type="dxa" w:w="1415"/>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CMP 361.65 vs FY2025 EPS</w:t>
            </w:r>
          </w:p>
        </w:tc>
        <w:tc>
          <w:tcPr>
            <w:tcW w:type="dxa" w:w="1415"/>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w:t>
            </w:r>
          </w:p>
        </w:tc>
        <w:tc>
          <w:tcPr>
            <w:tcW w:type="dxa" w:w="1415"/>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w:t>
            </w:r>
          </w:p>
        </w:tc>
        <w:tc>
          <w:tcPr>
            <w:tcW w:type="dxa" w:w="1415"/>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28.99</w:t>
            </w:r>
          </w:p>
        </w:tc>
        <w:tc>
          <w:tcPr>
            <w:tcW w:type="dxa" w:w="1415"/>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12.47</w:t>
            </w:r>
          </w:p>
        </w:tc>
        <w:tc>
          <w:tcPr>
            <w:tcW w:type="dxa" w:w="1415"/>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w:t>
            </w:r>
          </w:p>
        </w:tc>
        <w:tc>
          <w:tcPr>
            <w:tcW w:type="dxa" w:w="1415"/>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S1306</w:t>
            </w:r>
          </w:p>
        </w:tc>
      </w:tr>
      <w:tr>
        <w:tc>
          <w:tcPr>
            <w:tcW w:type="dxa" w:w="1415"/>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CMP 361.65 vs FY2026 EPS</w:t>
            </w:r>
          </w:p>
        </w:tc>
        <w:tc>
          <w:tcPr>
            <w:tcW w:type="dxa" w:w="1415"/>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w:t>
            </w:r>
          </w:p>
        </w:tc>
        <w:tc>
          <w:tcPr>
            <w:tcW w:type="dxa" w:w="1415"/>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w:t>
            </w:r>
          </w:p>
        </w:tc>
        <w:tc>
          <w:tcPr>
            <w:tcW w:type="dxa" w:w="1415"/>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31.67</w:t>
            </w:r>
          </w:p>
        </w:tc>
        <w:tc>
          <w:tcPr>
            <w:tcW w:type="dxa" w:w="1415"/>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11.42</w:t>
            </w:r>
          </w:p>
        </w:tc>
        <w:tc>
          <w:tcPr>
            <w:tcW w:type="dxa" w:w="1415"/>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w:t>
            </w:r>
          </w:p>
        </w:tc>
        <w:tc>
          <w:tcPr>
            <w:tcW w:type="dxa" w:w="1415"/>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S1307</w:t>
            </w:r>
          </w:p>
        </w:tc>
      </w:tr>
    </w:tbl>
    <w:p>
      <w:pPr>
        <w:spacing w:after="120"/>
      </w:pPr>
    </w:p>
    <w:p>
      <w:pPr>
        <w:spacing w:after="140"/>
      </w:pPr>
      <w:r>
        <w:rPr>
          <w:rFonts w:ascii="Calibri" w:cs="Calibri" w:eastAsia="Calibri" w:hAnsi="Calibri"/>
          <w:b w:val="false"/>
          <w:bCs w:val="false"/>
          <w:i/>
          <w:iCs/>
          <w:color w:val="1A1A1A"/>
          <w:sz w:val="17"/>
          <w:szCs w:val="17"/>
        </w:rPr>
        <w:t xml:space="preserve">Footnote: this dossier's own five-year P/E-on-average-price band is 4.1x–8.4x, median ~6.3x, on the strictly-audited FY2021–FY2025 window. The 7.6x median (band 4.6x–8.7x) cited in the final note's estimates section and the buy-side note is the pe_bands set, which rolls the FY2026 unaudited cross-check year (P/E-on-avg 7.58x) forward. Both are reproduced from source and differ by window, not by error.</w:t>
      </w:r>
    </w:p>
    <w:p>
      <w:pPr>
        <w:spacing w:after="140"/>
      </w:pPr>
      <w:r>
        <w:rPr>
          <w:rFonts w:ascii="Calibri" w:cs="Calibri" w:eastAsia="Calibri" w:hAnsi="Calibri"/>
          <w:b w:val="false"/>
          <w:bCs w:val="false"/>
          <w:i w:val="false"/>
          <w:iCs w:val="false"/>
          <w:color w:val="1A1A1A"/>
          <w:sz w:val="19"/>
          <w:szCs w:val="19"/>
        </w:rPr>
        <w:t xml:space="preserve">The band's own extremes are cycle artifacts, not re-ratings: FY2021's 4.1x is a COVID-trough EPS against a forward-looking price; FY2024's 8.36x is a depressed EPS against a price already re-rating on the anticipated FY2025 recovery; FY2025's drop to 6.32x despite EPS quadrupling shows the market discounting the ~45% margin as unsustainable in real time. The subsequent 12.5x/11.4x at CMP is therefore a genuine expansion beyond anything in the last five years. EV/EBITDA: ~7.8x (FY2024) → ~3.9x (FY2025 end) → 7.7–8.4x at CMP [S1308–S1312]. P/B: 0.73x (FY2021) → 1.78x (band high) → 3.73x at CMP [S1313–S1317] — more than double the five-year band high.</w:t>
      </w:r>
    </w:p>
    <w:p>
      <w:pPr>
        <w:spacing w:after="60"/>
      </w:pPr>
      <w:r>
        <w:rPr>
          <w:rFonts w:ascii="Calibri" w:cs="Calibri" w:eastAsia="Calibri" w:hAnsi="Calibri"/>
          <w:i/>
          <w:iCs/>
          <w:color w:val="44546A"/>
          <w:sz w:val="18"/>
          <w:szCs w:val="18"/>
        </w:rPr>
        <w:t xml:space="preserve">Peer comparison (domestic multiples not located — margin proxies only)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78"/>
        <w:gridCol w:w="3074"/>
        <w:gridCol w:w="1537"/>
        <w:gridCol w:w="3415"/>
      </w:tblGrid>
      <w:tr>
        <w:trPr>
          <w:tblHeader/>
        </w:trPr>
        <w:tc>
          <w:tcPr>
            <w:tcW w:type="dxa" w:w="1878"/>
            <w:tcBorders>
              <w:top w:val="single" w:color="D9D9D9" w:sz="2"/>
              <w:left w:val="single" w:color="D9D9D9" w:sz="2"/>
              <w:bottom w:val="single" w:color="D9D9D9" w:sz="2"/>
              <w:right w:val="single" w:color="D9D9D9" w:sz="2"/>
            </w:tcBorders>
            <w:shd w:fill="1B2A4A" w:color="auto"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9"/>
                <w:szCs w:val="19"/>
              </w:rPr>
              <w:t xml:space="preserve">Peer</w:t>
            </w:r>
          </w:p>
        </w:tc>
        <w:tc>
          <w:tcPr>
            <w:tcW w:type="dxa" w:w="3074"/>
            <w:tcBorders>
              <w:top w:val="single" w:color="D9D9D9" w:sz="2"/>
              <w:left w:val="single" w:color="D9D9D9" w:sz="2"/>
              <w:bottom w:val="single" w:color="D9D9D9" w:sz="2"/>
              <w:right w:val="single" w:color="D9D9D9" w:sz="2"/>
            </w:tcBorders>
            <w:shd w:fill="1B2A4A" w:color="auto"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9"/>
                <w:szCs w:val="19"/>
              </w:rPr>
              <w:t xml:space="preserve">Scale / margin</w:t>
            </w:r>
          </w:p>
        </w:tc>
        <w:tc>
          <w:tcPr>
            <w:tcW w:type="dxa" w:w="1537"/>
            <w:tcBorders>
              <w:top w:val="single" w:color="D9D9D9" w:sz="2"/>
              <w:left w:val="single" w:color="D9D9D9" w:sz="2"/>
              <w:bottom w:val="single" w:color="D9D9D9" w:sz="2"/>
              <w:right w:val="single" w:color="D9D9D9" w:sz="2"/>
            </w:tcBorders>
            <w:shd w:fill="1B2A4A" w:color="auto"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9"/>
                <w:szCs w:val="19"/>
              </w:rPr>
              <w:t xml:space="preserve">Multiple</w:t>
            </w:r>
          </w:p>
        </w:tc>
        <w:tc>
          <w:tcPr>
            <w:tcW w:type="dxa" w:w="3415"/>
            <w:tcBorders>
              <w:top w:val="single" w:color="D9D9D9" w:sz="2"/>
              <w:left w:val="single" w:color="D9D9D9" w:sz="2"/>
              <w:bottom w:val="single" w:color="D9D9D9" w:sz="2"/>
              <w:right w:val="single" w:color="D9D9D9" w:sz="2"/>
            </w:tcBorders>
            <w:shd w:fill="1B2A4A" w:color="auto"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9"/>
                <w:szCs w:val="19"/>
              </w:rPr>
              <w:t xml:space="preserve">Delta vs NALCO</w:t>
            </w:r>
          </w:p>
        </w:tc>
      </w:tr>
      <w:tr>
        <w:tc>
          <w:tcPr>
            <w:tcW w:type="dxa" w:w="1878"/>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Hindalco (consol., incl. Novelis)</w:t>
            </w:r>
          </w:p>
        </w:tc>
        <w:tc>
          <w:tcPr>
            <w:tcW w:type="dxa" w:w="3074"/>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₹275,000cr rev; India-upstream EBITDA/t $1,572, 45.56% margin</w:t>
            </w:r>
          </w:p>
        </w:tc>
        <w:tc>
          <w:tcPr>
            <w:tcW w:type="dxa" w:w="1537"/>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Not pulled</w:t>
            </w:r>
          </w:p>
        </w:tc>
        <w:tc>
          <w:tcPr>
            <w:tcW w:type="dxa" w:w="3415"/>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No operating-quality edge for NALCO over Hindalco's comparable segment [F-VAL-06]</w:t>
            </w:r>
          </w:p>
        </w:tc>
      </w:tr>
      <w:tr>
        <w:tc>
          <w:tcPr>
            <w:tcW w:type="dxa" w:w="1878"/>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Vedanta Aluminium</w:t>
            </w:r>
          </w:p>
        </w:tc>
        <w:tc>
          <w:tcPr>
            <w:tcW w:type="dxa" w:w="3074"/>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2.88 MTpa capacity, 2.46mt produced FY26; CoP $1,752/t → target $1,550–1,600/t</w:t>
            </w:r>
          </w:p>
        </w:tc>
        <w:tc>
          <w:tcPr>
            <w:tcW w:type="dxa" w:w="1537"/>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Not pulled</w:t>
            </w:r>
          </w:p>
        </w:tc>
        <w:tc>
          <w:tcPr>
            <w:tcW w:type="dxa" w:w="3415"/>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~6x NALCO's metal scale; common-basis premium/discount not scoreable</w:t>
            </w:r>
          </w:p>
        </w:tc>
      </w:tr>
      <w:tr>
        <w:tc>
          <w:tcPr>
            <w:tcW w:type="dxa" w:w="1878"/>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Alcoa</w:t>
            </w:r>
          </w:p>
        </w:tc>
        <w:tc>
          <w:tcPr>
            <w:tcW w:type="dxa" w:w="3074"/>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Rev $3.2bn, adj. EBITDA $595mn Q1 CY2026</w:t>
            </w:r>
          </w:p>
        </w:tc>
        <w:tc>
          <w:tcPr>
            <w:tcW w:type="dxa" w:w="1537"/>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Fwd P/E 10.04x, EV/EBITDA 8.33x</w:t>
            </w:r>
          </w:p>
        </w:tc>
        <w:tc>
          <w:tcPr>
            <w:tcW w:type="dxa" w:w="3415"/>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NALCO trades at essentially no discount to a larger, longer-track-record peer despite concentrated single-country risk — unexplained parity [F-VAL-07]</w:t>
            </w:r>
          </w:p>
        </w:tc>
      </w:tr>
    </w:tbl>
    <w:p>
      <w:pPr>
        <w:spacing w:after="120"/>
      </w:pPr>
    </w:p>
    <w:p>
      <w:pPr>
        <w:spacing w:after="140"/>
      </w:pPr>
      <w:r>
        <w:rPr>
          <w:rFonts w:ascii="Calibri" w:cs="Calibri" w:eastAsia="Calibri" w:hAnsi="Calibri"/>
          <w:b w:val="false"/>
          <w:bCs w:val="false"/>
          <w:i w:val="false"/>
          <w:iCs w:val="false"/>
          <w:color w:val="1A1A1A"/>
          <w:sz w:val="19"/>
          <w:szCs w:val="19"/>
        </w:rPr>
        <w:t xml:space="preserve">Premium/discount analysis: at CMP and FY2025 EPS, the stock trades at ~2x the five-year average P/E (~6.3x). To re-justify the price at that average multiple, FY2027+ EPS would need to roughly double the FY2025 print (~EPS 57–58) — unsupported by any fact in the pack. Reverse read (S1319): CMP prices in either a sustained ~2x EPS step-up versus a peak-cycle base, or a permanent multiple re-rating. Peer-valuation checked explicitly for a re-rating catalyst (credit-rating upgrade, index inclusion, DPR-approved capacity) and found none (F-VAL-05). The near-debt-free balance sheet is real and supportive but is a pre-existing multi-year condition (F-FUND-07, F-VAL-09) that does not explain a re-rating specifically over the last 12–18 months.</w:t>
      </w:r>
    </w:p>
    <w:p>
      <w:pPr>
        <w:spacing w:after="140"/>
      </w:pPr>
      <w:r>
        <w:rPr>
          <w:rFonts w:ascii="Calibri" w:cs="Calibri" w:eastAsia="Calibri" w:hAnsi="Calibri"/>
          <w:b w:val="false"/>
          <w:bCs w:val="false"/>
          <w:i w:val="false"/>
          <w:iCs w:val="false"/>
          <w:color w:val="1A1A1A"/>
          <w:sz w:val="19"/>
          <w:szCs w:val="19"/>
        </w:rPr>
        <w:t xml:space="preserve">Weighted business-quality score: 6.05/10 [S1323] — industry structure 4, cost position 7, balance sheet 9, moat 4.3, earnings quality 7.5, governance 7.3, valuation 2. Ex-valuation the business would score ~6.9/10: it is valuation, not operations, that is the standout outlier.</w:t>
      </w:r>
    </w:p>
    <w:p>
      <w:pPr>
        <w:spacing w:after="40" w:before="280"/>
      </w:pPr>
      <w:r>
        <w:rPr>
          <w:rFonts w:ascii="Georgia" w:cs="Georgia" w:eastAsia="Georgia" w:hAnsi="Georgia"/>
          <w:b/>
          <w:bCs/>
          <w:color w:val="1B2A4A"/>
          <w:sz w:val="25"/>
          <w:szCs w:val="25"/>
        </w:rPr>
        <w:t xml:space="preserve">8.  Estimates (full build)</w:t>
      </w:r>
    </w:p>
    <w:p>
      <w:pPr>
        <w:pBdr>
          <w:bottom w:val="single" w:color="D9D9D9" w:sz="4" w:space="4"/>
        </w:pBdr>
        <w:spacing w:after="140"/>
      </w:pPr>
    </w:p>
    <w:p>
      <w:pPr>
        <w:spacing w:after="140"/>
      </w:pPr>
      <w:r>
        <w:rPr>
          <w:rFonts w:ascii="Calibri" w:cs="Calibri" w:eastAsia="Calibri" w:hAnsi="Calibri"/>
          <w:b w:val="false"/>
          <w:bCs w:val="false"/>
          <w:i w:val="false"/>
          <w:iCs w:val="false"/>
          <w:color w:val="1A1A1A"/>
          <w:sz w:val="19"/>
          <w:szCs w:val="19"/>
        </w:rPr>
        <w:t xml:space="preserve">Basis: consolidated (FY2026 base is company-summarised PPT). FY2025A PAT/EPS here are consolidated — 5,267.94cr / 28.68 — distinct from the standalone FY2025 figures in §4.1.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1"/>
      </w:tblGrid>
      <w:tr>
        <w:trPr>
          <w:tblHeader/>
        </w:trPr>
        <w:tc>
          <w:tcPr>
            <w:tcW w:type="dxa" w:w="1981"/>
            <w:tcBorders>
              <w:top w:val="single" w:color="D9D9D9" w:sz="2"/>
              <w:left w:val="single" w:color="D9D9D9" w:sz="2"/>
              <w:bottom w:val="single" w:color="D9D9D9" w:sz="2"/>
              <w:right w:val="single" w:color="D9D9D9" w:sz="2"/>
            </w:tcBorders>
            <w:shd w:fill="1B2A4A" w:color="auto"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9"/>
                <w:szCs w:val="19"/>
              </w:rPr>
              <w:t xml:space="preserve">Metric</w:t>
            </w:r>
          </w:p>
        </w:tc>
        <w:tc>
          <w:tcPr>
            <w:tcW w:type="dxa" w:w="1981"/>
            <w:tcBorders>
              <w:top w:val="single" w:color="D9D9D9" w:sz="2"/>
              <w:left w:val="single" w:color="D9D9D9" w:sz="2"/>
              <w:bottom w:val="single" w:color="D9D9D9" w:sz="2"/>
              <w:right w:val="single" w:color="D9D9D9" w:sz="2"/>
            </w:tcBorders>
            <w:shd w:fill="1B2A4A" w:color="auto"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9"/>
                <w:szCs w:val="19"/>
              </w:rPr>
              <w:t xml:space="preserve">FY2025A</w:t>
            </w:r>
          </w:p>
        </w:tc>
        <w:tc>
          <w:tcPr>
            <w:tcW w:type="dxa" w:w="1981"/>
            <w:tcBorders>
              <w:top w:val="single" w:color="D9D9D9" w:sz="2"/>
              <w:left w:val="single" w:color="D9D9D9" w:sz="2"/>
              <w:bottom w:val="single" w:color="D9D9D9" w:sz="2"/>
              <w:right w:val="single" w:color="D9D9D9" w:sz="2"/>
            </w:tcBorders>
            <w:shd w:fill="1B2A4A" w:color="auto"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9"/>
                <w:szCs w:val="19"/>
              </w:rPr>
              <w:t xml:space="preserve">FY2026A (PPT)</w:t>
            </w:r>
          </w:p>
        </w:tc>
        <w:tc>
          <w:tcPr>
            <w:tcW w:type="dxa" w:w="1981"/>
            <w:tcBorders>
              <w:top w:val="single" w:color="D9D9D9" w:sz="2"/>
              <w:left w:val="single" w:color="D9D9D9" w:sz="2"/>
              <w:bottom w:val="single" w:color="D9D9D9" w:sz="2"/>
              <w:right w:val="single" w:color="D9D9D9" w:sz="2"/>
            </w:tcBorders>
            <w:shd w:fill="1B2A4A" w:color="auto"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9"/>
                <w:szCs w:val="19"/>
              </w:rPr>
              <w:t xml:space="preserve">FY2027E (base)</w:t>
            </w:r>
          </w:p>
        </w:tc>
        <w:tc>
          <w:tcPr>
            <w:tcW w:type="dxa" w:w="1981"/>
            <w:tcBorders>
              <w:top w:val="single" w:color="D9D9D9" w:sz="2"/>
              <w:left w:val="single" w:color="D9D9D9" w:sz="2"/>
              <w:bottom w:val="single" w:color="D9D9D9" w:sz="2"/>
              <w:right w:val="single" w:color="D9D9D9" w:sz="2"/>
            </w:tcBorders>
            <w:shd w:fill="1B2A4A" w:color="auto"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9"/>
                <w:szCs w:val="19"/>
              </w:rPr>
              <w:t xml:space="preserve">FY2028E (base)</w:t>
            </w:r>
          </w:p>
        </w:tc>
      </w:tr>
      <w:tr>
        <w:tc>
          <w:tcPr>
            <w:tcW w:type="dxa" w:w="1981"/>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Revenue (₹cr)</w:t>
            </w:r>
          </w:p>
        </w:tc>
        <w:tc>
          <w:tcPr>
            <w:tcW w:type="dxa" w:w="1981"/>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16,787.6 [S500]</w:t>
            </w:r>
          </w:p>
        </w:tc>
        <w:tc>
          <w:tcPr>
            <w:tcW w:type="dxa" w:w="1981"/>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17,843.0 [F-PQ4-001]</w:t>
            </w:r>
          </w:p>
        </w:tc>
        <w:tc>
          <w:tcPr>
            <w:tcW w:type="dxa" w:w="1981"/>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19,399.4 [S1384]</w:t>
            </w:r>
          </w:p>
        </w:tc>
        <w:tc>
          <w:tcPr>
            <w:tcW w:type="dxa" w:w="1981"/>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19,156.4 [S1385]</w:t>
            </w:r>
          </w:p>
        </w:tc>
      </w:tr>
      <w:tr>
        <w:tc>
          <w:tcPr>
            <w:tcW w:type="dxa" w:w="1981"/>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Revenue growth %</w:t>
            </w:r>
          </w:p>
        </w:tc>
        <w:tc>
          <w:tcPr>
            <w:tcW w:type="dxa" w:w="1981"/>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27.7</w:t>
            </w:r>
          </w:p>
        </w:tc>
        <w:tc>
          <w:tcPr>
            <w:tcW w:type="dxa" w:w="1981"/>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6.3</w:t>
            </w:r>
          </w:p>
        </w:tc>
        <w:tc>
          <w:tcPr>
            <w:tcW w:type="dxa" w:w="1981"/>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8.7</w:t>
            </w:r>
          </w:p>
        </w:tc>
        <w:tc>
          <w:tcPr>
            <w:tcW w:type="dxa" w:w="1981"/>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−1.3</w:t>
            </w:r>
          </w:p>
        </w:tc>
      </w:tr>
      <w:tr>
        <w:tc>
          <w:tcPr>
            <w:tcW w:type="dxa" w:w="1981"/>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EBITDA (₹cr)</w:t>
            </w:r>
          </w:p>
        </w:tc>
        <w:tc>
          <w:tcPr>
            <w:tcW w:type="dxa" w:w="1981"/>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7,922 [F-PQ4-018]</w:t>
            </w:r>
          </w:p>
        </w:tc>
        <w:tc>
          <w:tcPr>
            <w:tcW w:type="dxa" w:w="1981"/>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8,613 [F-PQ4-018]</w:t>
            </w:r>
          </w:p>
        </w:tc>
        <w:tc>
          <w:tcPr>
            <w:tcW w:type="dxa" w:w="1981"/>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8,632.7 [S1386]</w:t>
            </w:r>
          </w:p>
        </w:tc>
        <w:tc>
          <w:tcPr>
            <w:tcW w:type="dxa" w:w="1981"/>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8,237.2 [S1387]</w:t>
            </w:r>
          </w:p>
        </w:tc>
      </w:tr>
      <w:tr>
        <w:tc>
          <w:tcPr>
            <w:tcW w:type="dxa" w:w="1981"/>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EBITDA margin %</w:t>
            </w:r>
          </w:p>
        </w:tc>
        <w:tc>
          <w:tcPr>
            <w:tcW w:type="dxa" w:w="1981"/>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47.2</w:t>
            </w:r>
          </w:p>
        </w:tc>
        <w:tc>
          <w:tcPr>
            <w:tcW w:type="dxa" w:w="1981"/>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48.3</w:t>
            </w:r>
          </w:p>
        </w:tc>
        <w:tc>
          <w:tcPr>
            <w:tcW w:type="dxa" w:w="1981"/>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44.5</w:t>
            </w:r>
          </w:p>
        </w:tc>
        <w:tc>
          <w:tcPr>
            <w:tcW w:type="dxa" w:w="1981"/>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43.0</w:t>
            </w:r>
          </w:p>
        </w:tc>
      </w:tr>
      <w:tr>
        <w:tc>
          <w:tcPr>
            <w:tcW w:type="dxa" w:w="1981"/>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PAT (₹cr, cons)</w:t>
            </w:r>
          </w:p>
        </w:tc>
        <w:tc>
          <w:tcPr>
            <w:tcW w:type="dxa" w:w="1981"/>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5,267.9 [F-AR25B-013]</w:t>
            </w:r>
          </w:p>
        </w:tc>
        <w:tc>
          <w:tcPr>
            <w:tcW w:type="dxa" w:w="1981"/>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5,815.8 [F-PQ4-029]</w:t>
            </w:r>
          </w:p>
        </w:tc>
        <w:tc>
          <w:tcPr>
            <w:tcW w:type="dxa" w:w="1981"/>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6,015.9 [S1388]</w:t>
            </w:r>
          </w:p>
        </w:tc>
        <w:tc>
          <w:tcPr>
            <w:tcW w:type="dxa" w:w="1981"/>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5,702.8 [S1389]</w:t>
            </w:r>
          </w:p>
        </w:tc>
      </w:tr>
      <w:tr>
        <w:tc>
          <w:tcPr>
            <w:tcW w:type="dxa" w:w="1981"/>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EPS diluted (₹, cons)</w:t>
            </w:r>
          </w:p>
        </w:tc>
        <w:tc>
          <w:tcPr>
            <w:tcW w:type="dxa" w:w="1981"/>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28.68</w:t>
            </w:r>
          </w:p>
        </w:tc>
        <w:tc>
          <w:tcPr>
            <w:tcW w:type="dxa" w:w="1981"/>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31.67</w:t>
            </w:r>
          </w:p>
        </w:tc>
        <w:tc>
          <w:tcPr>
            <w:tcW w:type="dxa" w:w="1981"/>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32.76 [S1390]</w:t>
            </w:r>
          </w:p>
        </w:tc>
        <w:tc>
          <w:tcPr>
            <w:tcW w:type="dxa" w:w="1981"/>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31.05 [S1391]</w:t>
            </w:r>
          </w:p>
        </w:tc>
      </w:tr>
      <w:tr>
        <w:tc>
          <w:tcPr>
            <w:tcW w:type="dxa" w:w="1981"/>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Capex (₹cr)</w:t>
            </w:r>
          </w:p>
        </w:tc>
        <w:tc>
          <w:tcPr>
            <w:tcW w:type="dxa" w:w="1981"/>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1,175.6</w:t>
            </w:r>
          </w:p>
        </w:tc>
        <w:tc>
          <w:tcPr>
            <w:tcW w:type="dxa" w:w="1981"/>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N/A (AR pending)</w:t>
            </w:r>
          </w:p>
        </w:tc>
        <w:tc>
          <w:tcPr>
            <w:tcW w:type="dxa" w:w="1981"/>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2,280.0</w:t>
            </w:r>
          </w:p>
        </w:tc>
        <w:tc>
          <w:tcPr>
            <w:tcW w:type="dxa" w:w="1981"/>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2,250.0</w:t>
            </w:r>
          </w:p>
        </w:tc>
      </w:tr>
      <w:tr>
        <w:tc>
          <w:tcPr>
            <w:tcW w:type="dxa" w:w="1981"/>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P/E @ CMP (x)</w:t>
            </w:r>
          </w:p>
        </w:tc>
        <w:tc>
          <w:tcPr>
            <w:tcW w:type="dxa" w:w="1981"/>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w:t>
            </w:r>
          </w:p>
        </w:tc>
        <w:tc>
          <w:tcPr>
            <w:tcW w:type="dxa" w:w="1981"/>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11.42</w:t>
            </w:r>
          </w:p>
        </w:tc>
        <w:tc>
          <w:tcPr>
            <w:tcW w:type="dxa" w:w="1981"/>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11.04 [S1396]</w:t>
            </w:r>
          </w:p>
        </w:tc>
        <w:tc>
          <w:tcPr>
            <w:tcW w:type="dxa" w:w="1981"/>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11.65 [S1397]</w:t>
            </w:r>
          </w:p>
        </w:tc>
      </w:tr>
    </w:tbl>
    <w:p>
      <w:pPr>
        <w:spacing w:after="120"/>
      </w:pPr>
    </w:p>
    <w:p>
      <w:pPr>
        <w:spacing w:after="140"/>
      </w:pPr>
      <w:r>
        <w:rPr>
          <w:rFonts w:ascii="Calibri" w:cs="Calibri" w:eastAsia="Calibri" w:hAnsi="Calibri"/>
          <w:b w:val="false"/>
          <w:bCs w:val="false"/>
          <w:i w:val="false"/>
          <w:iCs w:val="false"/>
          <w:color w:val="1A1A1A"/>
          <w:sz w:val="19"/>
          <w:szCs w:val="19"/>
        </w:rPr>
        <w:t xml:space="preserve">Base-case 2yr EPS CAGR FY26→FY28E = −0.98% (F-EST-01). Revenue essentially flat FY27E→FY28E as external price normalization (metal/alumina −3.23% vs FY27E, World-Bank-anchored) outweighs volume/ramp gains — a sequential decline, not a modeling error (EST-002).</w:t>
      </w:r>
    </w:p>
    <w:p>
      <w:pPr>
        <w:spacing w:after="60"/>
      </w:pPr>
      <w:r>
        <w:rPr>
          <w:rFonts w:ascii="Calibri" w:cs="Calibri" w:eastAsia="Calibri" w:hAnsi="Calibri"/>
          <w:i/>
          <w:iCs/>
          <w:color w:val="44546A"/>
          <w:sz w:val="18"/>
          <w:szCs w:val="18"/>
        </w:rPr>
        <w:t xml:space="preserve">Assumption ledger (the ones that matter)</w:t>
      </w:r>
    </w:p>
    <w:p>
      <w:pPr>
        <w:pStyle w:val="ListParagraph"/>
        <w:numPr>
          <w:ilvl w:val="0"/>
          <w:numId w:val="2"/>
        </w:numPr>
        <w:spacing w:after="70"/>
      </w:pPr>
      <w:r>
        <w:rPr>
          <w:rFonts w:ascii="Calibri" w:cs="Calibri" w:eastAsia="Calibri" w:hAnsi="Calibri"/>
          <w:color w:val="1A1A1A"/>
          <w:sz w:val="21"/>
          <w:szCs w:val="21"/>
        </w:rPr>
        <w:t xml:space="preserve">Segment split ~73% metal / ~27% alumina (F-FUND-02/08).</w:t>
      </w:r>
    </w:p>
    <w:p>
      <w:pPr>
        <w:pStyle w:val="ListParagraph"/>
        <w:numPr>
          <w:ilvl w:val="0"/>
          <w:numId w:val="2"/>
        </w:numPr>
        <w:spacing w:after="70"/>
      </w:pPr>
      <w:r>
        <w:rPr>
          <w:rFonts w:ascii="Calibri" w:cs="Calibri" w:eastAsia="Calibri" w:hAnsi="Calibri"/>
          <w:color w:val="1A1A1A"/>
          <w:sz w:val="21"/>
          <w:szCs w:val="21"/>
        </w:rPr>
        <w:t xml:space="preserve">5th-stream incremental alumina volume probability-weighted 0.40 (FY27E) / 0.55 (FY28E), not nameplate — the single largest swing factor, reflecting low guidance credibility (A-1352, F-EST-02).</w:t>
      </w:r>
    </w:p>
    <w:p>
      <w:pPr>
        <w:pStyle w:val="ListParagraph"/>
        <w:numPr>
          <w:ilvl w:val="0"/>
          <w:numId w:val="2"/>
        </w:numPr>
        <w:spacing w:after="70"/>
      </w:pPr>
      <w:r>
        <w:rPr>
          <w:rFonts w:ascii="Calibri" w:cs="Calibri" w:eastAsia="Calibri" w:hAnsi="Calibri"/>
          <w:color w:val="1A1A1A"/>
          <w:sz w:val="21"/>
          <w:szCs w:val="21"/>
        </w:rPr>
        <w:t xml:space="preserve">Price paths anchored to World Bank / Platts, not management guidance (A-1350/1355/1356).</w:t>
      </w:r>
    </w:p>
    <w:p>
      <w:pPr>
        <w:pStyle w:val="ListParagraph"/>
        <w:numPr>
          <w:ilvl w:val="0"/>
          <w:numId w:val="2"/>
        </w:numPr>
        <w:spacing w:after="70"/>
      </w:pPr>
      <w:r>
        <w:rPr>
          <w:rFonts w:ascii="Calibri" w:cs="Calibri" w:eastAsia="Calibri" w:hAnsi="Calibri"/>
          <w:color w:val="1A1A1A"/>
          <w:sz w:val="21"/>
          <w:szCs w:val="21"/>
        </w:rPr>
        <w:t xml:space="preserve">EBITDA margin faded from FY26's 48.3% to 44.5%/43.0%, within the 5-year band (24.9%–48.3%) — Gate 3 PASS.</w:t>
      </w:r>
    </w:p>
    <w:p>
      <w:pPr>
        <w:pStyle w:val="ListParagraph"/>
        <w:numPr>
          <w:ilvl w:val="0"/>
          <w:numId w:val="2"/>
        </w:numPr>
        <w:spacing w:after="70"/>
      </w:pPr>
      <w:r>
        <w:rPr>
          <w:rFonts w:ascii="Calibri" w:cs="Calibri" w:eastAsia="Calibri" w:hAnsi="Calibri"/>
          <w:color w:val="1A1A1A"/>
          <w:sz w:val="21"/>
          <w:szCs w:val="21"/>
        </w:rPr>
        <w:t xml:space="preserve">Normalized ETR ~25.1–25.6% (3y median); no dilution. Capex-overrun pattern (~20% historical, F-FUND-04) built as an upward bias to capex/D&amp;A/finance cost (F-EST-04).</w:t>
      </w:r>
    </w:p>
    <w:p>
      <w:pPr>
        <w:spacing w:after="60"/>
      </w:pPr>
      <w:r>
        <w:rPr>
          <w:rFonts w:ascii="Calibri" w:cs="Calibri" w:eastAsia="Calibri" w:hAnsi="Calibri"/>
          <w:i/>
          <w:iCs/>
          <w:color w:val="44546A"/>
          <w:sz w:val="18"/>
          <w:szCs w:val="18"/>
        </w:rPr>
        <w:t xml:space="preserve">Scenarios (seeds for the downstream PT engine — not price targets)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278"/>
        <w:gridCol w:w="1278"/>
        <w:gridCol w:w="1278"/>
        <w:gridCol w:w="1597"/>
        <w:gridCol w:w="4473"/>
      </w:tblGrid>
      <w:tr>
        <w:trPr>
          <w:tblHeader/>
        </w:trPr>
        <w:tc>
          <w:tcPr>
            <w:tcW w:type="dxa" w:w="1278"/>
            <w:tcBorders>
              <w:top w:val="single" w:color="D9D9D9" w:sz="2"/>
              <w:left w:val="single" w:color="D9D9D9" w:sz="2"/>
              <w:bottom w:val="single" w:color="D9D9D9" w:sz="2"/>
              <w:right w:val="single" w:color="D9D9D9" w:sz="2"/>
            </w:tcBorders>
            <w:shd w:fill="1B2A4A" w:color="auto"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9"/>
                <w:szCs w:val="19"/>
              </w:rPr>
              <w:t xml:space="preserve">Scenario</w:t>
            </w:r>
          </w:p>
        </w:tc>
        <w:tc>
          <w:tcPr>
            <w:tcW w:type="dxa" w:w="1278"/>
            <w:tcBorders>
              <w:top w:val="single" w:color="D9D9D9" w:sz="2"/>
              <w:left w:val="single" w:color="D9D9D9" w:sz="2"/>
              <w:bottom w:val="single" w:color="D9D9D9" w:sz="2"/>
              <w:right w:val="single" w:color="D9D9D9" w:sz="2"/>
            </w:tcBorders>
            <w:shd w:fill="1B2A4A" w:color="auto"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9"/>
                <w:szCs w:val="19"/>
              </w:rPr>
              <w:t xml:space="preserve">FY27E EPS</w:t>
            </w:r>
          </w:p>
        </w:tc>
        <w:tc>
          <w:tcPr>
            <w:tcW w:type="dxa" w:w="1278"/>
            <w:tcBorders>
              <w:top w:val="single" w:color="D9D9D9" w:sz="2"/>
              <w:left w:val="single" w:color="D9D9D9" w:sz="2"/>
              <w:bottom w:val="single" w:color="D9D9D9" w:sz="2"/>
              <w:right w:val="single" w:color="D9D9D9" w:sz="2"/>
            </w:tcBorders>
            <w:shd w:fill="1B2A4A" w:color="auto"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9"/>
                <w:szCs w:val="19"/>
              </w:rPr>
              <w:t xml:space="preserve">FY28E EPS</w:t>
            </w:r>
          </w:p>
        </w:tc>
        <w:tc>
          <w:tcPr>
            <w:tcW w:type="dxa" w:w="1597"/>
            <w:tcBorders>
              <w:top w:val="single" w:color="D9D9D9" w:sz="2"/>
              <w:left w:val="single" w:color="D9D9D9" w:sz="2"/>
              <w:bottom w:val="single" w:color="D9D9D9" w:sz="2"/>
              <w:right w:val="single" w:color="D9D9D9" w:sz="2"/>
            </w:tcBorders>
            <w:shd w:fill="1B2A4A" w:color="auto"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9"/>
                <w:szCs w:val="19"/>
              </w:rPr>
              <w:t xml:space="preserve">2yr EPS CAGR</w:t>
            </w:r>
          </w:p>
        </w:tc>
        <w:tc>
          <w:tcPr>
            <w:tcW w:type="dxa" w:w="4473"/>
            <w:tcBorders>
              <w:top w:val="single" w:color="D9D9D9" w:sz="2"/>
              <w:left w:val="single" w:color="D9D9D9" w:sz="2"/>
              <w:bottom w:val="single" w:color="D9D9D9" w:sz="2"/>
              <w:right w:val="single" w:color="D9D9D9" w:sz="2"/>
            </w:tcBorders>
            <w:shd w:fill="1B2A4A" w:color="auto"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9"/>
                <w:szCs w:val="19"/>
              </w:rPr>
              <w:t xml:space="preserve">Rationale</w:t>
            </w:r>
          </w:p>
        </w:tc>
      </w:tr>
      <w:tr>
        <w:tc>
          <w:tcPr>
            <w:tcW w:type="dxa" w:w="1278"/>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Base</w:t>
            </w:r>
          </w:p>
        </w:tc>
        <w:tc>
          <w:tcPr>
            <w:tcW w:type="dxa" w:w="1278"/>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32.76 [S1390]</w:t>
            </w:r>
          </w:p>
        </w:tc>
        <w:tc>
          <w:tcPr>
            <w:tcW w:type="dxa" w:w="1278"/>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31.05 [S1391]</w:t>
            </w:r>
          </w:p>
        </w:tc>
        <w:tc>
          <w:tcPr>
            <w:tcW w:type="dxa" w:w="1597"/>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−0.98%</w:t>
            </w:r>
          </w:p>
        </w:tc>
        <w:tc>
          <w:tcPr>
            <w:tcW w:type="dxa" w:w="4473"/>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Probability-weighted 5th-stream; World Bank/Platts price normalization</w:t>
            </w:r>
          </w:p>
        </w:tc>
      </w:tr>
      <w:tr>
        <w:tc>
          <w:tcPr>
            <w:tcW w:type="dxa" w:w="1278"/>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Bull</w:t>
            </w:r>
          </w:p>
        </w:tc>
        <w:tc>
          <w:tcPr>
            <w:tcW w:type="dxa" w:w="1278"/>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38.11 [S1392]</w:t>
            </w:r>
          </w:p>
        </w:tc>
        <w:tc>
          <w:tcPr>
            <w:tcW w:type="dxa" w:w="1278"/>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42.42 [S1393]</w:t>
            </w:r>
          </w:p>
        </w:tc>
        <w:tc>
          <w:tcPr>
            <w:tcW w:type="dxa" w:w="1597"/>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+15.74%</w:t>
            </w:r>
          </w:p>
        </w:tc>
        <w:tc>
          <w:tcPr>
            <w:tcW w:type="dxa" w:w="4473"/>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5th-stream at 100% nameplate; metal $3,200/t, alumina $340/t; margin 48–49%</w:t>
            </w:r>
          </w:p>
        </w:tc>
      </w:tr>
      <w:tr>
        <w:tc>
          <w:tcPr>
            <w:tcW w:type="dxa" w:w="1278"/>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Bear</w:t>
            </w:r>
          </w:p>
        </w:tc>
        <w:tc>
          <w:tcPr>
            <w:tcW w:type="dxa" w:w="1278"/>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24.04 [S1394]</w:t>
            </w:r>
          </w:p>
        </w:tc>
        <w:tc>
          <w:tcPr>
            <w:tcW w:type="dxa" w:w="1278"/>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21.26 [S1395]</w:t>
            </w:r>
          </w:p>
        </w:tc>
        <w:tc>
          <w:tcPr>
            <w:tcW w:type="dxa" w:w="1597"/>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−18.05%</w:t>
            </w:r>
          </w:p>
        </w:tc>
        <w:tc>
          <w:tcPr>
            <w:tcW w:type="dxa" w:w="4473"/>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Zero incremental 5th-stream/Pottangi; metal ~$2,400/t, alumina $260–280/t; margin 37–39%; finance cost +30–50%</w:t>
            </w:r>
          </w:p>
        </w:tc>
      </w:tr>
    </w:tbl>
    <w:p>
      <w:pPr>
        <w:spacing w:after="120"/>
      </w:pPr>
    </w:p>
    <w:p>
      <w:pPr>
        <w:spacing w:after="140"/>
      </w:pPr>
      <w:r>
        <w:rPr>
          <w:rFonts w:ascii="Calibri" w:cs="Calibri" w:eastAsia="Calibri" w:hAnsi="Calibri"/>
          <w:b w:val="false"/>
          <w:bCs w:val="false"/>
          <w:i w:val="false"/>
          <w:iCs w:val="false"/>
          <w:color w:val="1A1A1A"/>
          <w:sz w:val="19"/>
          <w:szCs w:val="19"/>
        </w:rPr>
        <w:t xml:space="preserve">A naive 100%-guidance-flow-through model would sit near the bull case (+15.7%); the base case sits at −0.98% because low-credibility guidance is not allowed to become the base case (F-EST-03). Management's own FY27 price guidance is broadly in line with independent anchors — the divergence is on volume (the 5th-stream ramp), not price.</w:t>
      </w:r>
    </w:p>
    <w:p>
      <w:pPr>
        <w:spacing w:after="40" w:before="280"/>
      </w:pPr>
      <w:r>
        <w:rPr>
          <w:rFonts w:ascii="Georgia" w:cs="Georgia" w:eastAsia="Georgia" w:hAnsi="Georgia"/>
          <w:b/>
          <w:bCs/>
          <w:color w:val="1B2A4A"/>
          <w:sz w:val="25"/>
          <w:szCs w:val="25"/>
        </w:rPr>
        <w:t xml:space="preserve">9.  Future outlook, risk factors &amp; concluding synthesis</w:t>
      </w:r>
    </w:p>
    <w:p>
      <w:pPr>
        <w:pBdr>
          <w:bottom w:val="single" w:color="D9D9D9" w:sz="4" w:space="4"/>
        </w:pBdr>
        <w:spacing w:after="140"/>
      </w:pPr>
    </w:p>
    <w:p>
      <w:pPr>
        <w:spacing w:after="60"/>
      </w:pPr>
      <w:r>
        <w:rPr>
          <w:rFonts w:ascii="Calibri" w:cs="Calibri" w:eastAsia="Calibri" w:hAnsi="Calibri"/>
          <w:i/>
          <w:iCs/>
          <w:color w:val="44546A"/>
          <w:sz w:val="18"/>
          <w:szCs w:val="18"/>
        </w:rPr>
        <w:t xml:space="preserve">Catalyst calendar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24"/>
        <w:gridCol w:w="7181"/>
      </w:tblGrid>
      <w:tr>
        <w:trPr>
          <w:tblHeader/>
        </w:trPr>
        <w:tc>
          <w:tcPr>
            <w:tcW w:type="dxa" w:w="2724"/>
            <w:tcBorders>
              <w:top w:val="single" w:color="D9D9D9" w:sz="2"/>
              <w:left w:val="single" w:color="D9D9D9" w:sz="2"/>
              <w:bottom w:val="single" w:color="D9D9D9" w:sz="2"/>
              <w:right w:val="single" w:color="D9D9D9" w:sz="2"/>
            </w:tcBorders>
            <w:shd w:fill="1B2A4A" w:color="auto"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9"/>
                <w:szCs w:val="19"/>
              </w:rPr>
              <w:t xml:space="preserve">Date / trigger</w:t>
            </w:r>
          </w:p>
        </w:tc>
        <w:tc>
          <w:tcPr>
            <w:tcW w:type="dxa" w:w="7181"/>
            <w:tcBorders>
              <w:top w:val="single" w:color="D9D9D9" w:sz="2"/>
              <w:left w:val="single" w:color="D9D9D9" w:sz="2"/>
              <w:bottom w:val="single" w:color="D9D9D9" w:sz="2"/>
              <w:right w:val="single" w:color="D9D9D9" w:sz="2"/>
            </w:tcBorders>
            <w:shd w:fill="1B2A4A" w:color="auto"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9"/>
                <w:szCs w:val="19"/>
              </w:rPr>
              <w:t xml:space="preserve">Event</w:t>
            </w:r>
          </w:p>
        </w:tc>
      </w:tr>
      <w:tr>
        <w:tc>
          <w:tcPr>
            <w:tcW w:type="dxa" w:w="2724"/>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~Aug-2026 (Q1 FY27 call)</w:t>
            </w:r>
          </w:p>
        </w:tc>
        <w:tc>
          <w:tcPr>
            <w:tcW w:type="dxa" w:w="7181"/>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First confirmation of whether the 5th-stream refinery commissioned within one quarter of the June-2026 guide (OQ-GUI-03)</w:t>
            </w:r>
          </w:p>
        </w:tc>
      </w:tr>
      <w:tr>
        <w:tc>
          <w:tcPr>
            <w:tcW w:type="dxa" w:w="2724"/>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Aug–Sept 2026</w:t>
            </w:r>
          </w:p>
        </w:tc>
        <w:tc>
          <w:tcPr>
            <w:tcW w:type="dxa" w:w="7181"/>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0.5 MT smelter DPR targeted (OQ-FUND-03 becomes answerable)</w:t>
            </w:r>
          </w:p>
        </w:tc>
      </w:tr>
      <w:tr>
        <w:tc>
          <w:tcPr>
            <w:tcW w:type="dxa" w:w="2724"/>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On publication</w:t>
            </w:r>
          </w:p>
        </w:tc>
        <w:tc>
          <w:tcPr>
            <w:tcW w:type="dxa" w:w="7181"/>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FY2026 audited AR — confirms/disputes the Q4 PPT full-year figures used throughout (~1% PPT-vs-AR precedent)</w:t>
            </w:r>
          </w:p>
        </w:tc>
      </w:tr>
      <w:tr>
        <w:tc>
          <w:tcPr>
            <w:tcW w:type="dxa" w:w="2724"/>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Pending</w:t>
            </w:r>
          </w:p>
        </w:tc>
        <w:tc>
          <w:tcPr>
            <w:tcW w:type="dxa" w:w="7181"/>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BSE/NSE ID-composition fine waiver outcome; board restoration to LODR-compliant composition</w:t>
            </w:r>
          </w:p>
        </w:tc>
      </w:tr>
      <w:tr>
        <w:tc>
          <w:tcPr>
            <w:tcW w:type="dxa" w:w="2724"/>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Pending</w:t>
            </w:r>
          </w:p>
        </w:tc>
        <w:tc>
          <w:tcPr>
            <w:tcW w:type="dxa" w:w="7181"/>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CBI recruitment-fraud probe resolution</w:t>
            </w:r>
          </w:p>
        </w:tc>
      </w:tr>
    </w:tbl>
    <w:p>
      <w:pPr>
        <w:spacing w:after="120"/>
      </w:pPr>
    </w:p>
    <w:p>
      <w:pPr>
        <w:spacing w:after="60"/>
      </w:pPr>
      <w:r>
        <w:rPr>
          <w:rFonts w:ascii="Calibri" w:cs="Calibri" w:eastAsia="Calibri" w:hAnsi="Calibri"/>
          <w:i/>
          <w:iCs/>
          <w:color w:val="44546A"/>
          <w:sz w:val="18"/>
          <w:szCs w:val="18"/>
        </w:rPr>
        <w:t xml:space="preserve">Risk factors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599"/>
        <w:gridCol w:w="2153"/>
        <w:gridCol w:w="2153"/>
      </w:tblGrid>
      <w:tr>
        <w:trPr>
          <w:tblHeader/>
        </w:trPr>
        <w:tc>
          <w:tcPr>
            <w:tcW w:type="dxa" w:w="5599"/>
            <w:tcBorders>
              <w:top w:val="single" w:color="D9D9D9" w:sz="2"/>
              <w:left w:val="single" w:color="D9D9D9" w:sz="2"/>
              <w:bottom w:val="single" w:color="D9D9D9" w:sz="2"/>
              <w:right w:val="single" w:color="D9D9D9" w:sz="2"/>
            </w:tcBorders>
            <w:shd w:fill="1B2A4A" w:color="auto"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9"/>
                <w:szCs w:val="19"/>
              </w:rPr>
              <w:t xml:space="preserve">Risk</w:t>
            </w:r>
          </w:p>
        </w:tc>
        <w:tc>
          <w:tcPr>
            <w:tcW w:type="dxa" w:w="2153"/>
            <w:tcBorders>
              <w:top w:val="single" w:color="D9D9D9" w:sz="2"/>
              <w:left w:val="single" w:color="D9D9D9" w:sz="2"/>
              <w:bottom w:val="single" w:color="D9D9D9" w:sz="2"/>
              <w:right w:val="single" w:color="D9D9D9" w:sz="2"/>
            </w:tcBorders>
            <w:shd w:fill="1B2A4A" w:color="auto"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9"/>
                <w:szCs w:val="19"/>
              </w:rPr>
              <w:t xml:space="preserve">Type</w:t>
            </w:r>
          </w:p>
        </w:tc>
        <w:tc>
          <w:tcPr>
            <w:tcW w:type="dxa" w:w="2153"/>
            <w:tcBorders>
              <w:top w:val="single" w:color="D9D9D9" w:sz="2"/>
              <w:left w:val="single" w:color="D9D9D9" w:sz="2"/>
              <w:bottom w:val="single" w:color="D9D9D9" w:sz="2"/>
              <w:right w:val="single" w:color="D9D9D9" w:sz="2"/>
            </w:tcBorders>
            <w:shd w:fill="1B2A4A" w:color="auto"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9"/>
                <w:szCs w:val="19"/>
              </w:rPr>
              <w:t xml:space="preserve">Prob. × Impact</w:t>
            </w:r>
          </w:p>
        </w:tc>
      </w:tr>
      <w:tr>
        <w:tc>
          <w:tcPr>
            <w:tcW w:type="dxa" w:w="5599"/>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Valuation reversion toward the 5y band</w:t>
            </w:r>
          </w:p>
        </w:tc>
        <w:tc>
          <w:tcPr>
            <w:tcW w:type="dxa" w:w="2153"/>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Financial / market</w:t>
            </w:r>
          </w:p>
        </w:tc>
        <w:tc>
          <w:tcPr>
            <w:tcW w:type="dxa" w:w="2153"/>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High × High</w:t>
            </w:r>
          </w:p>
        </w:tc>
      </w:tr>
      <w:tr>
        <w:tc>
          <w:tcPr>
            <w:tcW w:type="dxa" w:w="5599"/>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5th-stream slips again / ramps below weight</w:t>
            </w:r>
          </w:p>
        </w:tc>
        <w:tc>
          <w:tcPr>
            <w:tcW w:type="dxa" w:w="2153"/>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Operational</w:t>
            </w:r>
          </w:p>
        </w:tc>
        <w:tc>
          <w:tcPr>
            <w:tcW w:type="dxa" w:w="2153"/>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Medium-High × High</w:t>
            </w:r>
          </w:p>
        </w:tc>
      </w:tr>
      <w:tr>
        <w:tc>
          <w:tcPr>
            <w:tcW w:type="dxa" w:w="5599"/>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Governance — LODR breach + CBI probe unresolved</w:t>
            </w:r>
          </w:p>
        </w:tc>
        <w:tc>
          <w:tcPr>
            <w:tcW w:type="dxa" w:w="2153"/>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Governance</w:t>
            </w:r>
          </w:p>
        </w:tc>
        <w:tc>
          <w:tcPr>
            <w:tcW w:type="dxa" w:w="2153"/>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Medium × Medium</w:t>
            </w:r>
          </w:p>
        </w:tc>
      </w:tr>
      <w:tr>
        <w:tc>
          <w:tcPr>
            <w:tcW w:type="dxa" w:w="5599"/>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Alumina structural oversupply (Indonesia)</w:t>
            </w:r>
          </w:p>
        </w:tc>
        <w:tc>
          <w:tcPr>
            <w:tcW w:type="dxa" w:w="2153"/>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Industry</w:t>
            </w:r>
          </w:p>
        </w:tc>
        <w:tc>
          <w:tcPr>
            <w:tcW w:type="dxa" w:w="2153"/>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High × Medium</w:t>
            </w:r>
          </w:p>
        </w:tc>
      </w:tr>
      <w:tr>
        <w:tc>
          <w:tcPr>
            <w:tcW w:type="dxa" w:w="5599"/>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Commodity price cycle turns down</w:t>
            </w:r>
          </w:p>
        </w:tc>
        <w:tc>
          <w:tcPr>
            <w:tcW w:type="dxa" w:w="2153"/>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Financial</w:t>
            </w:r>
          </w:p>
        </w:tc>
        <w:tc>
          <w:tcPr>
            <w:tcW w:type="dxa" w:w="2153"/>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Medium × High</w:t>
            </w:r>
          </w:p>
        </w:tc>
      </w:tr>
      <w:tr>
        <w:tc>
          <w:tcPr>
            <w:tcW w:type="dxa" w:w="5599"/>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Capex overrun continues / debt-funds the smelter</w:t>
            </w:r>
          </w:p>
        </w:tc>
        <w:tc>
          <w:tcPr>
            <w:tcW w:type="dxa" w:w="2153"/>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Financial</w:t>
            </w:r>
          </w:p>
        </w:tc>
        <w:tc>
          <w:tcPr>
            <w:tcW w:type="dxa" w:w="2153"/>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Medium × Medium</w:t>
            </w:r>
          </w:p>
        </w:tc>
      </w:tr>
      <w:tr>
        <w:tc>
          <w:tcPr>
            <w:tcW w:type="dxa" w:w="5599"/>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CBAM / EU export exposure</w:t>
            </w:r>
          </w:p>
        </w:tc>
        <w:tc>
          <w:tcPr>
            <w:tcW w:type="dxa" w:w="2153"/>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Industry / policy</w:t>
            </w:r>
          </w:p>
        </w:tc>
        <w:tc>
          <w:tcPr>
            <w:tcW w:type="dxa" w:w="2153"/>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Low-Medium × Medium (unsized)</w:t>
            </w:r>
          </w:p>
        </w:tc>
      </w:tr>
      <w:tr>
        <w:tc>
          <w:tcPr>
            <w:tcW w:type="dxa" w:w="5599"/>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FY2026 figures unaudited (PPT-sourced)</w:t>
            </w:r>
          </w:p>
        </w:tc>
        <w:tc>
          <w:tcPr>
            <w:tcW w:type="dxa" w:w="2153"/>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Data quality</w:t>
            </w:r>
          </w:p>
        </w:tc>
        <w:tc>
          <w:tcPr>
            <w:tcW w:type="dxa" w:w="2153"/>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Medium × Low-Medium</w:t>
            </w:r>
          </w:p>
        </w:tc>
      </w:tr>
    </w:tbl>
    <w:p>
      <w:pPr>
        <w:spacing w:after="120"/>
      </w:pPr>
    </w:p>
    <w:p>
      <w:pPr>
        <w:spacing w:after="140"/>
      </w:pPr>
      <w:r>
        <w:rPr>
          <w:rFonts w:ascii="Calibri" w:cs="Calibri" w:eastAsia="Calibri" w:hAnsi="Calibri"/>
          <w:b w:val="false"/>
          <w:bCs w:val="false"/>
          <w:i w:val="false"/>
          <w:iCs w:val="false"/>
          <w:color w:val="1A1A1A"/>
          <w:sz w:val="21"/>
          <w:szCs w:val="21"/>
        </w:rPr>
        <w:t xml:space="preserve">Strengths: a clean, near-debt-free balance sheet; a genuine and widening cost-structure moat (the cleanest-delivered lever in the guidance ledger); above-median earnings quality with five straight unqualified audits and CAG “Nil” comments; the best delivery record on the levers management actually controls (metal volume, cost efficiency).</w:t>
      </w:r>
    </w:p>
    <w:p>
      <w:pPr>
        <w:spacing w:after="140"/>
      </w:pPr>
      <w:r>
        <w:rPr>
          <w:rFonts w:ascii="Calibri" w:cs="Calibri" w:eastAsia="Calibri" w:hAnsi="Calibri"/>
          <w:b w:val="false"/>
          <w:bCs w:val="false"/>
          <w:i w:val="false"/>
          <w:iCs w:val="false"/>
          <w:color w:val="1A1A1A"/>
          <w:sz w:val="21"/>
          <w:szCs w:val="21"/>
        </w:rPr>
        <w:t xml:space="preserve">Vulnerabilities: no pricing power (buyer power 7/10, near-zero switching costs, no hedging); a cost-structure moat that supports margins in a downturn but does not drive earnings growth or justify multiple expansion; two live overhangs — a fined governance-compliance breach and a repeatedly cut/deferred timeline on the single largest near-term growth lever; and, most acutely, a price that has run to roughly twice the multiple the stock has ever earned in its own five-year history against a base-case earnings path that is flat-to-down.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D9D9D9" w:sz="2"/>
              <w:left w:val="single" w:color="B08D57" w:sz="24"/>
              <w:bottom w:val="single" w:color="D9D9D9" w:sz="2"/>
              <w:right w:val="single" w:color="D9D9D9" w:sz="2"/>
            </w:tcBorders>
            <w:shd w:fill="F2F2F2" w:color="auto" w:val="clear"/>
            <w:tcMar>
              <w:top w:type="dxa" w:w="140"/>
              <w:left w:type="dxa" w:w="220"/>
              <w:bottom w:type="dxa" w:w="140"/>
              <w:right w:type="dxa" w:w="220"/>
            </w:tcMar>
          </w:tcPr>
          <w:p>
            <w:pPr>
              <w:spacing w:after="60"/>
            </w:pPr>
            <w:r>
              <w:rPr>
                <w:rFonts w:ascii="Georgia" w:cs="Georgia" w:eastAsia="Georgia" w:hAnsi="Georgia"/>
                <w:b/>
                <w:bCs/>
                <w:color w:val="B08D57"/>
                <w:sz w:val="19"/>
                <w:szCs w:val="19"/>
              </w:rPr>
              <w:t xml:space="preserve">CONCLUDING SYNTHESIS</w:t>
            </w:r>
          </w:p>
          <w:p>
            <w:r>
              <w:rPr>
                <w:rFonts w:ascii="Calibri" w:cs="Calibri" w:eastAsia="Calibri" w:hAnsi="Calibri"/>
                <w:color w:val="1A1A1A"/>
                <w:sz w:val="20"/>
                <w:szCs w:val="20"/>
              </w:rPr>
              <w:t xml:space="preserve">NALCO is a well-built ship with a sound hull and cheap fuel, sailing a sea whose swells it cannot control — the current price is set as if the sea had been tamed, when the evidence says only the hull has been strengthened.</w:t>
            </w:r>
          </w:p>
        </w:tc>
      </w:tr>
    </w:tbl>
    <w:p>
      <w:pPr>
        <w:spacing w:after="120"/>
      </w:pPr>
    </w:p>
    <w:p>
      <w:pPr>
        <w:spacing w:after="40" w:before="280"/>
      </w:pPr>
      <w:r>
        <w:rPr>
          <w:rFonts w:ascii="Georgia" w:cs="Georgia" w:eastAsia="Georgia" w:hAnsi="Georgia"/>
          <w:b/>
          <w:bCs/>
          <w:color w:val="1B2A4A"/>
          <w:sz w:val="25"/>
          <w:szCs w:val="25"/>
        </w:rPr>
        <w:t xml:space="preserve">14.  Open questions &amp; gaps register (high-severity, condensed)</w:t>
      </w:r>
    </w:p>
    <w:p>
      <w:pPr>
        <w:pBdr>
          <w:bottom w:val="single" w:color="D9D9D9" w:sz="4" w:space="4"/>
        </w:pBdr>
        <w:spacing w:after="14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05"/>
        <w:gridCol w:w="4572"/>
        <w:gridCol w:w="1333"/>
        <w:gridCol w:w="2095"/>
      </w:tblGrid>
      <w:tr>
        <w:trPr>
          <w:tblHeader/>
        </w:trPr>
        <w:tc>
          <w:tcPr>
            <w:tcW w:type="dxa" w:w="1905"/>
            <w:tcBorders>
              <w:top w:val="single" w:color="D9D9D9" w:sz="2"/>
              <w:left w:val="single" w:color="D9D9D9" w:sz="2"/>
              <w:bottom w:val="single" w:color="D9D9D9" w:sz="2"/>
              <w:right w:val="single" w:color="D9D9D9" w:sz="2"/>
            </w:tcBorders>
            <w:shd w:fill="1B2A4A" w:color="auto"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9"/>
                <w:szCs w:val="19"/>
              </w:rPr>
              <w:t xml:space="preserve">ID</w:t>
            </w:r>
          </w:p>
        </w:tc>
        <w:tc>
          <w:tcPr>
            <w:tcW w:type="dxa" w:w="4572"/>
            <w:tcBorders>
              <w:top w:val="single" w:color="D9D9D9" w:sz="2"/>
              <w:left w:val="single" w:color="D9D9D9" w:sz="2"/>
              <w:bottom w:val="single" w:color="D9D9D9" w:sz="2"/>
              <w:right w:val="single" w:color="D9D9D9" w:sz="2"/>
            </w:tcBorders>
            <w:shd w:fill="1B2A4A" w:color="auto"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9"/>
                <w:szCs w:val="19"/>
              </w:rPr>
              <w:t xml:space="preserve">Question</w:t>
            </w:r>
          </w:p>
        </w:tc>
        <w:tc>
          <w:tcPr>
            <w:tcW w:type="dxa" w:w="1333"/>
            <w:tcBorders>
              <w:top w:val="single" w:color="D9D9D9" w:sz="2"/>
              <w:left w:val="single" w:color="D9D9D9" w:sz="2"/>
              <w:bottom w:val="single" w:color="D9D9D9" w:sz="2"/>
              <w:right w:val="single" w:color="D9D9D9" w:sz="2"/>
            </w:tcBorders>
            <w:shd w:fill="1B2A4A" w:color="auto"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9"/>
                <w:szCs w:val="19"/>
              </w:rPr>
              <w:t xml:space="preserve">Severity</w:t>
            </w:r>
          </w:p>
        </w:tc>
        <w:tc>
          <w:tcPr>
            <w:tcW w:type="dxa" w:w="2095"/>
            <w:tcBorders>
              <w:top w:val="single" w:color="D9D9D9" w:sz="2"/>
              <w:left w:val="single" w:color="D9D9D9" w:sz="2"/>
              <w:bottom w:val="single" w:color="D9D9D9" w:sz="2"/>
              <w:right w:val="single" w:color="D9D9D9" w:sz="2"/>
            </w:tcBorders>
            <w:shd w:fill="1B2A4A" w:color="auto"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9"/>
                <w:szCs w:val="19"/>
              </w:rPr>
              <w:t xml:space="preserve">Status</w:t>
            </w:r>
          </w:p>
        </w:tc>
      </w:tr>
      <w:tr>
        <w:tc>
          <w:tcPr>
            <w:tcW w:type="dxa" w:w="1905"/>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OQ-FUND-03</w:t>
            </w:r>
          </w:p>
        </w:tc>
        <w:tc>
          <w:tcPr>
            <w:tcW w:type="dxa" w:w="4572"/>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0.5 MT smelter incremental ROCE/payback?</w:t>
            </w:r>
          </w:p>
        </w:tc>
        <w:tc>
          <w:tcPr>
            <w:tcW w:type="dxa" w:w="1333"/>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High</w:t>
            </w:r>
          </w:p>
        </w:tc>
        <w:tc>
          <w:tcPr>
            <w:tcW w:type="dxa" w:w="2095"/>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8B1E1E"/>
                <w:sz w:val="19"/>
                <w:szCs w:val="19"/>
              </w:rPr>
              <w:t xml:space="preserve">Open</w:t>
            </w:r>
          </w:p>
        </w:tc>
      </w:tr>
      <w:tr>
        <w:tc>
          <w:tcPr>
            <w:tcW w:type="dxa" w:w="1905"/>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OQ-GUI-03</w:t>
            </w:r>
          </w:p>
        </w:tc>
        <w:tc>
          <w:tcPr>
            <w:tcW w:type="dxa" w:w="4572"/>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5th-stream commissioned June-2026, or slipped again?</w:t>
            </w:r>
          </w:p>
        </w:tc>
        <w:tc>
          <w:tcPr>
            <w:tcW w:type="dxa" w:w="1333"/>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High</w:t>
            </w:r>
          </w:p>
        </w:tc>
        <w:tc>
          <w:tcPr>
            <w:tcW w:type="dxa" w:w="2095"/>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8B1E1E"/>
                <w:sz w:val="19"/>
                <w:szCs w:val="19"/>
              </w:rPr>
              <w:t xml:space="preserve">Open</w:t>
            </w:r>
          </w:p>
        </w:tc>
      </w:tr>
      <w:tr>
        <w:tc>
          <w:tcPr>
            <w:tcW w:type="dxa" w:w="1905"/>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OQ-GOV-01</w:t>
            </w:r>
          </w:p>
        </w:tc>
        <w:tc>
          <w:tcPr>
            <w:tcW w:type="dxa" w:w="4572"/>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SEBI/ED/SFIO/CBI/NCLT/IBBI/MCA registry sweep?</w:t>
            </w:r>
          </w:p>
        </w:tc>
        <w:tc>
          <w:tcPr>
            <w:tcW w:type="dxa" w:w="1333"/>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High</w:t>
            </w:r>
          </w:p>
        </w:tc>
        <w:tc>
          <w:tcPr>
            <w:tcW w:type="dxa" w:w="2095"/>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8B1E1E"/>
                <w:sz w:val="19"/>
                <w:szCs w:val="19"/>
              </w:rPr>
              <w:t xml:space="preserve">Open</w:t>
            </w:r>
          </w:p>
        </w:tc>
      </w:tr>
      <w:tr>
        <w:tc>
          <w:tcPr>
            <w:tcW w:type="dxa" w:w="1905"/>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OQ-GOV-02</w:t>
            </w:r>
          </w:p>
        </w:tc>
        <w:tc>
          <w:tcPr>
            <w:tcW w:type="dxa" w:w="4572"/>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CAG Sec 143(6) FY2021–FY2025?</w:t>
            </w:r>
          </w:p>
        </w:tc>
        <w:tc>
          <w:tcPr>
            <w:tcW w:type="dxa" w:w="1333"/>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High</w:t>
            </w:r>
          </w:p>
        </w:tc>
        <w:tc>
          <w:tcPr>
            <w:tcW w:type="dxa" w:w="2095"/>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Answered (partial)</w:t>
            </w:r>
          </w:p>
        </w:tc>
      </w:tr>
      <w:tr>
        <w:tc>
          <w:tcPr>
            <w:tcW w:type="dxa" w:w="1905"/>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OQ-GOV-03</w:t>
            </w:r>
          </w:p>
        </w:tc>
        <w:tc>
          <w:tcPr>
            <w:tcW w:type="dxa" w:w="4572"/>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FY2024/FY2025 auditor opinion + contingent liabilities?</w:t>
            </w:r>
          </w:p>
        </w:tc>
        <w:tc>
          <w:tcPr>
            <w:tcW w:type="dxa" w:w="1333"/>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High</w:t>
            </w:r>
          </w:p>
        </w:tc>
        <w:tc>
          <w:tcPr>
            <w:tcW w:type="dxa" w:w="2095"/>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Answered</w:t>
            </w:r>
          </w:p>
        </w:tc>
      </w:tr>
      <w:tr>
        <w:tc>
          <w:tcPr>
            <w:tcW w:type="dxa" w:w="1905"/>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OQ-GOV-05</w:t>
            </w:r>
          </w:p>
        </w:tc>
        <w:tc>
          <w:tcPr>
            <w:tcW w:type="dxa" w:w="4572"/>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Board / independent-director composition?</w:t>
            </w:r>
          </w:p>
        </w:tc>
        <w:tc>
          <w:tcPr>
            <w:tcW w:type="dxa" w:w="1333"/>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Medium</w:t>
            </w:r>
          </w:p>
        </w:tc>
        <w:tc>
          <w:tcPr>
            <w:tcW w:type="dxa" w:w="2095"/>
            <w:tcBorders>
              <w:top w:val="single" w:color="D9D9D9" w:sz="2"/>
              <w:left w:val="single" w:color="D9D9D9" w:sz="2"/>
              <w:bottom w:val="single" w:color="D9D9D9" w:sz="2"/>
              <w:right w:val="single" w:color="D9D9D9" w:sz="2"/>
            </w:tcBorders>
            <w:shd w:fill="F2F2F2"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Answered (adverse)</w:t>
            </w:r>
          </w:p>
        </w:tc>
      </w:tr>
      <w:tr>
        <w:tc>
          <w:tcPr>
            <w:tcW w:type="dxa" w:w="1905"/>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OQ-FUND-01</w:t>
            </w:r>
          </w:p>
        </w:tc>
        <w:tc>
          <w:tcPr>
            <w:tcW w:type="dxa" w:w="4572"/>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1A1A"/>
                <w:sz w:val="19"/>
                <w:szCs w:val="19"/>
              </w:rPr>
              <w:t xml:space="preserve">FY2026 audited AR vs Q4 PPT figures?</w:t>
            </w:r>
          </w:p>
        </w:tc>
        <w:tc>
          <w:tcPr>
            <w:tcW w:type="dxa" w:w="1333"/>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val="false"/>
                <w:bCs w:val="false"/>
                <w:i w:val="false"/>
                <w:iCs w:val="false"/>
                <w:color w:val="1A1A1A"/>
                <w:sz w:val="19"/>
                <w:szCs w:val="19"/>
              </w:rPr>
              <w:t xml:space="preserve">Medium</w:t>
            </w:r>
          </w:p>
        </w:tc>
        <w:tc>
          <w:tcPr>
            <w:tcW w:type="dxa" w:w="2095"/>
            <w:tcBorders>
              <w:top w:val="single" w:color="D9D9D9" w:sz="2"/>
              <w:left w:val="single" w:color="D9D9D9" w:sz="2"/>
              <w:bottom w:val="single" w:color="D9D9D9" w:sz="2"/>
              <w:right w:val="single" w:color="D9D9D9" w:sz="2"/>
            </w:tcBorders>
            <w:shd w:fill="FFFFFF" w:color="auto"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8B1E1E"/>
                <w:sz w:val="19"/>
                <w:szCs w:val="19"/>
              </w:rPr>
              <w:t xml:space="preserve">Open</w:t>
            </w:r>
          </w:p>
        </w:tc>
      </w:tr>
    </w:tbl>
    <w:p>
      <w:pPr>
        <w:spacing w:after="120"/>
      </w:pPr>
    </w:p>
    <w:p>
      <w:pPr>
        <w:spacing w:after="140"/>
      </w:pPr>
      <w:r>
        <w:rPr>
          <w:rFonts w:ascii="Calibri" w:cs="Calibri" w:eastAsia="Calibri" w:hAnsi="Calibri"/>
          <w:b w:val="false"/>
          <w:bCs w:val="false"/>
          <w:i/>
          <w:iCs/>
          <w:color w:val="1A1A1A"/>
          <w:sz w:val="18"/>
          <w:szCs w:val="18"/>
        </w:rPr>
        <w:t xml:space="preserve">Full register: ~22 entries spanning fundamentals, guidance and governance; three high-severity items (OQ-FUND-03, OQ-GUI-03, OQ-GOV-01) remain open, OQ-FUND-07 and OQ-GUI-01 were answered by DR2. None are treated as blocking — each is a disclosed gap with a stated resolution trigger.</w:t>
      </w:r>
    </w:p>
    <w:p>
      <w:pPr>
        <w:spacing w:after="1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D9D9D9" w:sz="2"/>
              <w:left w:val="single" w:color="1B2A4A" w:sz="24"/>
              <w:bottom w:val="single" w:color="D9D9D9" w:sz="2"/>
              <w:right w:val="single" w:color="D9D9D9" w:sz="2"/>
            </w:tcBorders>
            <w:shd w:fill="F2F2F2" w:color="auto" w:val="clear"/>
            <w:tcMar>
              <w:top w:type="dxa" w:w="140"/>
              <w:left w:type="dxa" w:w="220"/>
              <w:bottom w:type="dxa" w:w="140"/>
              <w:right w:type="dxa" w:w="220"/>
            </w:tcMar>
          </w:tcPr>
          <w:p>
            <w:pPr>
              <w:spacing w:after="60"/>
            </w:pPr>
            <w:r>
              <w:rPr>
                <w:rFonts w:ascii="Georgia" w:cs="Georgia" w:eastAsia="Georgia" w:hAnsi="Georgia"/>
                <w:b/>
                <w:bCs/>
                <w:color w:val="1B2A4A"/>
                <w:sz w:val="19"/>
                <w:szCs w:val="19"/>
              </w:rPr>
              <w:t xml:space="preserve">DISCLAIMER</w:t>
            </w:r>
          </w:p>
          <w:p>
            <w:r>
              <w:rPr>
                <w:rFonts w:ascii="Calibri" w:cs="Calibri" w:eastAsia="Calibri" w:hAnsi="Calibri"/>
                <w:color w:val="1A1A1A"/>
                <w:sz w:val="20"/>
                <w:szCs w:val="20"/>
              </w:rPr>
              <w:t xml:space="preserve">This report is for educational analysis only and is not investment advice or a research report under SEBI (Research Analysts) Regulations, 2014. It has not been prepared by a SEBI-registered Research Analyst. Treat it as business analysis, not investment research. Always do your own due diligence before investing.</w:t>
            </w:r>
          </w:p>
        </w:tc>
      </w:tr>
    </w:tbl>
    <w:p>
      <w:pPr>
        <w:spacing w:after="12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D9D9D9" w:sz="2"/>
              <w:left w:val="single" w:color="B08D57" w:sz="24"/>
              <w:bottom w:val="single" w:color="D9D9D9" w:sz="2"/>
              <w:right w:val="single" w:color="D9D9D9" w:sz="2"/>
            </w:tcBorders>
            <w:shd w:fill="F2F2F2" w:color="auto" w:val="clear"/>
            <w:tcMar>
              <w:top w:type="dxa" w:w="140"/>
              <w:left w:type="dxa" w:w="220"/>
              <w:bottom w:type="dxa" w:w="140"/>
              <w:right w:type="dxa" w:w="220"/>
            </w:tcMar>
          </w:tcPr>
          <w:p>
            <w:pPr>
              <w:spacing w:after="60"/>
            </w:pPr>
            <w:r>
              <w:rPr>
                <w:rFonts w:ascii="Georgia" w:cs="Georgia" w:eastAsia="Georgia" w:hAnsi="Georgia"/>
                <w:b/>
                <w:bCs/>
                <w:color w:val="B08D57"/>
                <w:sz w:val="19"/>
                <w:szCs w:val="19"/>
              </w:rPr>
              <w:t xml:space="preserve">AI DISCLOSURE</w:t>
            </w:r>
          </w:p>
          <w:p>
            <w:r>
              <w:rPr>
                <w:rFonts w:ascii="Calibri" w:cs="Calibri" w:eastAsia="Calibri" w:hAnsi="Calibri"/>
                <w:color w:val="1A1A1A"/>
                <w:sz w:val="20"/>
                <w:szCs w:val="20"/>
              </w:rPr>
              <w:t xml:space="preserve">Artificial intelligence was used to prepare substantially all of the analysis in this report (in line with the disclosure expectation SEBI introduced for AI use in research preparation). AI systems can make mistakes: figures are extracted and cross-verified against cited source pages, but errors may remain. Every number carries a source reference — verify load-bearing figures against the cited page before relying on them.</w:t>
            </w:r>
          </w:p>
        </w:tc>
      </w:tr>
    </w:tbl>
    <w:p>
      <w:pPr>
        <w:spacing w:after="120"/>
      </w:pPr>
    </w:p>
    <w:p>
      <w:pPr>
        <w:spacing w:after="140"/>
      </w:pPr>
      <w:r>
        <w:rPr>
          <w:rFonts w:ascii="Calibri" w:cs="Calibri" w:eastAsia="Calibri" w:hAnsi="Calibri"/>
          <w:b w:val="false"/>
          <w:bCs w:val="false"/>
          <w:i/>
          <w:iCs/>
          <w:color w:val="1A1A1A"/>
          <w:sz w:val="17"/>
          <w:szCs w:val="17"/>
        </w:rPr>
        <w:t xml:space="preserve">Validity: prepared on 2026-07-16 (the later of: dates in supplied research documents; run date). Company information changes with news flow and results; treat the analysis as decaying in reliability beyond ~12 months, and the market data as of its pull timestamp only. Sources: company documents supplied by the user (annual reports, quarterly filings, transcripts, presentations); exchange/regulator websites; market data via yfinance (timestamped); external research as cited with URL and access date. The preparer holds no position information and expresses no view on suitability for any investor. Full source registry (946+ entries, page-level for every Annual Report line item) is retained in the source markdown (§13) and omitted here for length.</w:t>
      </w:r>
    </w:p>
    <w:sectPr>
      <w:footerReference w:type="default" r:id="rId7"/>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i/>
        <w:iCs/>
        <w:color w:val="44546A"/>
        <w:sz w:val="14"/>
        <w:szCs w:val="14"/>
      </w:rPr>
      <w:t xml:space="preserve">NALCO — Forensic Dossier (Internal)   |   Page </w:t>
    </w:r>
    <w:r>
      <w:rPr>
        <w:rFonts w:ascii="Calibri" w:cs="Calibri" w:eastAsia="Calibri" w:hAnsi="Calibri"/>
        <w:i/>
        <w:iCs/>
        <w:color w:val="44546A"/>
        <w:sz w:val="14"/>
        <w:szCs w:val="14"/>
      </w:rPr>
      <w:fldChar w:fldCharType="begin"/>
      <w:instrText xml:space="preserve">PAGE</w:instrText>
      <w:fldChar w:fldCharType="separate"/>
      <w:fldChar w:fldCharType="end"/>
    </w:r>
    <w:r>
      <w:rPr>
        <w:rFonts w:ascii="Calibri" w:cs="Calibri" w:eastAsia="Calibri" w:hAnsi="Calibri"/>
        <w:i/>
        <w:iCs/>
        <w:color w:val="44546A"/>
        <w:sz w:val="14"/>
        <w:szCs w:val="14"/>
      </w:rPr>
      <w:t xml:space="preserve"> of </w:t>
    </w:r>
    <w:r>
      <w:rPr>
        <w:rFonts w:ascii="Calibri" w:cs="Calibri" w:eastAsia="Calibri" w:hAnsi="Calibri"/>
        <w:i/>
        <w:iCs/>
        <w:color w:val="44546A"/>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2026-07-19T09:00:36.398Z</dcterms:created>
  <dcterms:modified xsi:type="dcterms:W3CDTF">2026-07-19T09:00:36.398Z</dcterms:modified>
</cp:coreProperties>
</file>

<file path=docProps/custom.xml><?xml version="1.0" encoding="utf-8"?>
<Properties xmlns="http://schemas.openxmlformats.org/officeDocument/2006/custom-properties" xmlns:vt="http://schemas.openxmlformats.org/officeDocument/2006/docPropsVTypes"/>
</file>