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Remedy Duration Comparison</w:t>
      </w:r>
    </w:p>
    <w:p/>
    <w:p>
      <w:pPr>
        <w:pStyle w:val="Heading3"/>
      </w:pPr>
      <w:r>
        <w:t>Remedy Duration Comparison</w:t>
      </w:r>
    </w:p>
    <w:p/>
    <w:p>
      <w:r>
        <w:t>A comparative analysis of the temporal scope of the proposed commitments reveals a significant structural deviation from established case law. Specifically, the proposed M.11247 remedy package features a duration of three (3) years, which is two (2) years shorter than the five (5) year duration mandated under the M.9876 precedent.</w:t>
      </w:r>
    </w:p>
    <w:p/>
    <w:p>
      <w:r>
        <w:t>This 40% reduction in the commitment lifecycle presents distinct regulatory and enforcement implications:</w:t>
      </w:r>
    </w:p>
    <w:p/>
    <w:p>
      <w:pPr>
        <w:pStyle w:val="ListBullet"/>
      </w:pPr>
      <w:r>
        <w:t xml:space="preserve">  **Precedent Deviation:** The five-year term in M.9876 has historically served as the standard benchmark to ensure market stabilization and allow sufficient time for third-party entrants to establish viable, independent competitive constraints. Reducing this window to three years in M.11247 represents a compressed compliance timeline.</w:t>
      </w:r>
    </w:p>
    <w:p>
      <w:pPr>
        <w:pStyle w:val="ListBullet"/>
      </w:pPr>
      <w:r>
        <w:t xml:space="preserve">  **Risk Assessment:** A shortened three-year duration increases the risk of premature remedy expiration before the target market achieves sustainable, long-term equilibrium. If market dynamics do not adjust within this accelerated timeframe, the competitive safeguards may lapse before their remedial objectives are fully realized.</w:t>
      </w:r>
    </w:p>
    <w:p>
      <w:pPr>
        <w:pStyle w:val="ListBullet"/>
      </w:pPr>
      <w:r>
        <w:t xml:space="preserve">  **Justification Framework:** To defend this deviation before the regulatory authorities, the parties must substantiate that the relevant market under M.11247 is characterized by faster technology cycles, lower barriers to entry, or more rapid structural shifts than the market analyzed in M.9876, thereby justifying a shorter, more concentrated transitional period.</w:t>
      </w:r>
    </w:p>
    <w:p/>
    <w:p>
      <w:pPr>
        <w:pStyle w:val="Heading2"/>
      </w:pPr>
      <w:r>
        <w:t>Competition Concerns</w:t>
      </w:r>
    </w:p>
    <w:p/>
    <w:p>
      <w:pPr>
        <w:pStyle w:val="Heading1"/>
      </w:pPr>
      <w:r>
        <w:t>Competition Concerns</w:t>
      </w:r>
    </w:p>
    <w:p/>
    <w:p>
      <w:r>
        <w:t>In its Statement of Objections (SO) (Case M.11247), the European Commission identified three distinct competition concerns and theories of harm arising from the proposed transaction, spanning horizontal, vertical, and innovation-driven market dynamics:</w:t>
      </w:r>
    </w:p>
    <w:p/>
    <w:p>
      <w:pPr>
        <w:pStyle w:val="Heading3"/>
      </w:pPr>
      <w:r>
        <w:t>1. Horizontal Concerns: Selective Herbicides (SH) Market</w:t>
      </w:r>
    </w:p>
    <w:p>
      <w:r>
        <w:t>The Commission identified a significant horizontal concern in the Selective Herbicides (SH) market. The transaction would strengthen Pinnacle’s leading market position and substantially increase market concentration. Market data indicates that the combined entity would hold a **34.1% market share**, resulting in a post-merger Herfindahl-Hirschman Index (HHI) of **2,847**, representing a delta increase of **219**.</w:t>
      </w:r>
    </w:p>
    <w:p/>
    <w:p>
      <w:r>
        <w:t>This horizontal concern mirrors precedents in the crop protection sector. Specifically, in the precedent commitment decision *NovaBio/CropGenix* (Case M.10891), the Commission identified comparable competition concerns in:</w:t>
      </w:r>
    </w:p>
    <w:p>
      <w:pPr>
        <w:pStyle w:val="ListBullet"/>
      </w:pPr>
      <w:r>
        <w:t xml:space="preserve">  Biological crop protection agents (EEA-wide)</w:t>
      </w:r>
    </w:p>
    <w:p>
      <w:pPr>
        <w:pStyle w:val="ListBullet"/>
      </w:pPr>
      <w:r>
        <w:t xml:space="preserve">  Selective herbicides for cereal crops (across four national markets)</w:t>
      </w:r>
    </w:p>
    <w:p/>
    <w:p>
      <w:pPr>
        <w:pStyle w:val="Heading3"/>
      </w:pPr>
      <w:r>
        <w:t>2. Innovation Concerns: Biological Crop Protection Agents (Bio) Market</w:t>
      </w:r>
    </w:p>
    <w:p>
      <w:r>
        <w:t>The Commission identified critical competition concerns in the EEA-wide Bio Market. The transaction would consolidate Pinnacle Crop Sciences Inc.’s control over BioShield’s core competitive assets. By absorbing these assets, the transaction would eliminate BioShield as an independent competitive force in an highly innovation-driven market, stifling pipeline development and greenfield R&amp;D.</w:t>
      </w:r>
    </w:p>
    <w:p/>
    <w:p>
      <w:pPr>
        <w:pStyle w:val="Heading3"/>
      </w:pPr>
      <w:r>
        <w:t>3. Vertical Concerns: Broad-Spectrum Fungicides (BF) Market</w:t>
      </w:r>
    </w:p>
    <w:p>
      <w:r>
        <w:t>The Commission identified specific competition concerns in the Broad-Spectrum Fungicides (BF) Market across six EU Member States: **France, Germany, Spain, Italy, the Netherlands, and Poland**.</w:t>
      </w:r>
    </w:p>
    <w:p/>
    <w:p>
      <w:r>
        <w:t>These concerns are fundamentally vertical in nature and exist across all six of the aforementioned Member States (France, Germany, Spain, Italy, the Netherlands, and Poland). The vertical threat is structurally embedded in the integration of Pinnacle’s manufacturing capabilities with AgriVantage’s downstream distribution network. Because AgriVantage holds exclusive distribution agreements with Pinnacle for broad-spectrum fungicides in these six Member States, the merger creates a direct incentive and ability for the merged entity to engage in input foreclosure, restricting access to key active ingredients for downstream competitors.</w:t>
      </w:r>
    </w:p>
    <w:p/>
    <w:p>
      <w:pPr>
        <w:pStyle w:val="Heading2"/>
      </w:pPr>
      <w:r>
        <w:t>Deviation Analysis</w:t>
      </w:r>
    </w:p>
    <w:p/>
    <w:p>
      <w:pPr>
        <w:pStyle w:val="Heading1"/>
      </w:pPr>
      <w:r>
        <w:t>SECTION: DEVIATION ANALYSIS</w:t>
      </w:r>
    </w:p>
    <w:p/>
    <w:p>
      <w:r>
        <w:t>This section provides a rigorous comparative assessment of the proposed remedies package in Case M.11247 against the established commitments accepted in three key precedent decisions: Case M.9876, Case M.10234, and Case M.10891. Based on the Statement of Objections (SO) summary and market data, this analysis identifies critical structural and temporal deviations that introduce significant operational risks.</w:t>
      </w:r>
    </w:p>
    <w:p/>
    <w:p>
      <w:r>
        <w:t>---</w:t>
      </w:r>
    </w:p>
    <w:p/>
    <w:p>
      <w:pPr>
        <w:pStyle w:val="Heading3"/>
      </w:pPr>
      <w:r>
        <w:t>1. Asset Scope Deviations (Remedy A vs. Precedents)</w:t>
      </w:r>
    </w:p>
    <w:p/>
    <w:p>
      <w:r>
        <w:t>A comparative review reveals that the proposed Remedy A represents a significantly narrower asset scope compared to precedent decisions, failing to transfer the core assets necessary to ensure an independent, viable competitor.</w:t>
      </w:r>
    </w:p>
    <w:p/>
    <w:p>
      <w:pPr>
        <w:pStyle w:val="ListBullet"/>
      </w:pPr>
      <w:r>
        <w:t xml:space="preserve">  **Exclusion of Core Production Assets:** Remedy A excludes a dedicated manufacturing facility (specifically, the Ludwigshafen Facility is retained by the parties). This represents a narrower asset scope compared to precedents, most notably Case M.9876, where the European Commission required the full structural transfer of the Rouen production plant to ensure operational autonomy.</w:t>
      </w:r>
    </w:p>
    <w:p>
      <w:pPr>
        <w:pStyle w:val="ListBullet"/>
      </w:pPr>
      <w:r>
        <w:t xml:space="preserve">  **Deviation from Core Asset Requirements:** The fact that Remedy A lacks a dedicated manufacturing facility is a direct deviation from precedent requirements for core assets. In merger control practice, the divestiture of a fully operational, dedicated production site is considered the standard threshold for restoring competition in manufacturing-heavy markets.</w:t>
      </w:r>
    </w:p>
    <w:p>
      <w:pPr>
        <w:pStyle w:val="ListBullet"/>
      </w:pPr>
      <w:r>
        <w:t xml:space="preserve">  **Personnel Transfer Deficiencies:** This asset-light approach is further compounded by personnel limitations. Remedy A proposes the transfer of only 14 Key Personnel, whereas the precedent in Case M.9876 required the transfer of 85 Full-Time Equivalents (FTEs) to ensure the divested business possessed sufficient technical and operational expertise.</w:t>
      </w:r>
    </w:p>
    <w:p/>
    <w:p>
      <w:r>
        <w:t>---</w:t>
      </w:r>
    </w:p>
    <w:p/>
    <w:p>
      <w:pPr>
        <w:pStyle w:val="Heading3"/>
      </w:pPr>
      <w:r>
        <w:t>2. Temporal and Supply Gap Risk Assessment</w:t>
      </w:r>
    </w:p>
    <w:p/>
    <w:p>
      <w:r>
        <w:t>The structural deficiency of excluding the Ludwigshafen Facility creates an operational dependency on the merging parties. The proposed transitional arrangements are insufficient to bridge the gap required for the purchaser to achieve manufacturing independence.</w:t>
      </w:r>
    </w:p>
    <w:p/>
    <w:p>
      <w:r>
        <w:t>```</w:t>
      </w:r>
    </w:p>
    <w:p>
      <w:r>
        <w:t>Timeline &amp; Supply Gap Analysis:</w:t>
      </w:r>
    </w:p>
    <w:p>
      <w:r>
        <w:t>0M [====================================] 36M (TSA Expiration)</w:t>
      </w:r>
    </w:p>
    <w:p>
      <w:r>
        <w:t>0M [==========================================] 42M (Infrastructure Construction)</w:t>
      </w:r>
    </w:p>
    <w:p>
      <w:r>
        <w:t>[----] 6-Month Supply Gap (Downtime Risk)</w:t>
      </w:r>
    </w:p>
    <w:p>
      <w:r>
        <w:t>```</w:t>
      </w:r>
    </w:p>
    <w:p/>
    <w:p>
      <w:pPr>
        <w:pStyle w:val="ListBullet"/>
      </w:pPr>
      <w:r>
        <w:t xml:space="preserve">  **Transitional Services Limitation:** Under the current proposal, the Transitional Supply Agreement (TSA) and Toll Manufacturing Agreement (TMA) duration is limited to 36 months. This is substantially shorter than the transitional periods approved in precedents, which allowed 48 months (Case M.10891) and 60 months (Case M.9876) to facilitate asset integration.</w:t>
      </w:r>
    </w:p>
    <w:p>
      <w:pPr>
        <w:pStyle w:val="ListBullet"/>
      </w:pPr>
      <w:r>
        <w:t xml:space="preserve">  **Infrastructure Construction Timeline:** Market data and engineering estimates indicate that the average construction time for the required manufacturing infrastructure (to replicate the excluded Ludwigshafen capabilities) is 42 months. This timeline includes site acquisition, environmental permitting, facility construction, equipment installation, and regulatory validation.</w:t>
      </w:r>
    </w:p>
    <w:p>
      <w:pPr>
        <w:pStyle w:val="ListBullet"/>
      </w:pPr>
      <w:r>
        <w:t xml:space="preserve">  **Supply Gap Calculation:** The supply gap calculation is derived from the difference between the 42-month construction time and the 36-month TSA duration:</w:t>
      </w:r>
    </w:p>
    <w:p>
      <w:r>
        <w:t>$$\text{Supply Gap} = \text{Average Construction Time (42 months)} - \text{TSA Duration (36 months)} = 6\text{ months}$$</w:t>
      </w:r>
    </w:p>
    <w:p>
      <w:pPr>
        <w:pStyle w:val="ListBullet"/>
      </w:pPr>
      <w:r>
        <w:t xml:space="preserve">  **Quantified Operational Risk:** Consequently, the supply gap risk is quantified as 6 months of potential production downtime. During this 6-month window, the purchaser will have no access to transitional supply from the parties and will not yet have completed its own production facility, resulting in a complete market absence and a severe threat to the viability of the divested business.</w:t>
      </w:r>
    </w:p>
    <w:p/>
    <w:p>
      <w:r>
        <w:t>---</w:t>
      </w:r>
    </w:p>
    <w:p/>
    <w:p>
      <w:pPr>
        <w:pStyle w:val="Heading3"/>
      </w:pPr>
      <w:r>
        <w:t>3. Summary of Deviations Across the Remedy Package</w:t>
      </w:r>
    </w:p>
    <w:p/>
    <w:p>
      <w:r>
        <w:t>| Remedy / Case | Proposed Scope (M.11247) | Precedent Requirements | Identified Deviation &amp; Market Risk |</w:t>
      </w:r>
    </w:p>
    <w:p>
      <w:r>
        <w:t>| :--- | :--- | :--- | :--- |</w:t>
      </w:r>
    </w:p>
    <w:p>
      <w:r>
        <w:t>| **Remedy A** | No dedicated facility; 14 Key Personnel; 36-month TSA. | Dedicated plant (Rouen in M.9876); 85 FTEs; 48–60 month TSA. | **Critical:** Narrower asset scope; 6-month supply gap leading to potential production downtime. |</w:t>
      </w:r>
    </w:p>
    <w:p>
      <w:r>
        <w:t>| **Remedy B** | Purely behavioral commitments. | Structural divestitures (M.9876). | **High:** Fails to address structural market concentration; high monitoring costs. |</w:t>
      </w:r>
    </w:p>
    <w:p>
      <w:r>
        <w:t>| **Remedy C** | Licensing-only approach; excludes BioShield microbial strain bank and fermentation know-how. | Full structural divestitures of IP and physical strain banks (M.10234, M.10891). | **High:** Purchaser cannot replicate proprietary fermentation yields, undermining competitiveness. |</w:t>
      </w:r>
    </w:p>
    <w:p/>
    <w:p>
      <w:pPr>
        <w:pStyle w:val="Heading2"/>
      </w:pPr>
      <w:r>
        <w:t>TSA Terms</w:t>
      </w:r>
    </w:p>
    <w:p/>
    <w:p>
      <w:pPr>
        <w:pStyle w:val="Heading3"/>
      </w:pPr>
      <w:r>
        <w:t>TSA Terms</w:t>
      </w:r>
    </w:p>
    <w:p/>
    <w:p>
      <w:r>
        <w:t>The proposed remedies package incorporates a 3-year (36-month) Transitional Supply Agreement (TSA) and Toll Manufacturing Agreement (TMA) for the active ingredient P-4471. Under the terms of the proposed TSA/TMA, supply is subject to a strict volume cap set at 110% of the average historical volume (defined as the average annual volume consumed in the preceding 3 years).</w:t>
      </w:r>
    </w:p>
    <w:p/>
    <w:p>
      <w:pPr>
        <w:pStyle w:val="Heading4"/>
      </w:pPr>
      <w:r>
        <w:t>Deviation and Risk Assessment</w:t>
      </w:r>
    </w:p>
    <w:p/>
    <w:p>
      <w:r>
        <w:t>A comparative analysis against precedent commitment decisions reveals significant downward deviations in duration and flexibility, presenting substantial operational and regulatory risks:</w:t>
      </w:r>
    </w:p>
    <w:p/>
    <w:p>
      <w:pPr>
        <w:pStyle w:val="ListBullet"/>
      </w:pPr>
      <w:r>
        <w:t xml:space="preserve">  **Comparison to Case M.9876:** Precedent M.9876 mandated a 5-year (60-month) transitional supply agreement. The proposed 3-year (36-month) duration for P-4471 represents a **40% reduction** in transition time.</w:t>
      </w:r>
    </w:p>
    <w:p>
      <w:pPr>
        <w:pStyle w:val="ListBullet"/>
      </w:pPr>
      <w:r>
        <w:t xml:space="preserve">  **Comparison to Case M.10891:** Precedent M.10891 required a 4-year (48-month) transitional supply agreement. The proposed 3-year (36-month) duration represents a **25% reduction**.</w:t>
      </w:r>
    </w:p>
    <w:p>
      <w:pPr>
        <w:pStyle w:val="ListBullet"/>
      </w:pPr>
      <w:r>
        <w:t xml:space="preserve">  **Structural and Regulatory Risks:** Unlike the precedent decisions, the proposed TSA/TMA lacks any built-in buffer or contingency mechanism to account for potential regulatory or technical delays in transferring the manufacturing process for P-4471. Independent assessments by the Commission's Chief Economist Team and the Redcliff Economics Group indicate that this compressed timeline, combined with the rigid 110% volume cap, creates a critical supply gap that threatens the long-term viability and competitiveness of the divested business.</w:t>
      </w:r>
    </w:p>
    <w:p/>
    <w:p>
      <w:pPr>
        <w:pStyle w:val="Heading2"/>
      </w:pPr>
      <w:r>
        <w:t>Purchaser Criteria</w:t>
      </w:r>
    </w:p>
    <w:p/>
    <w:p>
      <w:pPr>
        <w:pStyle w:val="Heading3"/>
      </w:pPr>
      <w:r>
        <w:t>Purchaser Criteria</w:t>
      </w:r>
    </w:p>
    <w:p/>
    <w:p>
      <w:r>
        <w:t>The proposed remedies package outlines specific purchaser criteria that deviate significantly from established European Commission (EC) standards and relevant precedents, introducing both restrictive barriers and critical omissions.</w:t>
      </w:r>
    </w:p>
    <w:p/>
    <w:p>
      <w:pPr>
        <w:pStyle w:val="Heading4"/>
      </w:pPr>
      <w:r>
        <w:t>1. Proposed Criteria and Restrictiveness</w:t>
      </w:r>
    </w:p>
    <w:p>
      <w:r>
        <w:t>The proposed purchaser criteria require the suitable buyer to be an EEA-based entity with active, existing distribution operations in at least five (5) EEA Member States. This geographic and operational threshold represents a substantial deviation from precedent Case M.9876 (*Terrano/Fieldmark*), which required the purchaser to have a presence in fewer than five Member States—specifically, a minimum of at least three (3) EEA Member States through existing distribution networks or commercial operations. By raising the requirement from three to five Member States, the current proposal is significantly more restrictive, unnecessarily narrowing the pool of viable, qualified buyers in the market.</w:t>
      </w:r>
    </w:p>
    <w:p/>
    <w:p>
      <w:pPr>
        <w:pStyle w:val="Heading4"/>
      </w:pPr>
      <w:r>
        <w:t>2. Omissions and Precedent Deviations</w:t>
      </w:r>
    </w:p>
    <w:p>
      <w:r>
        <w:t>While the proposed criteria impose an overly restrictive geographic footprint, they simultaneously fail to incorporate standard EC purchaser requirements and critical precedent-specific safeguards:</w:t>
      </w:r>
    </w:p>
    <w:p>
      <w:pPr>
        <w:pStyle w:val="ListBullet"/>
      </w:pPr>
      <w:r>
        <w:t>**Registration and R&amp;D Capabilities:** The proposal lacks explicit requirements for registration capability (a key criterion in Case M.9876) and R&amp;D capability (required in Case M.10234), both of which are vital to ensuring the purchaser can maintain the long-term competitiveness of the divested business.</w:t>
      </w:r>
    </w:p>
    <w:p>
      <w:pPr>
        <w:pStyle w:val="ListBullet"/>
      </w:pPr>
      <w:r>
        <w:t>**Financial Viability and Independence:** The criteria omit standard financial viability requirements and fail to address the purchaser's independence from the merging parties, specifically Pinnacle Crop Sciences and Hargrove Capital Partners. This omission creates a material risk of ongoing dependency or conflict of interest, undermining the structural independence and effectiveness of the remedy.</w:t>
      </w:r>
    </w:p>
    <w:p/>
    <w:p>
      <w:pPr>
        <w:pStyle w:val="Heading2"/>
      </w:pPr>
      <w:r>
        <w:t>Risk Assessment</w:t>
      </w:r>
    </w:p>
    <w:p/>
    <w:p>
      <w:pPr>
        <w:pStyle w:val="Heading1"/>
      </w:pPr>
      <w:r>
        <w:t>SECTION: RISK ASSESSMENT</w:t>
      </w:r>
    </w:p>
    <w:p/>
    <w:p>
      <w:r>
        <w:t>This section provides a comprehensive risk assessment of the proposed remedies package for Case M.11247, evaluating the structural, operational, and procedural deviations of the proposed commitments against established European Commission precedents (specifically M.9876, M.10891, and M.10234).</w:t>
      </w:r>
    </w:p>
    <w:p/>
    <w:p>
      <w:r>
        <w:t>---</w:t>
      </w:r>
    </w:p>
    <w:p/>
    <w:p>
      <w:pPr>
        <w:pStyle w:val="Heading3"/>
      </w:pPr>
      <w:r>
        <w:t>1. Overall Risk Rating and Structural Deficiencies</w:t>
      </w:r>
    </w:p>
    <w:p/>
    <w:p>
      <w:pPr>
        <w:pStyle w:val="ListBullet"/>
      </w:pPr>
      <w:r>
        <w:t xml:space="preserve">  **High Risk of Rejection:** The overall risk of the Directorate-General for Competition (DG COMP) rejecting the proposed remedies package is **High**. This critical risk rating is driven primarily by two fundamental structural deficiencies: the lack of an upfront buyer requirement and the exclusion of core manufacturing assets.</w:t>
      </w:r>
    </w:p>
    <w:p>
      <w:pPr>
        <w:pStyle w:val="ListBullet"/>
      </w:pPr>
      <w:r>
        <w:t xml:space="preserve">  **Exclusion of the Ludwigshafen Plant:** The exclusion of the Ludwigshafen manufacturing plant from the divestiture package is a primary driver for the High risk rating of rejection. By retaining this key asset, the proposed package fails to provide an independent, stand-alone business.</w:t>
      </w:r>
    </w:p>
    <w:p>
      <w:pPr>
        <w:pStyle w:val="ListBullet"/>
      </w:pPr>
      <w:r>
        <w:t xml:space="preserve">  **Scope of Assessment:** **Remedy A** (the CeralGuard selective herbicide divestiture) is the specific proposal package subject to this deviation and risk assessment against precedent commitment decisions.</w:t>
      </w:r>
    </w:p>
    <w:p/>
    <w:p>
      <w:r>
        <w:t>---</w:t>
      </w:r>
    </w:p>
    <w:p/>
    <w:p>
      <w:pPr>
        <w:pStyle w:val="Heading3"/>
      </w:pPr>
      <w:r>
        <w:t>2. Upfront Buyer and Divestiture Timeline Risks</w:t>
      </w:r>
    </w:p>
    <w:p/>
    <w:p>
      <w:pPr>
        <w:pStyle w:val="ListBullet"/>
      </w:pPr>
      <w:r>
        <w:t xml:space="preserve">  **DG COMP Signals:** During recent exploratory market contacts, DG COMP explicitly signaled a potential requirement for an upfront buyer for the CeralGuard divestiture (Remedy A).</w:t>
      </w:r>
    </w:p>
    <w:p>
      <w:pPr>
        <w:pStyle w:val="ListBullet"/>
      </w:pPr>
      <w:r>
        <w:t xml:space="preserve">  **Likelihood of Upfront Buyer Mandate:** The Commission is highly likely to demand an upfront buyer for CeralGuard due to the high execution risks associated with the proposed 3-year toll manufacturing agreement and the lack of a dedicated manufacturing facility.</w:t>
      </w:r>
    </w:p>
    <w:p>
      <w:pPr>
        <w:pStyle w:val="ListBullet"/>
      </w:pPr>
      <w:r>
        <w:t xml:space="preserve">  **Compressed Divestiture Timeline:** The proposed commitments outline a 9-month divestiture timeline (consisting of a 6-month first divestiture period and a 3-month trustee extension). This timeline is significantly compressed compared to the 12-month standard observed in precedent cases, which substantially increases the risk of Commission rejection.</w:t>
      </w:r>
    </w:p>
    <w:p>
      <w:pPr>
        <w:pStyle w:val="ListBullet"/>
      </w:pPr>
      <w:r>
        <w:t xml:space="preserve">  **Absence of 'Fix-it-First' Mechanisms:** The proposed remedies lack a "fix-it-first" requirement, meaning the purchaser is not required to be approved prior to the Article 8(2) decision. This omission directly contradicts the Commission’s clear preference for structural certainty.</w:t>
      </w:r>
    </w:p>
    <w:p/>
    <w:p>
      <w:r>
        <w:t>---</w:t>
      </w:r>
    </w:p>
    <w:p/>
    <w:p>
      <w:pPr>
        <w:pStyle w:val="Heading3"/>
      </w:pPr>
      <w:r>
        <w:t>3. Manufacturing, Certification, and Supply Agreement Risks (Remedy A)</w:t>
      </w:r>
    </w:p>
    <w:p/>
    <w:p>
      <w:pPr>
        <w:pStyle w:val="ListBullet"/>
      </w:pPr>
      <w:r>
        <w:t xml:space="preserve">  **Inadequacy of the 3-Year TSA/TMA:** The Transitional Supply Agreement (TSA) in Remedy A has a duration of 3 years. This 3-year toll manufacturing agreement is entirely insufficient for a purchaser to transition to independent manufacturing.</w:t>
      </w:r>
    </w:p>
    <w:p>
      <w:pPr>
        <w:pStyle w:val="ListBullet"/>
      </w:pPr>
      <w:r>
        <w:t xml:space="preserve">  **Certification Timeline Mismatch:** The Chief Economist Team estimates that obtaining new chemical manufacturing certification for compound P-4471 requires 3–4 years, creating a direct mismatch with the proposed 3-year timeline.</w:t>
      </w:r>
    </w:p>
    <w:p>
      <w:pPr>
        <w:pStyle w:val="ListBullet"/>
      </w:pPr>
      <w:r>
        <w:t xml:space="preserve">  **Precedent Comparison (M.10891):** The 3-year transitional supply agreement in M.11247 is inadequate given the 3–4 year industry certification timeline identified in precedent case M.10891.</w:t>
      </w:r>
    </w:p>
    <w:p>
      <w:pPr>
        <w:pStyle w:val="ListBullet"/>
      </w:pPr>
      <w:r>
        <w:t xml:space="preserve">  **Cliff-Edge and Input Foreclosure Risks:** The 3-year TSA duration creates a severe "cliff-edge" risk for P-4471 (CeralGuard) because the development, registration, and commercialization cycle for a new selective herbicide active substance exceeds this 3-year window. Consequently, there is a high risk of input foreclosure following the expiration of the 3-year TSA.</w:t>
      </w:r>
    </w:p>
    <w:p>
      <w:pPr>
        <w:pStyle w:val="ListBullet"/>
      </w:pPr>
      <w:r>
        <w:t xml:space="preserve">  **Lack of Proprietary Strain Bank:** This risk is further compounded because the purchaser lacks the proprietary strain bank (specifically the BioShield microbial strain bank) required to manufacture the product independently after the TSA expires.</w:t>
      </w:r>
    </w:p>
    <w:p>
      <w:pPr>
        <w:pStyle w:val="ListBullet"/>
      </w:pPr>
      <w:r>
        <w:t xml:space="preserve">  **Facility Construction Risk:** The proposed remedy relies on a 36-month window for the purchaser's facility construction. This timeline creates a material risk of supply failure if the construction or commissioning phase exceeds this window, leaving the purchaser without an active supply source once the 3-year TSA terminates.</w:t>
      </w:r>
    </w:p>
    <w:p>
      <w:pPr>
        <w:pStyle w:val="ListBullet"/>
      </w:pPr>
      <w:r>
        <w:t xml:space="preserve">  **Deviation from M.9876 Structural Standards:** The reliance on a Toll Manufacturing Agreement in M.11247 without a dedicated facility represents a major deviation from the structural requirement of a dedicated facility established in precedent M.9876, which required the divestiture of the Rouen plant.</w:t>
      </w:r>
    </w:p>
    <w:p/>
    <w:p>
      <w:r>
        <w:t>---</w:t>
      </w:r>
    </w:p>
    <w:p/>
    <w:p>
      <w:pPr>
        <w:pStyle w:val="Heading3"/>
      </w:pPr>
      <w:r>
        <w:t>4. Remedy B (Fungicide) Behavioral Deviations</w:t>
      </w:r>
    </w:p>
    <w:p/>
    <w:p>
      <w:pPr>
        <w:pStyle w:val="ListBullet"/>
      </w:pPr>
      <w:r>
        <w:t xml:space="preserve">  **Purely Behavioral Remedy:** Remedy B (targeting the fungicide market) is proposed as a purely behavioral remedy. This directly contradicts the Commission's explicit rejection of behavioral remedies for fungicide overlaps in precedent cases M.9876 and M.10234, both of which established that structural divestiture measures are strictly required to resolve horizontal overlaps in crop protection.</w:t>
      </w:r>
    </w:p>
    <w:p/>
    <w:p>
      <w:r>
        <w:t>---</w:t>
      </w:r>
    </w:p>
    <w:p/>
    <w:p>
      <w:pPr>
        <w:pStyle w:val="Heading3"/>
      </w:pPr>
      <w:r>
        <w:t>5. Monitoring Trustee Conflict of Interest (Remedy D)</w:t>
      </w:r>
    </w:p>
    <w:p/>
    <w:p>
      <w:pPr>
        <w:pStyle w:val="ListBullet"/>
      </w:pPr>
      <w:r>
        <w:t xml:space="preserve">  **Independence Criteria Violation:** The proposal of Stonebridge Advisory Partners as the Monitoring Trustee in Remedy D represents a severe conflict of interest that violates European Commission (EC) independence criteria. Under standard Commission rules and precedent M.9876, a trustee must have no prior professional or commercial relationship with either merging party within the preceding 3 to 5 years.</w:t>
      </w:r>
    </w:p>
    <w:p>
      <w:pPr>
        <w:pStyle w:val="ListBullet"/>
      </w:pPr>
      <w:r>
        <w:t xml:space="preserve">  **Prior Work for AgriVantage:** Stonebridge Advisory Partners performed a market study for AgriVantage Holdings GmbH in 2023. Because this work falls directly within the 3-year lookback period for M.11247 monitoring trustee independence, Stonebridge Advisory Partners has a clear conflict of interest, disqualifying them and threatening the credibility of the Parties' entire remedies filing.</w:t>
      </w:r>
    </w:p>
    <w:p/>
    <w:p>
      <w:pPr>
        <w:pStyle w:val="Heading2"/>
      </w:pPr>
      <w:r>
        <w:t>Market Data Part 1</w:t>
      </w:r>
    </w:p>
    <w:p/>
    <w:p>
      <w:pPr>
        <w:pStyle w:val="Heading1"/>
      </w:pPr>
      <w:r>
        <w:t>DELIVERABLE: remedies-deviation-assessment-memo.docx</w:t>
      </w:r>
    </w:p>
    <w:p>
      <w:pPr>
        <w:pStyle w:val="Heading2"/>
      </w:pPr>
      <w:r>
        <w:t>SECTION: Market Data Part 1</w:t>
      </w:r>
    </w:p>
    <w:p/>
    <w:p>
      <w:r>
        <w:t>---</w:t>
      </w:r>
    </w:p>
    <w:p/>
    <w:p>
      <w:pPr>
        <w:pStyle w:val="Heading3"/>
      </w:pPr>
      <w:r>
        <w:t>1. Overview of Market Structure and Concentration Metrics</w:t>
      </w:r>
    </w:p>
    <w:p/>
    <w:p>
      <w:r>
        <w:t>This section provides a comprehensive, data-driven analysis of the market structures, concentration levels, and competitor landscapes across the three affected product segments: **Selective Herbicides**, **Broad-Spectrum Fungicides**, and **Biological Crop Protection**. The market data compiled below serves as the baseline for evaluating the adequacy of the proposed remedies package against the European Commission’s standard practices and relevant precedent commitment decisions (specifically *M.10234 Verdana/AgraStar*, *M.10891 NovaBio/CropGenix*, and *M.9876 Terrano/Fieldmark*).</w:t>
      </w:r>
    </w:p>
    <w:p/>
    <w:p>
      <w:r>
        <w:t>---</w:t>
      </w:r>
    </w:p>
    <w:p/>
    <w:p>
      <w:pPr>
        <w:pStyle w:val="Heading3"/>
      </w:pPr>
      <w:r>
        <w:t>2. Selective Herbicides Market Analysis</w:t>
      </w:r>
    </w:p>
    <w:p/>
    <w:p>
      <w:r>
        <w:t>The Selective Herbicides market exhibits high levels of concentration and significant barriers to entry. The proposed transaction combines two key players, leading to a substantial market share accretion and a highly concentrated post-merger market structure.</w:t>
      </w:r>
    </w:p>
    <w:p/>
    <w:p>
      <w:pPr>
        <w:pStyle w:val="Heading4"/>
      </w:pPr>
      <w:r>
        <w:t>2.1. EEA-Wide and National Market Shares</w:t>
      </w:r>
    </w:p>
    <w:p>
      <w:r>
        <w:t>At the EEA-wide level, the Selective Herbicides market has a combined post-merger market share of **34.1%**. This combined position is built upon a strong baseline share held by Pinnacle/BioShield, with a notable increment contributed by AgriVantage.</w:t>
      </w:r>
    </w:p>
    <w:p/>
    <w:p>
      <w:r>
        <w:t>To assess the localized competitive impact, the table below details the market share breakdown at both the EEA-wide level and across key Member States (MS):</w:t>
      </w:r>
    </w:p>
    <w:p/>
    <w:p>
      <w:r>
        <w:t>| Geographic Market | Pinnacle/BioShield Share (%) | AgriVantage Increment (%) | Combined Post-Merger Share (%) |</w:t>
      </w:r>
    </w:p>
    <w:p>
      <w:r>
        <w:t>| :--- | :---: | :---: | :---: |</w:t>
      </w:r>
    </w:p>
    <w:p>
      <w:r>
        <w:t>| **EEA-Wide** | 32.4% | 1.7% | **34.1%** |</w:t>
      </w:r>
    </w:p>
    <w:p>
      <w:r>
        <w:t>| **France** | 35.1% | 2.0% | **37.1%** |</w:t>
      </w:r>
    </w:p>
    <w:p>
      <w:r>
        <w:t>| **Germany** | 33.8% | 1.9% | **35.7%** |</w:t>
      </w:r>
    </w:p>
    <w:p>
      <w:r>
        <w:t>| **Poland** | 31.2% | 1.4% | **32.6%** |</w:t>
      </w:r>
    </w:p>
    <w:p>
      <w:r>
        <w:t>| **Spain** | 29.7% | 1.5% | **31.2%** |</w:t>
      </w:r>
    </w:p>
    <w:p>
      <w:r>
        <w:t>| **Italy** | 28.3% | 1.3% | **29.6%** |</w:t>
      </w:r>
    </w:p>
    <w:p>
      <w:r>
        <w:t>| **Netherlands** | 34.6% | 2.1% | **36.7%** |</w:t>
      </w:r>
    </w:p>
    <w:p>
      <w:r>
        <w:t>| **Denmark** | 30.5% | 1.6% | **32.1%** |</w:t>
      </w:r>
    </w:p>
    <w:p/>
    <w:p>
      <w:pPr>
        <w:pStyle w:val="Heading4"/>
      </w:pPr>
      <w:r>
        <w:t>2.2. Concentration Indices (HHI)</w:t>
      </w:r>
    </w:p>
    <w:p>
      <w:r>
        <w:t>The concentration levels in the Selective Herbicides market significantly exceed the thresholds established under the European Commission’s Horizontal Merger Guidelines:</w:t>
      </w:r>
    </w:p>
    <w:p>
      <w:pPr>
        <w:pStyle w:val="ListBullet"/>
      </w:pPr>
      <w:r>
        <w:t xml:space="preserve">  **Primary Market Concentration Metric:** The post-merger Herfindahl-Hirschman Index (HHI) in the Selective Herbicides market is **2,847** with a delta ($\Delta$) of **219**. This indicates a highly concentrated market where any transaction-induced increment warrants close regulatory scrutiny.</w:t>
      </w:r>
    </w:p>
    <w:p>
      <w:pPr>
        <w:pStyle w:val="ListBullet"/>
      </w:pPr>
      <w:r>
        <w:t xml:space="preserve">  **Alternative Segment/Sensitivity Metric:** Under an alternative market definition or sensitivity dataset analyzed during the investigation, the Selective Herbicides EEA-Wide metrics are recorded with a Pre-Merger HHI of **2,628**, a Post-Merger HHI of **2,738**, and a resulting Delta ($\Delta$) of **110**.</w:t>
      </w:r>
    </w:p>
    <w:p/>
    <w:p>
      <w:pPr>
        <w:pStyle w:val="Heading4"/>
      </w:pPr>
      <w:r>
        <w:t>2.3. Competitor Landscape</w:t>
      </w:r>
    </w:p>
    <w:p>
      <w:r>
        <w:t>The merged entity will face competition from a limited number of established market players. Notably, **Terrano holds a 28.6% market share in selective herbicides for cereal crops in the EEA** (as of the current M.11247 filings). This positions Terrano as the primary competitor to the combined entity, while other market participants remain highly fragmented.</w:t>
      </w:r>
    </w:p>
    <w:p/>
    <w:p>
      <w:r>
        <w:t>---</w:t>
      </w:r>
    </w:p>
    <w:p/>
    <w:p>
      <w:pPr>
        <w:pStyle w:val="Heading3"/>
      </w:pPr>
      <w:r>
        <w:t>3. Broad-Spectrum Fungicides Market Analysis</w:t>
      </w:r>
    </w:p>
    <w:p/>
    <w:p>
      <w:r>
        <w:t>The Broad-Spectrum Fungicides segment is characterized by stable horizontal shares but presents significant vertical and portfolio concerns due to existing distribution arrangements.</w:t>
      </w:r>
    </w:p>
    <w:p/>
    <w:p>
      <w:pPr>
        <w:pStyle w:val="Heading4"/>
      </w:pPr>
      <w:r>
        <w:t>3.1. Horizontal Market Shares</w:t>
      </w:r>
    </w:p>
    <w:p>
      <w:pPr>
        <w:pStyle w:val="ListBullet"/>
      </w:pPr>
      <w:r>
        <w:t xml:space="preserve">  **Pinnacle Crop Sciences** (operating under the Pinnacle/BioShield umbrella) holds a **24.8%** market share in the broad-spectrum fungicide market at the EEA-wide level.</w:t>
      </w:r>
    </w:p>
    <w:p>
      <w:pPr>
        <w:pStyle w:val="ListBullet"/>
      </w:pPr>
      <w:r>
        <w:t xml:space="preserve">  Because AgriVantage’s horizontal increment in this segment is **0.0%**, the combined post-merger market share remains at **24.8%**.</w:t>
      </w:r>
    </w:p>
    <w:p>
      <w:pPr>
        <w:pStyle w:val="ListBullet"/>
      </w:pPr>
      <w:r>
        <w:t xml:space="preserve">  The leading competitor in this segment is **Verdana CropChem AG**, which holds a market share of approximately **31.2%** in the broad-spectrum fungicide segment in the EEA.</w:t>
      </w:r>
    </w:p>
    <w:p/>
    <w:p>
      <w:pPr>
        <w:pStyle w:val="Heading4"/>
      </w:pPr>
      <w:r>
        <w:t>3.2. Vertical and Portfolio Linkages</w:t>
      </w:r>
    </w:p>
    <w:p>
      <w:r>
        <w:t>Despite the lack of a horizontal market share increment, the transaction raises vertical foreclosure concerns. Specifically, **AgriVantage holds an exclusive distribution agreement in 6 Member States for Pinnacle fungicides**, representing approximately **€47M in annual purchases**. This exclusive arrangement locks up key distribution channels, potentially restricting access for third-party fungicide manufacturers and reinforcing the merged entity's portfolio power.</w:t>
      </w:r>
    </w:p>
    <w:p/>
    <w:p>
      <w:r>
        <w:t>---</w:t>
      </w:r>
    </w:p>
    <w:p/>
    <w:p>
      <w:pPr>
        <w:pStyle w:val="Heading3"/>
      </w:pPr>
      <w:r>
        <w:t>4. Biological Crop Protection Market Analysis</w:t>
      </w:r>
    </w:p>
    <w:p/>
    <w:p>
      <w:r>
        <w:t>The Biological Crop Protection market is a rapidly expanding, high-growth segment characterized by active R&amp;D and shifting market shares.</w:t>
      </w:r>
    </w:p>
    <w:p/>
    <w:p>
      <w:pPr>
        <w:pStyle w:val="Heading4"/>
      </w:pPr>
      <w:r>
        <w:t>4.1. Market Growth and Dynamics</w:t>
      </w:r>
    </w:p>
    <w:p>
      <w:r>
        <w:t>Reflecting strong regulatory and consumer demand for sustainable agricultural inputs, the biological crop protection market CAGR (Compound Annual Growth Rate) is **14.2%** for the **2020-2024 period**. This high growth rate underscores the strategic importance of assets and intellectual property in this segment.</w:t>
      </w:r>
    </w:p>
    <w:p/>
    <w:p>
      <w:pPr>
        <w:pStyle w:val="Heading4"/>
      </w:pPr>
      <w:r>
        <w:t>4.2. Market Shares and Competitor Positions</w:t>
      </w:r>
    </w:p>
    <w:p>
      <w:pPr>
        <w:pStyle w:val="ListBullet"/>
      </w:pPr>
      <w:r>
        <w:t xml:space="preserve">  **BioShield Ag Solutions Ltd** (a subsidiary of the merging parties) holds a **19.3%** EEA market share in biological crop protection.</w:t>
      </w:r>
    </w:p>
    <w:p>
      <w:pPr>
        <w:pStyle w:val="ListBullet"/>
      </w:pPr>
      <w:r>
        <w:t xml:space="preserve">  AgriVantage contributes a horizontal increment of **2.4%** to this segment.</w:t>
      </w:r>
    </w:p>
    <w:p>
      <w:pPr>
        <w:pStyle w:val="ListBullet"/>
      </w:pPr>
      <w:r>
        <w:t xml:space="preserve">  Consequently, the combined Hargrove/Pinnacle entity would hold approximately **21.7%** of the EEA biological crop protection market.</w:t>
      </w:r>
    </w:p>
    <w:p>
      <w:pPr>
        <w:pStyle w:val="ListBullet"/>
      </w:pPr>
      <w:r>
        <w:t xml:space="preserve">  The market leader in this segment is **NovaBio Crop Solutions ApS**, which holds a **26.1%** EEA market share in biological crop protection.</w:t>
      </w:r>
    </w:p>
    <w:p/>
    <w:p>
      <w:r>
        <w:t>---</w:t>
      </w:r>
    </w:p>
    <w:p/>
    <w:p>
      <w:pPr>
        <w:pStyle w:val="Heading3"/>
      </w:pPr>
      <w:r>
        <w:t>5. Precedent-Specific Market Data and Industry Benchmarks</w:t>
      </w:r>
    </w:p>
    <w:p/>
    <w:p>
      <w:r>
        <w:t>To evaluate the deviation and risk of the proposed remedies, the market data must be benchmarked against key metrics from past Commission decisions and established industry standards.</w:t>
      </w:r>
    </w:p>
    <w:p/>
    <w:p>
      <w:pPr>
        <w:pStyle w:val="Heading4"/>
      </w:pPr>
      <w:r>
        <w:t>5.1. Precedent Case Benchmarks</w:t>
      </w:r>
    </w:p>
    <w:p>
      <w:pPr>
        <w:pStyle w:val="ListBullet"/>
      </w:pPr>
      <w:r>
        <w:t xml:space="preserve">  **M.10891 NovaBio/CropGenix Comparison:**</w:t>
      </w:r>
    </w:p>
    <w:p>
      <w:pPr>
        <w:pStyle w:val="ListBullet"/>
      </w:pPr>
      <w:r>
        <w:t xml:space="preserve">  In the *NovaBio/CropGenix* precedent, **NovaBio Crop Solutions ApS** held a market share of approximately **26.1%** in the biological crop protection segment at the EEA-wide level.</w:t>
      </w:r>
    </w:p>
    <w:p>
      <w:pPr>
        <w:pStyle w:val="ListBullet"/>
      </w:pPr>
      <w:r>
        <w:t xml:space="preserve">  At the national level, the combined market share of NovaBio and CropGenix in the Danish product market was **22%**.</w:t>
      </w:r>
    </w:p>
    <w:p>
      <w:pPr>
        <w:pStyle w:val="ListBullet"/>
      </w:pPr>
      <w:r>
        <w:t xml:space="preserve">  The HHI delta resulting from that transaction in the Danish market was **under 150**.</w:t>
      </w:r>
    </w:p>
    <w:p>
      <w:pPr>
        <w:pStyle w:val="ListBullet"/>
      </w:pPr>
      <w:r>
        <w:t xml:space="preserve">  Despite these relatively modest concentration metrics (compared to the current transaction's Selective Herbicides metrics), the Commission insisted on robust structural remedies in *NovaBio/CropGenix*, highlighting a low regulatory tolerance for market power in critical crop protection segments.</w:t>
      </w:r>
    </w:p>
    <w:p/>
    <w:p>
      <w:pPr>
        <w:pStyle w:val="Heading4"/>
      </w:pPr>
      <w:r>
        <w:t>5.2. Intellectual Property Licensing Benchmarks</w:t>
      </w:r>
    </w:p>
    <w:p>
      <w:r>
        <w:t>The proposed remedy package relies on non-exclusive licensing commitments for certain active ingredients and formulations. However, market data indicates a significant deviation from commercial realities:</w:t>
      </w:r>
    </w:p>
    <w:p>
      <w:pPr>
        <w:pStyle w:val="ListBullet"/>
      </w:pPr>
      <w:r>
        <w:t xml:space="preserve">  The industry norm for non-exclusive agrochemical patent licenses is **2-3% of net sales**.</w:t>
      </w:r>
    </w:p>
    <w:p>
      <w:pPr>
        <w:pStyle w:val="ListBullet"/>
      </w:pPr>
      <w:r>
        <w:t xml:space="preserve">  Any proposed royalty rates or licensing terms that deviate upward from this 2-3% benchmark risk being deemed non-viable, ineffective, or commercially prohibitive by the Commission and potential upfront licensees.</w:t>
      </w:r>
    </w:p>
    <w:p/>
    <w:p>
      <w:pPr>
        <w:pStyle w:val="Heading2"/>
      </w:pPr>
      <w:r>
        <w:t>Market Data Part 2</w:t>
      </w:r>
    </w:p>
    <w:p/>
    <w:p>
      <w:pPr>
        <w:pStyle w:val="Heading3"/>
      </w:pPr>
      <w:r>
        <w:t>Market Data Part 2: Market Share Analysis in Broad-Spectrum Fungicides</w:t>
      </w:r>
    </w:p>
    <w:p/>
    <w:p>
      <w:r>
        <w:t>In evaluating the competitive landscape and the adequacy of the proposed remedies package, the market concentration within the European Economic Area (EEA) for broad-spectrum fungicides represents a critical baseline. According to the market data compiled in the Statement of Objections (SO) and detailed in the proposed remedies documentation (*proposed-remedies-m11247.docx/Full Document (part 2)*), the market shares of the primary merging entities are highly concentrated:</w:t>
      </w:r>
    </w:p>
    <w:p/>
    <w:p>
      <w:pPr>
        <w:pStyle w:val="ListBullet"/>
      </w:pPr>
      <w:r>
        <w:t xml:space="preserve">  **Pinnacle**: Holds an EEA market share of approximately **24.8%** in the broad-spectrum fungicides segment.</w:t>
      </w:r>
    </w:p>
    <w:p>
      <w:pPr>
        <w:pStyle w:val="ListBullet"/>
      </w:pPr>
      <w:r>
        <w:t xml:space="preserve">  **Verdana CropChem AG**: Holds an EEA market share of approximately **31.2%** in the same segment.</w:t>
      </w:r>
    </w:p>
    <w:p/>
    <w:p>
      <w:r>
        <w:t>Combined, these two entities control a dominant share of 56.0% of the EEA broad-spectrum fungicides market. This high level of pre-merger concentration underscores the significant horizontal overlaps and potential anti-competitive effects identified in the SO. Consequently, any proposed divestiture or commitment package must be rigorously assessed against these specific market share baselines to ensure that the remedy effectively restores competition to pre-merger levels, in line with the three precedent commitment decisions analyzed in this memorandum.</w:t>
      </w:r>
    </w:p>
    <w:p/>
    <w:p>
      <w:pPr>
        <w:pStyle w:val="Heading2"/>
      </w:pPr>
      <w:r>
        <w:t>Strategic Constraints</w:t>
      </w:r>
    </w:p>
    <w:p/>
    <w:p>
      <w:pPr>
        <w:pStyle w:val="Heading3"/>
      </w:pPr>
      <w:r>
        <w:t>Strategic Constraints</w:t>
      </w:r>
    </w:p>
    <w:p/>
    <w:p>
      <w:pPr>
        <w:pStyle w:val="Heading4"/>
      </w:pPr>
      <w:r>
        <w:t>1. Advisor Conflict of Interest and Divestiture Integrity</w:t>
      </w:r>
    </w:p>
    <w:p>
      <w:r>
        <w:t>A critical strategic constraint impacting the execution and regulatory viability of the proposed remedies package is a disqualifying conflict of interest identified with **Stonebridge Advisory Partners**. Specifically, Stonebridge Advisory Partners conducted a highly sensitive, proprietary market study in **2023** for **AgriVantage**, a direct competitor and key market participant.</w:t>
      </w:r>
    </w:p>
    <w:p/>
    <w:p>
      <w:r>
        <w:t>This prior engagement creates an irreconcilable conflict under standard regulatory merger control guidelines, rendering Stonebridge ineligible to serve as an independent divestiture advisor or monitoring trustee for the divestiture process (including the implementation of Remedy A/CeralGuard). To prevent regulatory pushback, preserve the integrity of the divestiture process, and avoid costly execution delays, the following mitigation strategy must be deployed:</w:t>
      </w:r>
    </w:p>
    <w:p/>
    <w:p>
      <w:pPr>
        <w:pStyle w:val="ListBullet"/>
      </w:pPr>
      <w:r>
        <w:t xml:space="preserve">  **Proactive Disclosure:** The transaction team must proactively disclose the 2023 AgriVantage conflict to the regulatory authorities. Preempting regulatory discovery of this conflict is essential to maintain institutional credibility and goodwill.</w:t>
      </w:r>
    </w:p>
    <w:p>
      <w:pPr>
        <w:pStyle w:val="ListBullet"/>
      </w:pPr>
      <w:r>
        <w:t xml:space="preserve">  **Expedited Replacement Strategy:** An unconflicted, tier-one advisory firm must be identified and onboarded immediately. This replacement process must be executed on an accelerated timeline to ensure that transition delays do not jeopardize key regulatory milestones, most notably the upcoming **April 28 Article 8(2)** deadline.</w:t>
      </w:r>
    </w:p>
    <w:p/>
    <w:p>
      <w:pPr>
        <w:pStyle w:val="Heading2"/>
      </w:pPr>
      <w:r>
        <w:t>Mitigation Strategies</w:t>
      </w:r>
    </w:p>
    <w:p/>
    <w:p>
      <w:pPr>
        <w:pStyle w:val="Heading1"/>
      </w:pPr>
      <w:r>
        <w:t>Mitigation Strategies</w:t>
      </w:r>
    </w:p>
    <w:p/>
    <w:p>
      <w:r>
        <w:t>To address the high-risk deviations identified in the proposed remedies package relative to precedent commitment decisions, the following concrete, actionable mitigation strategies and fall-back remedy modifications are proposed:</w:t>
      </w:r>
    </w:p>
    <w:p/>
    <w:p>
      <w:pPr>
        <w:pStyle w:val="Heading3"/>
      </w:pPr>
      <w:r>
        <w:t>1. Remedy A: Extension of TSA/TMA Duration</w:t>
      </w:r>
    </w:p>
    <w:p>
      <w:r>
        <w:t>To mitigate the operational and transitional risks associated with Remedy A, the proposed mitigation includes extending the duration of both the Transition Services Agreement (TSA) and the Transition Management Agreement (TMA) to a firm **5-year term**. This extended window ensures the divestiture purchaser has sufficient time to establish independent operational capabilities, absorb critical technical know-how, and prevent any disruption to market supply or regulatory compliance during the transition phase.</w:t>
      </w:r>
    </w:p>
    <w:p/>
    <w:p>
      <w:pPr>
        <w:pStyle w:val="Heading3"/>
      </w:pPr>
      <w:r>
        <w:t>2. Remedy B: Shift to Full Structural Divestiture</w:t>
      </w:r>
    </w:p>
    <w:p>
      <w:r>
        <w:t>To address high-risk concerns regarding the viability and long-term monitoring of behavioral commitments, the proposed mitigation includes shifting Remedy B from its current behavioral framework to a **full structural divestiture**. This structural shift eliminates the need for protracted regulatory oversight, removes ongoing behavioral compliance risks, and immediately establishes a viable, independent competitor in the affected market.</w:t>
      </w:r>
    </w:p>
    <w:p/>
    <w:p>
      <w:pPr>
        <w:pStyle w:val="Heading3"/>
      </w:pPr>
      <w:r>
        <w:t>3. Remedy C: Restructuring of the BioShield Business Divestiture</w:t>
      </w:r>
    </w:p>
    <w:p>
      <w:r>
        <w:t>To resolve critical gaps in asset scope, Remedy C must be restructured into a **full structural divestiture of the BioShield business**. This modified remedy package must explicitly include the transfer of the proprietary **microbial strain bank**, ensuring the purchaser acquires all necessary upstream biological assets and intellectual property required to operate independently and competitively from day one.</w:t>
      </w:r>
    </w:p>
    <w:p/>
    <w:p>
      <w:pPr>
        <w:pStyle w:val="Heading3"/>
      </w:pPr>
      <w:r>
        <w:t>4. Resolution of Conflicts of Interest via Independent Monitoring Trustees</w:t>
      </w:r>
    </w:p>
    <w:p>
      <w:r>
        <w:t>To address identified conflicts of interest within the oversight framework, the parties will propose a slate of **alternative independent monitoring trustees**. These trustees will undergo a rigorous pre-approval process to ensure complete financial and operational independence from both the merging parties and the divestiture purchaser, thereby guaranteeing unbiased, robust monitoring of the remedy implementation.</w:t>
      </w:r>
    </w:p>
    <w:p/>
    <w:p>
      <w:pPr>
        <w:pStyle w:val="Heading2"/>
      </w:pPr>
      <w:r>
        <w:t>Procedural Constraints</w:t>
      </w:r>
    </w:p>
    <w:p/>
    <w:p>
      <w:pPr>
        <w:pStyle w:val="Heading3"/>
      </w:pPr>
      <w:r>
        <w:t>Procedural Constraints</w:t>
      </w:r>
    </w:p>
    <w:p/>
    <w:p>
      <w:r>
        <w:t>The primary procedural constraint governing the evaluation and submission of the proposed remedies package is the Commission's strict regulatory deadline of **April 28**.</w:t>
      </w:r>
    </w:p>
    <w:p/>
    <w:p>
      <w:r>
        <w:t>This tight timeframe introduces a critical procedural tension and risk. Specifically, there is an unaddressed gap in the provided precedent commitment decisions regarding how the Commission reconciles its established policy preference for structural remedies with the highly compressed schedule leading up to the April 28 deadline [e25212]. Because the precedent documents fail to outline a clear methodology or procedural pathway for accelerating the market testing, negotiation, and implementation of complex structural divestitures under such a constrained timeline, executing a structural package by April 28 presents a heightened risk of procedural non-compliance or rejection.</w:t>
      </w:r>
    </w:p>
    <w:p/>
    <w:p>
      <w:pPr>
        <w:pStyle w:val="Heading2"/>
      </w:pPr>
      <w:r>
        <w:t>Precedent Analysis</w:t>
      </w:r>
    </w:p>
    <w:p/>
    <w:p>
      <w:pPr>
        <w:pStyle w:val="Heading1"/>
      </w:pPr>
      <w:r>
        <w:t>SECTION: Precedent Analysis</w:t>
      </w:r>
    </w:p>
    <w:p/>
    <w:p>
      <w:r>
        <w:t>To evaluate the viability, sufficiency, and potential risk profile of the proposed remedies package, this section provides a comparative analysis against key historical merger control precedents. The analysis is divided into two categories: structural divestiture precedents (focusing on asset scope and operational viability) and intellectual property (IP) licensing precedents (focusing on royalty rates, durations, and transfer scopes).</w:t>
      </w:r>
    </w:p>
    <w:p/>
    <w:p>
      <w:r>
        <w:t>---</w:t>
      </w:r>
    </w:p>
    <w:p/>
    <w:p>
      <w:pPr>
        <w:pStyle w:val="Heading3"/>
      </w:pPr>
      <w:r>
        <w:t>1. Structural Divestiture Precedents</w:t>
      </w:r>
    </w:p>
    <w:p/>
    <w:p>
      <w:r>
        <w:t>A comparative review of past merger decisions highlights a consistent regulatory insistence on the divestiture of fully integrated, viable business units rather than carved-out, asset-light operations.</w:t>
      </w:r>
    </w:p>
    <w:p/>
    <w:p>
      <w:r>
        <w:t>```</w:t>
      </w:r>
    </w:p>
    <w:p>
      <w:r>
        <w:t>+---------------------------------------------------------------------------------------------------+</w:t>
      </w:r>
    </w:p>
    <w:p>
      <w:r>
        <w:t>| Case Reference | Core Competitive Asset             | Key Requirements &amp; Scope                    |</w:t>
      </w:r>
    </w:p>
    <w:p>
      <w:r>
        <w:t>+---------------------------------------------------------------------------------------------------+</w:t>
      </w:r>
    </w:p>
    <w:p>
      <w:r>
        <w:t>| M.10891        | Microbial Strain Library           | Treated as a core competitive asset;        |</w:t>
      </w:r>
    </w:p>
    <w:p>
      <w:r>
        <w:t>|                |                                    | No explicit "crown jewel" clause.           |</w:t>
      </w:r>
    </w:p>
    <w:p>
      <w:r>
        <w:t>+---------------------------------------------------------------------------------------------------+</w:t>
      </w:r>
    </w:p>
    <w:p>
      <w:r>
        <w:t>| M.9876         | Rouen Plant (Rouen, France)        | Treated as a core competitive asset;        |</w:t>
      </w:r>
    </w:p>
    <w:p>
      <w:r>
        <w:t>| (Terrano /     |                                    | Full standalone viable business required;   |</w:t>
      </w:r>
    </w:p>
    <w:p>
      <w:r>
        <w:t>| Fieldmark)     |                                    | Dedicated plant and ~85 FTEs;               |</w:t>
      </w:r>
    </w:p>
    <w:p>
      <w:r>
        <w:t>|                |                                    | No explicit "crown jewel" clause.           |</w:t>
      </w:r>
    </w:p>
    <w:p>
      <w:r>
        <w:t>+---------------------------------------------------------------------------------------------------+</w:t>
      </w:r>
    </w:p>
    <w:p>
      <w:r>
        <w:t>```</w:t>
      </w:r>
    </w:p>
    <w:p/>
    <w:p>
      <w:pPr>
        <w:pStyle w:val="ListBullet"/>
      </w:pPr>
      <w:r>
        <w:t xml:space="preserve">  **Case M.10891:** In this merger control proceeding, the **microbial strain library** was treated as a core competitive asset essential for maintaining market contestability. Although no "crown jewel" clause was explicitly identified in the commitment text, the regulatory authority treated the library as an indivisible, critical asset that must be fully preserved and transferred to ensure the remedy's effectiveness ([e18348]).</w:t>
      </w:r>
    </w:p>
    <w:p>
      <w:pPr>
        <w:pStyle w:val="ListBullet"/>
      </w:pPr>
      <w:r>
        <w:t xml:space="preserve">  **Case M.9876 (Terrano / Fieldmark):** The commitment decision in M.9876 established a high threshold for structural viability. The remedy required the divestiture of a full standalone viable business, which included a dedicated manufacturing plant located in **Rouen, France** and approximately **85 Full-Time Equivalents (FTEs)** ([e3504]).</w:t>
      </w:r>
    </w:p>
    <w:p>
      <w:pPr>
        <w:pStyle w:val="ListBullet"/>
      </w:pPr>
      <w:r>
        <w:t xml:space="preserve">  Similar to M.10891, the **Rouen plant** was treated as a core competitive asset ([e18348]).</w:t>
      </w:r>
    </w:p>
    <w:p>
      <w:pPr>
        <w:pStyle w:val="ListBullet"/>
      </w:pPr>
      <w:r>
        <w:t xml:space="preserve">  No explicit "crown jewel" clause was identified in the commitment text ([e18348]). However, the insistence on a complete operational footprint (manufacturing facility combined with dedicated personnel) demonstrates that the regulatory authorities disfavor partial carve-outs that lack independent operational capabilities.</w:t>
      </w:r>
    </w:p>
    <w:p/>
    <w:p>
      <w:r>
        <w:t>---</w:t>
      </w:r>
    </w:p>
    <w:p/>
    <w:p>
      <w:pPr>
        <w:pStyle w:val="Heading3"/>
      </w:pPr>
      <w:r>
        <w:t>2. Intellectual Property &amp; Licensing Precedents</w:t>
      </w:r>
    </w:p>
    <w:p/>
    <w:p>
      <w:r>
        <w:t>When structural divestitures are supplemented or substituted by licensing remedies, historical market data indicates strict parameters regarding royalty rates, durations, and the transfer of technical know-how. Three key precedent licenses from market data establish these benchmarks:</w:t>
      </w:r>
    </w:p>
    <w:p/>
    <w:p>
      <w:r>
        <w:t>```</w:t>
      </w:r>
    </w:p>
    <w:p>
      <w:r>
        <w:t>+---------------------------------------------------------------------------------------------------+</w:t>
      </w:r>
    </w:p>
    <w:p>
      <w:r>
        <w:t>| License Precedent (Year) | Royalty | Duration | Know-How / Asset Transfer Scope                   |</w:t>
      </w:r>
    </w:p>
    <w:p>
      <w:r>
        <w:t>+--------------------------+---------+----------+---------------------------------------------------|</w:t>
      </w:r>
    </w:p>
    <w:p>
      <w:r>
        <w:t>| Terrano — Meridian       | 2.2%    | 10 Years | Non-exclusive;                                    |</w:t>
      </w:r>
    </w:p>
    <w:p>
      <w:r>
        <w:t>| AgChem License (2020)    |         |          | No manufacturing know-how.                        |</w:t>
      </w:r>
    </w:p>
    <w:p>
      <w:r>
        <w:t>+--------------------------+---------+----------+---------------------------------------------------|</w:t>
      </w:r>
    </w:p>
    <w:p>
      <w:r>
        <w:t>| Verdana — Elara Bio      | 2.8%    | 12 Years | Non-exclusive;                                    |</w:t>
      </w:r>
    </w:p>
    <w:p>
      <w:r>
        <w:t>| License (2021)           |         |          | Partial formulation know-how;                     |</w:t>
      </w:r>
    </w:p>
    <w:p>
      <w:r>
        <w:t>|                          |         |          | No strain bank transfer.                          |</w:t>
      </w:r>
    </w:p>
    <w:p>
      <w:r>
        <w:t>+--------------------------+---------+----------+---------------------------------------------------|</w:t>
      </w:r>
    </w:p>
    <w:p>
      <w:r>
        <w:t>| NovaBio — Orion          | 1.9%    | 15 Years | Non-exclusive;                                    |</w:t>
      </w:r>
    </w:p>
    <w:p>
      <w:r>
        <w:t>| CropTech License (2022)  |         |          | No manufacturing know-how;                        |</w:t>
      </w:r>
    </w:p>
    <w:p>
      <w:r>
        <w:t>|                          |         |          | No strain bank transfer.                          |</w:t>
      </w:r>
    </w:p>
    <w:p>
      <w:r>
        <w:t>+---------------------------------------------------------------------------------------------------+</w:t>
      </w:r>
    </w:p>
    <w:p>
      <w:r>
        <w:t>```</w:t>
      </w:r>
    </w:p>
    <w:p/>
    <w:p>
      <w:pPr>
        <w:pStyle w:val="ListBullet"/>
      </w:pPr>
      <w:r>
        <w:t xml:space="preserve">  **Terrano — Meridian AgChem License (2020):** This precedent involved a **non-exclusive** license with a **2.2% royalty rate** and a **10-year duration**. Notably, this agreement included **no manufacturing know-how**, limiting the licensee's ability to independently optimize production processes ([e3141]).</w:t>
      </w:r>
    </w:p>
    <w:p>
      <w:pPr>
        <w:pStyle w:val="ListBullet"/>
      </w:pPr>
      <w:r>
        <w:t xml:space="preserve">  **Verdana — Elara Bio License (2021):** This agreement consisted of a **non-exclusive** license commanding a **2.8% royalty rate** over a **12-year duration**. The transfer scope was restricted to **partial formulation know-how** and explicitly included **no strain bank transfer**, which restricted the licensee's capacity to develop downstream variations or maintain biological consistency independently ([e3142]).</w:t>
      </w:r>
    </w:p>
    <w:p>
      <w:pPr>
        <w:pStyle w:val="ListBullet"/>
      </w:pPr>
      <w:r>
        <w:t xml:space="preserve">  **NovaBio — Orion CropTech License (2022):** This precedent established a **non-exclusive** license with a lower **1.9% royalty rate** but a significantly longer **15-year duration**. The transfer scope was highly restricted, providing **no manufacturing know-how** and **no strain bank transfer** to the licensee ([e3143]).</w:t>
      </w:r>
    </w:p>
    <w:p/>
    <w:p>
      <w:r>
        <w:t>---</w:t>
      </w:r>
    </w:p>
    <w:p/>
    <w:p>
      <w:pPr>
        <w:pStyle w:val="Heading3"/>
      </w:pPr>
      <w:r>
        <w:t>3. Key Deviations and Risk Implications</w:t>
      </w:r>
    </w:p>
    <w:p/>
    <w:p>
      <w:r>
        <w:t>Comparing the proposed remedies package against these precedents reveals critical structural and operational gaps:</w:t>
      </w:r>
    </w:p>
    <w:p/>
    <w:p>
      <w:pPr>
        <w:pStyle w:val="ListNumber"/>
      </w:pPr>
      <w:r>
        <w:t xml:space="preserve"> **Asset Completeness vs. Carve-outs:** While M.9876 established that a viable remedy requires a full standalone business (including physical assets like the Rouen plant and ~85 FTEs), any proposed remedy that attempts to withhold manufacturing facilities or key personnel runs a severe risk of rejection. Regulatory bodies consistently treat physical production assets and biological libraries (such as the microbial strain library in M.10891) as core competitive assets that cannot be easily substituted by contract manufacturing or service agreements.</w:t>
      </w:r>
    </w:p>
    <w:p>
      <w:pPr>
        <w:pStyle w:val="ListNumber"/>
      </w:pPr>
      <w:r>
        <w:t xml:space="preserve"> **Licensing Scope and Know-How Gaps:** Precedent licenses (Terrano 2020, Verdana 2021, NovaBio 2022) show that non-exclusive licenses in this sector typically range between **1.9% and 2.8% in royalty rates** and **10 to 15 years in duration**. However, these precedents also highlight a critical vulnerability: the omission of manufacturing know-how and strain bank transfers. If the current proposed remedy relies on a licensing model rather than a structural divestiture, it must address these historical omissions. To ensure the licensee can act as an active, independent competitor, the remedy should push for the transfer of complete formulation/manufacturing know-how and strain bank access—elements that were notably absent or restricted in the Verdana and NovaBio precedents.</w:t>
      </w:r>
    </w:p>
    <w:p/>
    <w:p>
      <w:pPr>
        <w:pStyle w:val="Heading2"/>
      </w:pPr>
      <w:r>
        <w:t>DG COMP Feedback</w:t>
      </w:r>
    </w:p>
    <w:p/>
    <w:p>
      <w:pPr>
        <w:pStyle w:val="Heading3"/>
      </w:pPr>
      <w:r>
        <w:t>DG COMP Feedback</w:t>
      </w:r>
    </w:p>
    <w:p/>
    <w:p>
      <w:r>
        <w:t>During recent informal exchanges, the European Commission (DG COMP) has signaled critical strategic concerns and negotiation boundaries regarding the proposed remedies package, which directly impact the transaction timeline and the structural viability of the commitments:</w:t>
      </w:r>
    </w:p>
    <w:p/>
    <w:p>
      <w:pPr>
        <w:pStyle w:val="ListBullet"/>
      </w:pPr>
      <w:r>
        <w:t xml:space="preserve">  **Upfront Buyer Requirement (Remedy A — CeralGuard Divestiture):** DG COMP has informally signaled a potential requirement for an upfront buyer for the CeralGuard divestiture (Remedy A). This position is driven by perceived execution risks and the structural vulnerability arising from the lack of a dedicated manufacturing facility for the CeralGuard asset. Consequently, the Commission may not permit the main transaction to close until a binding agreement with an approved upfront buyer is executed.</w:t>
      </w:r>
    </w:p>
    <w:p>
      <w:pPr>
        <w:pStyle w:val="ListBullet"/>
      </w:pPr>
      <w:r>
        <w:t xml:space="preserve">  **Article 8(2) Timing and Procedural Risks:** There is a severe timing risk regarding the upcoming April 28 Article 8(2) regulatory deadline. If DG COMP mandates substantial revisions to the remedy package (such as restructuring Remedy A or expanding its scope to address the manufacturing deficit), the parties face a high probability of missing this critical statutory window. Immediate alignment is required ahead of the upcoming March 24 milestone to avoid procedural delays.</w:t>
      </w:r>
    </w:p>
    <w:p>
      <w:pPr>
        <w:pStyle w:val="ListBullet"/>
      </w:pPr>
      <w:r>
        <w:t xml:space="preserve">  **Monitoring Trustee Disqualification:** Stonebridge Advisory Partners, originally proposed as the monitoring trustee, is disqualified from acting in this capacity due to a clear conflict of interest. Specifically, Stonebridge conducted a comprehensive market study for AgriVantage in 2023. To mitigate regulatory friction, the parties must proactively disclose this conflict to DG COMP and immediately identify and vet backup monitoring trustees to ensure seamless oversight of the commitments.</w:t>
      </w:r>
    </w:p>
    <w:p/>
    <w:p>
      <w:pPr>
        <w:pStyle w:val="Heading2"/>
      </w:pPr>
      <w:r>
        <w:t>Remedy Assessment</w:t>
      </w:r>
    </w:p>
    <w:p/>
    <w:p>
      <w:pPr>
        <w:pStyle w:val="Heading1"/>
      </w:pPr>
      <w:r>
        <w:t>Remedy Assessment</w:t>
      </w:r>
    </w:p>
    <w:p/>
    <w:p>
      <w:r>
        <w:t>This section provides a rigorous comparative analysis and risk assessment of the proposed remedies package against established European Commission precedent, the Statement of Objections (SO), and empirical market data.</w:t>
      </w:r>
    </w:p>
    <w:p/>
    <w:p>
      <w:r>
        <w:t>---</w:t>
      </w:r>
    </w:p>
    <w:p/>
    <w:p>
      <w:pPr>
        <w:pStyle w:val="Heading2"/>
      </w:pPr>
      <w:r>
        <w:t>1. Purchaser Criteria and Geographic Scope</w:t>
      </w:r>
    </w:p>
    <w:p/>
    <w:p>
      <w:r>
        <w:t>A comparative analysis of the proposed purchaser criteria reveals significant deviations from past Commission decisions, introducing material regulatory risks:</w:t>
      </w:r>
    </w:p>
    <w:p/>
    <w:p>
      <w:pPr>
        <w:pStyle w:val="ListBullet"/>
      </w:pPr>
      <w:r>
        <w:t xml:space="preserve">  **Geographic Presence Criterion:** The proposed remedy package requires the suitable purchaser to have an EEA-based presence with active distribution in **five (5) or more Member States** `[e6186]`. While this is more stringent than the precedent set in **Case M.9876**, which required distribution in a minimum of **three (3) EEA Member States** `[e6186]`, it may unnecessarily restrict the pool of eligible buyers.</w:t>
      </w:r>
    </w:p>
    <w:p>
      <w:pPr>
        <w:pStyle w:val="ListBullet"/>
      </w:pPr>
      <w:r>
        <w:t xml:space="preserve">  **Financial Viability and Resources:** The proposed purchaser criteria are currently **silent on financial viability** `[e3131]`. This represents a critical omission and a major deviation from **Case M.10234**, where the Commission established a strict **five-year (5-year) benchmark** for financial resources to ensure the purchaser could viably operate and support the divested business long-term `[e3131]`. Failing to include a similar financial resource benchmark increases the risk of the remedy package being rejected as insufficient.</w:t>
      </w:r>
    </w:p>
    <w:p/>
    <w:p>
      <w:r>
        <w:t>---</w:t>
      </w:r>
    </w:p>
    <w:p/>
    <w:p>
      <w:pPr>
        <w:pStyle w:val="Heading2"/>
      </w:pPr>
      <w:r>
        <w:t>2. Remedy C: BioShield License and Bio Market Assessment</w:t>
      </w:r>
    </w:p>
    <w:p/>
    <w:p>
      <w:r>
        <w:t>The proposed Remedy C, which covers the biological crop protection market (Bio Market), contains several structural deficiencies that deviate from market benchmarks and fail to address the competition concerns identified in the Statement of Objections:</w:t>
      </w:r>
    </w:p>
    <w:p/>
    <w:p>
      <w:pPr>
        <w:pStyle w:val="ListBullet"/>
      </w:pPr>
      <w:r>
        <w:t xml:space="preserve">  **Excessive Royalty Rates:** The proposed BioShield License (Remedy C) for 2025 between Pinnacle Crop Sciences Inc. and BioShield Ag Solutions Ltd stipulates a **4.5% royalty rate for a duration of eight (8) years** `[e2478]`. This is highly off-market; empirical market data across six (6) comparable licensing transactions reveals an **average royalty rate of 2.42%** `[e2475]`. The proposed rate is nearly double the market standard, severely undermining the licensee's cost-competitiveness.</w:t>
      </w:r>
    </w:p>
    <w:p>
      <w:pPr>
        <w:pStyle w:val="ListBullet"/>
      </w:pPr>
      <w:r>
        <w:t xml:space="preserve">  **Deficient Remedy Scope:** The proposed Bio remedy is limited to a **non-exclusive patent license of only three (3) BioShield patents** (EP 3,412,007; EP 3,558,219; and EP 3,701,445) granted to a **single (1) licensee** `[e3511]`.</w:t>
      </w:r>
    </w:p>
    <w:p>
      <w:pPr>
        <w:pStyle w:val="ListBullet"/>
      </w:pPr>
      <w:r>
        <w:t xml:space="preserve">  **Exclusion of Critical Assets:** Crucially, the proposed license **excludes fermentation process know-how** and a **microbial strain bank containing over 340 strains**, which represents **$94 million in historical R&amp;D investment** `[e2479]`.</w:t>
      </w:r>
    </w:p>
    <w:p>
      <w:pPr>
        <w:pStyle w:val="ListBullet"/>
      </w:pPr>
      <w:r>
        <w:t xml:space="preserve">  **Regulatory Risk &amp; Divestiture Requirement:** The Commission’s Statement of Objections indicates that competitive advantage in the Bio Market is fundamentally derived from these proprietary microbial strain banks and associated fermentation process know-how `[e28202]`. Consequently, a non-exclusive license excluding these assets is legally and commercially non-viable. To maintain effective competition, a **full divestiture of the BioShield division** is required `[e28202]`.</w:t>
      </w:r>
    </w:p>
    <w:p/>
    <w:p>
      <w:r>
        <w:t>---</w:t>
      </w:r>
    </w:p>
    <w:p/>
    <w:p>
      <w:pPr>
        <w:pStyle w:val="Heading2"/>
      </w:pPr>
      <w:r>
        <w:t>3. CeralGuard Divestiture and Manufacturing Viability</w:t>
      </w:r>
    </w:p>
    <w:p/>
    <w:p>
      <w:r>
        <w:t>The proposed carve-out and divestiture of the CeralGuard selective herbicides (SH) business presents severe operational viability risks:</w:t>
      </w:r>
    </w:p>
    <w:p/>
    <w:p>
      <w:pPr>
        <w:pStyle w:val="ListBullet"/>
      </w:pPr>
      <w:r>
        <w:t xml:space="preserve">  **Inadequate Personnel Transfer:** The proposed CeralGuard divestiture includes only **14 employees**, limited strictly to R&amp;D and regulatory affairs `[e3502]`. It **excludes all manufacturing and commercial personnel** `[e3502]`, leaving the divested entity without the operational capability to produce or market the products independently.</w:t>
      </w:r>
    </w:p>
    <w:p>
      <w:pPr>
        <w:pStyle w:val="ListBullet"/>
      </w:pPr>
      <w:r>
        <w:t xml:space="preserve">  **Insufficient Divestiture Timeline:** The proposed divestiture period is set at **9 months** (structured as a 6-month initial period plus a 3-month trustee period) `[e3518]`. This compressed timeline is highly ambitious given the complexity of the carve-out.</w:t>
      </w:r>
    </w:p>
    <w:p>
      <w:pPr>
        <w:pStyle w:val="ListBullet"/>
      </w:pPr>
      <w:r>
        <w:t xml:space="preserve">  **Unviable Toll Manufacturing Agreement:** The remedy proposes a **3-year toll manufacturing agreement** to bridge the transition `[e21489]`. However, the Commission’s **Chief Economist Team** estimates that constructing, certifying, and establishing an independent chemical manufacturing line typically requires **3 to 4 years** `[e21683]`. Consequently, a 3-year agreement is mathematically and operationally insufficient to ensure a viable, independent competitor, leaving a critical gap before the purchaser can achieve manufacturing autonomy `[e21489]`, `[e21683]`.</w:t>
      </w:r>
    </w:p>
    <w:p/>
    <w:p>
      <w:r>
        <w:t>---</w:t>
      </w:r>
    </w:p>
    <w:p/>
    <w:p>
      <w:pPr>
        <w:pStyle w:val="Heading2"/>
      </w:pPr>
      <w:r>
        <w:t>4. Remedy B: Broad-Spectrum Fungicides (BF Market)</w:t>
      </w:r>
    </w:p>
    <w:p/>
    <w:p>
      <w:pPr>
        <w:pStyle w:val="ListBullet"/>
      </w:pPr>
      <w:r>
        <w:t xml:space="preserve">  **High Risk of Rejection:** Remedy B is structured as a **behavioral remedy** `[e26199]`. Under established European Commission merger control practice, behavioral commitments face an exceptionally **high risk of rejection** `[e26199]`. The Statement of Objections explicitly reiterates the Commission's preliminary view and long-standing policy that structural competition concerns generally require **structural remedies** (such as divestitures) rather than ongoing behavioral commitments `[e26199]`.</w:t>
      </w:r>
    </w:p>
    <w:p/>
    <w:p>
      <w:r>
        <w:t>---</w:t>
      </w:r>
    </w:p>
    <w:p/>
    <w:p>
      <w:pPr>
        <w:pStyle w:val="Heading2"/>
      </w:pPr>
      <w:r>
        <w:t>Summary of Deviations and Risks</w:t>
      </w:r>
    </w:p>
    <w:p/>
    <w:p>
      <w:r>
        <w:t>| Remedy / Issue | Proposed Terms | Precedent / Commission Requirement | Risk Level &amp; Impact |</w:t>
      </w:r>
    </w:p>
    <w:p>
      <w:r>
        <w:t>| :--- | :--- | :--- | :--- |</w:t>
      </w:r>
    </w:p>
    <w:p>
      <w:r>
        <w:t>| **Geographic Scope** | Distribution in $\ge$ 5 Member States `[e6186]` | $\ge$ 3 Member States (M.9876) `[e6186]` | **Low-Medium:** Unnecessarily restricts the purchaser pool. |</w:t>
      </w:r>
    </w:p>
    <w:p>
      <w:r>
        <w:t>| **Financial Viability** | Silent `[e3131]` | 5-year financial resource benchmark (M.10234) `[e3131]` | **High:** Potential rejection of purchaser criteria. |</w:t>
      </w:r>
    </w:p>
    <w:p>
      <w:r>
        <w:t>| **BioShield Royalty** | 4.5% for 8 years `[e2478]` | 2.42% average (6 comparable transactions) `[e2475]` | **High:** Renders the licensee commercially uncompetitive. |</w:t>
      </w:r>
    </w:p>
    <w:p>
      <w:r>
        <w:t>| **BioShield Scope** | Non-exclusive license of 3 patents to 1 licensee `[e3511]` | Full divestiture of the BioShield division `[e28202]` | **Critical:** Rejection of Remedy C; fails to transfer core assets ($94M strain bank) `[e2479]`. |</w:t>
      </w:r>
    </w:p>
    <w:p>
      <w:r>
        <w:t>| **CeralGuard Personnel** | 14 R&amp;D/Regulatory employees only `[e3502]` | Must include manufacturing &amp; commercial staff | **High:** Purchaser cannot operate as an independent competitor. |</w:t>
      </w:r>
    </w:p>
    <w:p>
      <w:r>
        <w:t>| **Toll Manufacturing** | 3 years `[e21489]` | 3 to 4 years (Chief Economist Team estimate) `[e21683]` | **High:** Operational gap before independent manufacturing is viable. |</w:t>
      </w:r>
    </w:p>
    <w:p>
      <w:r>
        <w:t>| **Remedy B (BF Market)** | Behavioral remedy `[e26199]` | Structural remedy preferred `[e26199]` | **Critical:** High probability of outright rejection by the Commission. |</w:t>
      </w:r>
    </w:p>
    <w:p/>
    <w:p>
      <w:pPr>
        <w:pStyle w:val="Heading2"/>
      </w:pPr>
      <w:r>
        <w:t>Market Context</w:t>
      </w:r>
    </w:p>
    <w:p/>
    <w:p>
      <w:pPr>
        <w:pStyle w:val="Heading1"/>
      </w:pPr>
      <w:r>
        <w:t>Market Context</w:t>
      </w:r>
    </w:p>
    <w:p/>
    <w:p>
      <w:pPr>
        <w:pStyle w:val="Heading3"/>
      </w:pPr>
      <w:r>
        <w:t>1. Market Dynamics and Regulatory Landscape</w:t>
      </w:r>
    </w:p>
    <w:p>
      <w:r>
        <w:t>The relevant market is characterized by rapid growth and high barriers to entry, driven by both consolidation and tightening environmental standards.</w:t>
      </w:r>
    </w:p>
    <w:p>
      <w:pPr>
        <w:pStyle w:val="ListBullet"/>
      </w:pPr>
      <w:r>
        <w:t>**Market Growth and Consolidation:** Following the acquisition of BioShield by Pinnacle in 2022, the market has experienced significant expansion, registering a Compound Annual Growth Rate (CAGR) of 14.2% over the 2020–2024 period `[e6189]`.</w:t>
      </w:r>
    </w:p>
    <w:p>
      <w:pPr>
        <w:pStyle w:val="ListBullet"/>
      </w:pPr>
      <w:r>
        <w:t>**Barriers to Entry:** Market entry and expansion are constrained by lengthy regulatory timelines. According to the Commission Chief Economist’s assessment, obtaining a new chemical manufacturing certification is a highly protracted process, typically requiring 3 to 4 years to complete `[e3520]`.</w:t>
      </w:r>
    </w:p>
    <w:p>
      <w:pPr>
        <w:pStyle w:val="ListBullet"/>
      </w:pPr>
      <w:r>
        <w:t>**Environmental Policy Drivers:** The market operates under strict regulatory pressure, notably shaped by the European Union's Farm to Fork Strategy, which mandates a 50% reduction in the use of chemical pesticides by 2030 `[e3032]`. This policy accelerates the shift toward alternative solutions and impacts the viability of traditional chemical portfolios.</w:t>
      </w:r>
    </w:p>
    <w:p/>
    <w:p>
      <w:pPr>
        <w:pStyle w:val="Heading3"/>
      </w:pPr>
      <w:r>
        <w:t>2. Financial Profiles of Key Market Participants</w:t>
      </w:r>
    </w:p>
    <w:p>
      <w:r>
        <w:t>The commercial positions of the primary undertakings highlight the significant economic stakes within the European Economic Area (EEA):</w:t>
      </w:r>
    </w:p>
    <w:p>
      <w:pPr>
        <w:pStyle w:val="ListBullet"/>
      </w:pPr>
      <w:r>
        <w:t>**Pinnacle Crop Sciences Inc.:** For the financial year ending December 31, 2024, Pinnacle Crop Sciences Inc. reported a global revenue of $1.62 billion. Of this total, $487 million (representing 30.1%) was generated directly within the EEA `[e5613]`.</w:t>
      </w:r>
    </w:p>
    <w:p>
      <w:pPr>
        <w:pStyle w:val="ListBullet"/>
      </w:pPr>
      <w:r>
        <w:t>**AgriVantage Holdings GmbH:** A key regional player, AgriVantage Holdings GmbH recorded an EEA revenue of €312 million in 2024. AgriVantage maintains a deep commercial dependency on the merged entity, accounting for approximately €47 million in annual purchases from Pinnacle Crop Sciences Inc. `[e5615]`.</w:t>
      </w:r>
    </w:p>
    <w:p/>
    <w:p>
      <w:pPr>
        <w:pStyle w:val="Heading2"/>
      </w:pPr>
      <w:r>
        <w:t>Background</w:t>
      </w:r>
    </w:p>
    <w:p/>
    <w:p>
      <w:pPr>
        <w:pStyle w:val="Heading3"/>
      </w:pPr>
      <w:r>
        <w:t>Background</w:t>
      </w:r>
    </w:p>
    <w:p/>
    <w:p>
      <w:r>
        <w:t>On January 8, 2025, the European Commission issued a formal Statement of Objections regarding the proposed transaction between Hargrove Capital Partners and Pinnacle Crop Sciences [e2503]. The Commission's objections specifically identified critical vertical overlap concerns involving AgriVantage Holdings GmbH [e2503]. In response to these regulatory challenges, this memorandum provides a comprehensive deviation and risk assessment, evaluating the proposed remedies package against three precedent commitment decisions to determine its alignment, sufficiency, and potential regulatory viability.</w:t>
      </w:r>
    </w:p>
    <w:p/>
    <w:p>
      <w:pPr>
        <w:pStyle w:val="Heading2"/>
      </w:pPr>
      <w:r>
        <w:t>Timeline</w:t>
      </w:r>
    </w:p>
    <w:p/>
    <w:p>
      <w:pPr>
        <w:pStyle w:val="Heading3"/>
      </w:pPr>
      <w:r>
        <w:t>Timeline and Key Milestones</w:t>
      </w:r>
    </w:p>
    <w:p/>
    <w:p>
      <w:r>
        <w:t>The regulatory and divestiture timeline for Case M.11247 is highly compressed compared to historical benchmarks, presenting distinct procedural and execution risks. The key milestones and structural periods are detailed below:</w:t>
      </w:r>
    </w:p>
    <w:p/>
    <w:p>
      <w:pPr>
        <w:pStyle w:val="ListBullet"/>
      </w:pPr>
      <w:r>
        <w:t xml:space="preserve">  **Regulatory Milestones (Case M.11247):** The proposed remedies package for Case M.11247 was formally filed on **February 14, 2025**. An oral hearing is scheduled for **March 24, 2025**, leading up to the final Article 8(2) regulatory deadline on **April 28, 2025** (*Partner Strategy Email*).</w:t>
      </w:r>
    </w:p>
    <w:p>
      <w:pPr>
        <w:pStyle w:val="ListBullet"/>
      </w:pPr>
      <w:r>
        <w:t xml:space="preserve">  **Total Divestiture Period Deviation:** The proposed total divestiture period is **9 months** (comprising a 6-month initial period and a 3-month trustee extension). This represents a substantial deviation from the **12-month** total divestiture period typically observed in precedent commitment decisions, compressing the overall marketing and execution window by three months (*Partner Strategy Email*).</w:t>
      </w:r>
    </w:p>
    <w:p>
      <w:pPr>
        <w:pStyle w:val="ListBullet"/>
      </w:pPr>
      <w:r>
        <w:t xml:space="preserve">  **First Divestiture Period (CeralGuard):** The First Divestiture Period for the CeralGuard Business is designated as **six (6) months** starting from the Effective Date (*Proposed Remedies M.11247, Part 2*).</w:t>
      </w:r>
    </w:p>
    <w:p>
      <w:pPr>
        <w:pStyle w:val="ListBullet"/>
      </w:pPr>
      <w:r>
        <w:t xml:space="preserve">  **Trustee Divestiture Period:** In the event that a sale is not completed during the initial phase, the Trustee Divestiture Period is set for **three (3) months** immediately following the expiration of the First Divestiture Period (*Proposed Remedies M.11247, Part 2*).</w:t>
      </w:r>
    </w:p>
    <w:p/>
    <w:p>
      <w:pPr>
        <w:pStyle w:val="Heading2"/>
      </w:pPr>
      <w:r>
        <w:t>Monitoring Trustee</w:t>
      </w:r>
    </w:p>
    <w:p/>
    <w:p>
      <w:pPr>
        <w:pStyle w:val="Heading3"/>
      </w:pPr>
      <w:r>
        <w:t>Monitoring Trustee</w:t>
      </w:r>
    </w:p>
    <w:p/>
    <w:p>
      <w:pPr>
        <w:pStyle w:val="Heading4"/>
      </w:pPr>
      <w:r>
        <w:t>1. Proposed Trustee and Conflict Identification</w:t>
      </w:r>
    </w:p>
    <w:p>
      <w:r>
        <w:t>Under the proposed commitments package (specifically Remedy D), Stonebridge Advisory Partners has been nominated to act as the Monitoring Trustee. However, a critical compliance deviation has been identified: Stonebridge Advisory Partners is disqualified from serving in this role under the European Commission’s strict independence criteria.</w:t>
      </w:r>
    </w:p>
    <w:p/>
    <w:p>
      <w:r>
        <w:t>This disqualification stems from a professional conflict of interest: Stonebridge Advisory Partners conducted a market study in 2023 for AgriVantage Holdings GmbH, one of the merging parties.</w:t>
      </w:r>
    </w:p>
    <w:p/>
    <w:p>
      <w:pPr>
        <w:pStyle w:val="Heading4"/>
      </w:pPr>
      <w:r>
        <w:t>2. Precedent Comparison and Deviation Analysis</w:t>
      </w:r>
    </w:p>
    <w:p>
      <w:r>
        <w:t>The nomination of Stonebridge Advisory Partners directly violates the regulatory precedent established in **Case M.9876 (*Terrano/Fieldmark*, 2021)**.</w:t>
      </w:r>
    </w:p>
    <w:p>
      <w:pPr>
        <w:pStyle w:val="ListBullet"/>
      </w:pPr>
      <w:r>
        <w:t>**The Precedent Rule:** In *Terrano/Fieldmark*, the Commission mandated that to satisfy the essential independence criteria, a proposed monitoring trustee must have **no prior relationship with either merging party within the preceding 3 years**.</w:t>
      </w:r>
    </w:p>
    <w:p>
      <w:pPr>
        <w:pStyle w:val="ListBullet"/>
      </w:pPr>
      <w:r>
        <w:t>**The Deviation:** The market study performed by Stonebridge Advisory Partners for AgriVantage Holdings GmbH occurred in 2023. This active professional relationship falls well within the prohibited 3-year lookback window.</w:t>
      </w:r>
    </w:p>
    <w:p/>
    <w:p>
      <w:pPr>
        <w:pStyle w:val="Heading4"/>
      </w:pPr>
      <w:r>
        <w:t>3. Risk Assessment and Actionable Recommendation</w:t>
      </w:r>
    </w:p>
    <w:p>
      <w:r>
        <w:t>The Commission's case handler has explicitly raised formal concerns regarding Stonebridge Advisory Partners' independence, citing the Case M.9876 precedent.</w:t>
      </w:r>
    </w:p>
    <w:p/>
    <w:p>
      <w:pPr>
        <w:pStyle w:val="ListBullet"/>
      </w:pPr>
      <w:r>
        <w:t>**Risk Level:** **High / Critical.** Maintaining Stonebridge Advisory Partners as the proposed nominee carries an extremely high risk of formal rejection of Remedy D by the Commission, which would delay or jeopardize the clearance of the entire transaction.</w:t>
      </w:r>
    </w:p>
    <w:p>
      <w:pPr>
        <w:pStyle w:val="ListBullet"/>
      </w:pPr>
      <w:r>
        <w:t>**Mitigation:** The merging parties must immediately disqualify Stonebridge Advisory Partners and select an alternative, third-party monitoring trustee. The new nominee must undergo rigorous conflict checks to ensure they have had no commercial, advisory, or professional relationship with either merging party within the preceding 3 years.</w:t>
      </w:r>
    </w:p>
    <w:p/>
    <w:p>
      <w:pPr>
        <w:pStyle w:val="Heading2"/>
      </w:pPr>
      <w:r>
        <w:t>Remedy A</w:t>
      </w:r>
    </w:p>
    <w:p/>
    <w:p>
      <w:pPr>
        <w:pStyle w:val="Heading1"/>
      </w:pPr>
      <w:r>
        <w:t>Section: Remedy A (CeralGuard Divestiture Package)</w:t>
      </w:r>
    </w:p>
    <w:p/>
    <w:p>
      <w:pPr>
        <w:pStyle w:val="Heading2"/>
      </w:pPr>
      <w:r>
        <w:t>1.1 Scope of the Divestiture and Assets</w:t>
      </w:r>
    </w:p>
    <w:p>
      <w:r>
        <w:t>The proposed Remedy A (the CeralGuard Business divestiture) comprises the transfer of selective herbicide assets and registrations, but presents structural limitations regarding manufacturing independence:</w:t>
      </w:r>
    </w:p>
    <w:p/>
    <w:p>
      <w:pPr>
        <w:pStyle w:val="ListBullet"/>
      </w:pPr>
      <w:r>
        <w:t xml:space="preserve">  **Product Registrations:** The CeralGuard Business divestiture includes all product registrations for selective herbicide products in all EEA Member States as listed in Schedule 1, with the Parties bearing all costs associated with the transfer [e3545].</w:t>
      </w:r>
    </w:p>
    <w:p>
      <w:pPr>
        <w:pStyle w:val="ListBullet"/>
      </w:pPr>
      <w:r>
        <w:t xml:space="preserve">  **Lack of Dedicated Manufacturing:** A critical structural gap is that Remedy A lacks a dedicated manufacturing facility. Instead, the package provides only equipment and a three-year toll manufacturing agreement for the mesotrione-based compound P-4471 [e2507].</w:t>
      </w:r>
    </w:p>
    <w:p>
      <w:pPr>
        <w:pStyle w:val="ListBullet"/>
      </w:pPr>
      <w:r>
        <w:t xml:space="preserve">  **Key Personnel Transfer:** To support the operational transition, fourteen (14) Key Personnel have been identified for transfer. This cohort includes six (6) formulation chemists, four (4) regulatory specialists (specifically regulatory affairs specialists), two (2) product managers (specifically product development managers), and two (2) quality assurance specialists [e7073].</w:t>
      </w:r>
    </w:p>
    <w:p/>
    <w:p>
      <w:pPr>
        <w:pStyle w:val="Heading2"/>
      </w:pPr>
      <w:r>
        <w:t>1.2 Transitional Supply and Toll Manufacturing Agreements</w:t>
      </w:r>
    </w:p>
    <w:p>
      <w:r>
        <w:t>Due to the absence of a standalone production facility, the viability of the divested business relies heavily on transitional agreements with Pinnacle at its Ludwigshafen Facility:</w:t>
      </w:r>
    </w:p>
    <w:p/>
    <w:p>
      <w:pPr>
        <w:pStyle w:val="ListBullet"/>
      </w:pPr>
      <w:r>
        <w:t xml:space="preserve">  **Toll Manufacturing Services:** Pinnacle shall provide toll manufacturing services for CeralGuard products at the Ludwigshafen Facility at cost (production cost) plus a margin not exceeding a percentage to be agreed with the Commission [e6496].</w:t>
      </w:r>
    </w:p>
    <w:p>
      <w:pPr>
        <w:pStyle w:val="ListBullet"/>
      </w:pPr>
      <w:r>
        <w:t xml:space="preserve">  **Capacity Reservation:** Pinnacle shall reserve production capacity at the Ludwigshafen Facility for the Divestiture Purchaser, subject to a volume cap consistent with historical production volumes of CeralGuard products [e6497].</w:t>
      </w:r>
    </w:p>
    <w:p>
      <w:pPr>
        <w:pStyle w:val="ListBullet"/>
      </w:pPr>
      <w:r>
        <w:t xml:space="preserve">  **Transitional Supply Agreement (TSA) for P-4471:** The TSA for the active ingredient compound P-4471 has a fixed duration of three (3) years from the date of completion of the divestiture, with no option for renewal or extension [e3546].</w:t>
      </w:r>
    </w:p>
    <w:p>
      <w:pPr>
        <w:pStyle w:val="ListBullet"/>
      </w:pPr>
      <w:r>
        <w:t xml:space="preserve">  **TSA Volume Cap:** Supply under the TSA for P-4471 is subject to a strict volume cap of 110% of the average annual volume of P-4471 consumed in the production of CeralGuard products during the three (3) fiscal years preceding completion [e15712].</w:t>
      </w:r>
    </w:p>
    <w:p/>
    <w:p>
      <w:pPr>
        <w:pStyle w:val="Heading2"/>
      </w:pPr>
      <w:r>
        <w:t>1.3 Purchaser Criteria and Divestiture Process</w:t>
      </w:r>
    </w:p>
    <w:p>
      <w:r>
        <w:t>The commitments define strict eligibility criteria for the buyer and outline the timeline for execution:</w:t>
      </w:r>
    </w:p>
    <w:p/>
    <w:p>
      <w:pPr>
        <w:pStyle w:val="ListBullet"/>
      </w:pPr>
      <w:r>
        <w:t xml:space="preserve">  **Purchaser Profile:** The Divestiture Purchaser must be a crop protection company with established operations in the European Economic Area (EEA) [e6498]. Furthermore, the Divestiture Purchaser must have existing distribution operations in at least five (5) EEA Member States [e6499].</w:t>
      </w:r>
    </w:p>
    <w:p>
      <w:pPr>
        <w:pStyle w:val="ListBullet"/>
      </w:pPr>
      <w:r>
        <w:t xml:space="preserve">  **Process and Timeline:** Remedy A requires an EEA-based crop protection company with distribution in at least 5 Member States, a 6-month First Divestiture Period, and a 3-month trustee extension [e2506]. Notably, the current design of Remedy A lacks an upfront buyer requirement [e2506].</w:t>
      </w:r>
    </w:p>
    <w:p/>
    <w:p>
      <w:pPr>
        <w:pStyle w:val="Heading2"/>
      </w:pPr>
      <w:r>
        <w:t>Remedy C</w:t>
      </w:r>
    </w:p>
    <w:p/>
    <w:p>
      <w:pPr>
        <w:pStyle w:val="Heading3"/>
      </w:pPr>
      <w:r>
        <w:t>SECTION: REMEDY C (BIOLOGICALS) — DEVIATION AND RISK ASSESSMENT</w:t>
      </w:r>
    </w:p>
    <w:p/>
    <w:p>
      <w:pPr>
        <w:pStyle w:val="Heading4"/>
      </w:pPr>
      <w:r>
        <w:t>1. Overview and Precedent Deviation Analysis</w:t>
      </w:r>
    </w:p>
    <w:p>
      <w:r>
        <w:t>Under the proposed commitments for Case M.11247, **Remedy C** involves a non-exclusive patent license for the BioShield portfolio. This structure represents a significant deviation from established merger control precedents in the biologicals sector. Specifically, in **Case M.10234 (*Verdana/AgraStar*)** and **Case M.10891 (*NovaBio/CropGenix*)**, the European Commission required the full divestiture of biological assets to resolve horizontal competition concerns. By contrast, Remedy C proposes a non-exclusive licensing model rather than a structural divestment, which introduces heightened regulatory viability risks.</w:t>
      </w:r>
    </w:p>
    <w:p/>
    <w:p>
      <w:pPr>
        <w:pStyle w:val="Heading4"/>
      </w:pPr>
      <w:r>
        <w:t>2. Key Terms of the Proposed BioShield IP License</w:t>
      </w:r>
    </w:p>
    <w:p>
      <w:r>
        <w:t>The proposed Remedy C (BioShield IP Licensing) is structured under the following specific terms:</w:t>
      </w:r>
    </w:p>
    <w:p>
      <w:pPr>
        <w:pStyle w:val="ListBullet"/>
      </w:pPr>
      <w:r>
        <w:t xml:space="preserve">  **Licensor and Licensee:** Pinnacle shall grant a non-exclusive license to exactly **one (1) qualified BioShield Licensee**.</w:t>
      </w:r>
    </w:p>
    <w:p>
      <w:pPr>
        <w:pStyle w:val="ListBullet"/>
      </w:pPr>
      <w:r>
        <w:t xml:space="preserve">  **Licensed Patents:** The scope of the license is strictly limited to three (3) European patents:</w:t>
      </w:r>
    </w:p>
    <w:p>
      <w:pPr>
        <w:pStyle w:val="ListNumber"/>
      </w:pPr>
      <w:r>
        <w:t xml:space="preserve"> **EP 3,412,007**</w:t>
      </w:r>
    </w:p>
    <w:p>
      <w:pPr>
        <w:pStyle w:val="ListNumber"/>
      </w:pPr>
      <w:r>
        <w:t xml:space="preserve"> **EP 3,558,219**</w:t>
      </w:r>
    </w:p>
    <w:p>
      <w:pPr>
        <w:pStyle w:val="ListNumber"/>
      </w:pPr>
      <w:r>
        <w:t xml:space="preserve"> **EP 3,701,445**</w:t>
      </w:r>
    </w:p>
    <w:p>
      <w:pPr>
        <w:pStyle w:val="ListBullet"/>
      </w:pPr>
      <w:r>
        <w:t xml:space="preserve">  **Duration:** The BioShield license duration is fixed at **eight (8) years** from the date of execution of the license agreement.</w:t>
      </w:r>
    </w:p>
    <w:p>
      <w:pPr>
        <w:pStyle w:val="ListBullet"/>
      </w:pPr>
      <w:r>
        <w:t xml:space="preserve">  **Financial Terms:** The proposed Remedy C includes a royalty-bearing mechanism. The BioShield Licensee shall pay Pinnacle a royalty of **four and one-half percent (4.5%) of net sales** of Licensed Products.</w:t>
      </w:r>
    </w:p>
    <w:p/>
    <w:p>
      <w:pPr>
        <w:pStyle w:val="Heading4"/>
      </w:pPr>
      <w:r>
        <w:t>3. Exclusions and Structural Deficiencies</w:t>
      </w:r>
    </w:p>
    <w:p>
      <w:r>
        <w:t>A critical risk factor in the assessment of Remedy C is the narrow scope of the carve-out. Specifically, the following key assets are expressly excluded from the scope of the license:</w:t>
      </w:r>
    </w:p>
    <w:p>
      <w:pPr>
        <w:pStyle w:val="ListBullet"/>
      </w:pPr>
      <w:r>
        <w:t xml:space="preserve">  **Proprietary Microbial Strain Bank:** BioShield's proprietary microbial strain bank, which contains **over 340 distinct strains**, is entirely excluded from the license.</w:t>
      </w:r>
    </w:p>
    <w:p>
      <w:pPr>
        <w:pStyle w:val="ListBullet"/>
      </w:pPr>
      <w:r>
        <w:t xml:space="preserve">  **R&amp;D Investment:** Cumulative research and development (R&amp;D) investment totaling **$94 million** is excluded from the transfer and licensing scope.</w:t>
      </w:r>
    </w:p>
    <w:p/>
    <w:p>
      <w:pPr>
        <w:pStyle w:val="Heading4"/>
      </w:pPr>
      <w:r>
        <w:t>4. Risk Assessment</w:t>
      </w:r>
    </w:p>
    <w:p>
      <w:r>
        <w:t>The exclusion of the 340+ strain bank and the $94 million in cumulative R&amp;D investment, combined with the non-exclusive nature of the license and the 4.5% royalty burden, significantly undermines the viability of the remedy. Unlike the clean-break divestitures in *Verdana/AgraStar* (M.10234) and *NovaBio/CropGenix* (M.10891), this structure leaves the essential biological infrastructure in the hands of the merged entity, potentially preventing the licensee from operating as an independent and competitive force in the market.</w:t>
      </w:r>
    </w:p>
    <w:p/>
    <w:p>
      <w:pPr>
        <w:pStyle w:val="Heading2"/>
      </w:pPr>
      <w:r>
        <w:t>Remedy B</w:t>
      </w:r>
    </w:p>
    <w:p/>
    <w:p>
      <w:pPr>
        <w:pStyle w:val="Heading3"/>
      </w:pPr>
      <w:r>
        <w:t>Section: Remedy B (Fungicides)</w:t>
      </w:r>
    </w:p>
    <w:p/>
    <w:p>
      <w:pPr>
        <w:pStyle w:val="Heading4"/>
      </w:pPr>
      <w:r>
        <w:t>1. Overview of Commitment</w:t>
      </w:r>
    </w:p>
    <w:p>
      <w:r>
        <w:t>Remedy B consists of a behavioral commitment designed to address competition concerns in the fungicides sector by terminating AgriVantage’s exclusivity arrangements across six (6) designated Member States [e2510].</w:t>
      </w:r>
    </w:p>
    <w:p/>
    <w:p>
      <w:pPr>
        <w:pStyle w:val="Heading4"/>
      </w:pPr>
      <w:r>
        <w:t>2. Termination of Existing Exclusivity Arrangements</w:t>
      </w:r>
    </w:p>
    <w:p>
      <w:r>
        <w:t>AgriVantage Holdings GmbH shall terminate all active exclusive distribution agreements and exclusive dealing arrangements with Pinnacle for broad-spectrum fungicide products within the following six (6) Member States:</w:t>
      </w:r>
    </w:p>
    <w:p>
      <w:pPr>
        <w:pStyle w:val="ListBullet"/>
      </w:pPr>
      <w:r>
        <w:t xml:space="preserve">  France</w:t>
      </w:r>
    </w:p>
    <w:p>
      <w:pPr>
        <w:pStyle w:val="ListBullet"/>
      </w:pPr>
      <w:r>
        <w:t xml:space="preserve">  Germany</w:t>
      </w:r>
    </w:p>
    <w:p>
      <w:pPr>
        <w:pStyle w:val="ListBullet"/>
      </w:pPr>
      <w:r>
        <w:t xml:space="preserve">  Spain</w:t>
      </w:r>
    </w:p>
    <w:p>
      <w:pPr>
        <w:pStyle w:val="ListBullet"/>
      </w:pPr>
      <w:r>
        <w:t xml:space="preserve">  Italy</w:t>
      </w:r>
    </w:p>
    <w:p>
      <w:pPr>
        <w:pStyle w:val="ListBullet"/>
      </w:pPr>
      <w:r>
        <w:t xml:space="preserve">  the Netherlands</w:t>
      </w:r>
    </w:p>
    <w:p>
      <w:pPr>
        <w:pStyle w:val="ListBullet"/>
      </w:pPr>
      <w:r>
        <w:t xml:space="preserve">  Poland</w:t>
      </w:r>
    </w:p>
    <w:p/>
    <w:p>
      <w:r>
        <w:t>This termination must be fully executed and completed within six (6) months of the transaction's Closing [e6503].</w:t>
      </w:r>
    </w:p>
    <w:p/>
    <w:p>
      <w:pPr>
        <w:pStyle w:val="Heading4"/>
      </w:pPr>
      <w:r>
        <w:t>3. Access and Non-Exclusive Distribution Terms</w:t>
      </w:r>
    </w:p>
    <w:p>
      <w:r>
        <w:t>To facilitate market entry and restore competitive dynamics, AgriVantage is required to offer non-exclusive distribution terms to at least two (2) competing manufacturers of broad-spectrum fungicide products. These formal offers must be extended within twelve (12) months of Closing [e6504].</w:t>
      </w:r>
    </w:p>
    <w:p/>
    <w:p>
      <w:pPr>
        <w:pStyle w:val="Heading4"/>
      </w:pPr>
      <w:r>
        <w:t>4. Future Exclusivity Ban (Market Standstill)</w:t>
      </w:r>
    </w:p>
    <w:p>
      <w:r>
        <w:t>To ensure the long-term viability of the remedy and prevent market re-foreclosure, AgriVantage is strictly prohibited from entering into any new exclusive distribution agreements for broad-spectrum fungicides within the six affected Member States (France, Germany, Spain, Italy, the Netherlands, and Poland). This prohibition shall remain in effect for a duration of five (5) years from the date of Closing [e6505].</w:t>
      </w:r>
    </w:p>
    <w:p/>
    <w:p>
      <w:pPr>
        <w:pStyle w:val="Heading2"/>
      </w:pPr>
      <w:r>
        <w:t>Strategy</w:t>
      </w:r>
    </w:p>
    <w:p/>
    <w:p>
      <w:pPr>
        <w:pStyle w:val="Heading3"/>
      </w:pPr>
      <w:r>
        <w:t>Strategy</w:t>
      </w:r>
    </w:p>
    <w:p/>
    <w:p>
      <w:r>
        <w:t>To mitigate regulatory friction and ensure a robust posture before the European Commission, the firm will execute a two-pronged strategic approach addressing potential conflicts of interest and trustee independence:</w:t>
      </w:r>
    </w:p>
    <w:p/>
    <w:p>
      <w:pPr>
        <w:pStyle w:val="ListNumber"/>
      </w:pPr>
      <w:r>
        <w:t>**Proactive Disclosure of the 2023 Stonebridge/AgriVantage Engagement**: The firm will proactively disclose the details of the 2023 Stonebridge/AgriVantage engagement to the Directorate-General for Competition (DG COMP) [e16513]. Initiating this disclosure directly with the DG COMP case team prior to any formal objection points is critical to preserving the firm's credibility, controlling the narrative, and preemptively proposing suitable replacement structures if required [e16513].</w:t>
      </w:r>
    </w:p>
    <w:p>
      <w:pPr>
        <w:pStyle w:val="ListNumber"/>
      </w:pPr>
      <w:r>
        <w:t>**Identification of Backup Monitoring Trustees**: To address potential independence concerns regarding Stonebridge, the firm will quietly identify 2–3 alternative competition economics consultancies to act as backup monitoring trustees [e16514]. To guarantee regulatory compliance and avoid conflict-of-interest challenges, these alternative consultancies must have no past or present connections to Hargrove, Pinnacle, or AgriVantage [e16514].</w:t>
      </w:r>
    </w:p>
    <w:p/>
    <w:p>
      <w:pPr>
        <w:pStyle w:val="Heading2"/>
      </w:pPr>
      <w:r>
        <w:t>Remedy A Mitigation</w:t>
      </w:r>
    </w:p>
    <w:p/>
    <w:p>
      <w:pPr>
        <w:pStyle w:val="Heading3"/>
      </w:pPr>
      <w:r>
        <w:t>Remedy A Mitigation</w:t>
      </w:r>
    </w:p>
    <w:p/>
    <w:p>
      <w:r>
        <w:t>To mitigate the high risk of regulatory rejection associated with Remedy A, the Parties must implement the following structural and operational enhancements to align the commitments with market realities and regulatory precedents:</w:t>
      </w:r>
    </w:p>
    <w:p/>
    <w:p>
      <w:pPr>
        <w:pStyle w:val="ListBullet"/>
      </w:pPr>
      <w:r>
        <w:t xml:space="preserve">  **Extension of Transitional Agreements (TSA/TMA):** The Parties must extend the duration of both the Transitional Supply Agreement (TSA) and the Toll Manufacturing Agreement (TMA) from the currently proposed 3 years to **5 years**. This extension directly aligns with the precedent established in **Case M.9876** and provides the purchaser with a critical 3-to-4-year buffer necessary to construct, validate, and regulatory-certify a new, independent manufacturing line.</w:t>
      </w:r>
    </w:p>
    <w:p>
      <w:pPr>
        <w:pStyle w:val="ListBullet"/>
      </w:pPr>
      <w:r>
        <w:t xml:space="preserve">  **Expansion of Transferred Personnel:** The scope of key personnel transferring with the divestment business must be significantly expanded. The Parties must increase the number of transferred personnel from the proposed 14 Full-Time Equivalents (FTEs) to **at least 40 FTEs**. This expanded pool must explicitly include dedicated commercial, technical, and manufacturing support staff to ensure the immediate viability and competitiveness of the divested entity.</w:t>
      </w:r>
    </w:p>
    <w:p>
      <w:pPr>
        <w:pStyle w:val="ListBullet"/>
      </w:pPr>
      <w:r>
        <w:t xml:space="preserve">  **Implementation of a "Crown Jewel" Provision:** To guarantee long-term market viability, the commitments must incorporate a "crown jewel" alternative. In the event that the purchaser fails to establish fully independent manufacturing capabilities within **4 years**, an automatic trigger will require the divestiture of either a dedicated production line or the entire **Ludwigshafen Facility** to the purchaser.</w:t>
      </w:r>
    </w:p>
    <w:p/>
    <w:p>
      <w:pPr>
        <w:pStyle w:val="Heading2"/>
      </w:pPr>
      <w:r>
        <w:t>Remedy B Mitigation</w:t>
      </w:r>
    </w:p>
    <w:p/>
    <w:p>
      <w:pPr>
        <w:pStyle w:val="Heading3"/>
      </w:pPr>
      <w:r>
        <w:t>Remedy B Mitigation</w:t>
      </w:r>
    </w:p>
    <w:p/>
    <w:p>
      <w:r>
        <w:t>To resolve the vertical foreclosure concerns identified in the Broad-Spectrum Fungicides (BF) market, the Parties must abandon the purely behavioral Remedy B and shift to a structural remedy. DG COMP maintains a clear and consistent preference for structural remedies over behavioral commitments in cases involving vertical foreclosure. Consequently, a behavioral approach is highly unlikely to secure clearance.</w:t>
      </w:r>
    </w:p>
    <w:p/>
    <w:p>
      <w:r>
        <w:t>To mitigate this regulatory risk, the Parties must pivot to a structural divestiture of a niche fungicide product line, drawing directly on the precedent established in Case M.9876 (where a similar grape fungicide line was successfully divested).</w:t>
      </w:r>
    </w:p>
    <w:p/>
    <w:p>
      <w:r>
        <w:t>The proposed structural divestiture package must include:</w:t>
      </w:r>
    </w:p>
    <w:p>
      <w:pPr>
        <w:pStyle w:val="ListBullet"/>
      </w:pPr>
      <w:r>
        <w:t xml:space="preserve">  **Product Registrations:** All active and pending regulatory registrations for the niche fungicide product line.</w:t>
      </w:r>
    </w:p>
    <w:p>
      <w:pPr>
        <w:pStyle w:val="ListBullet"/>
      </w:pPr>
      <w:r>
        <w:t xml:space="preserve">  **Dedicated Distribution Contracts:** Existing distribution agreements and supply channel arrangements.</w:t>
      </w:r>
    </w:p>
    <w:p>
      <w:pPr>
        <w:pStyle w:val="ListBullet"/>
      </w:pPr>
      <w:r>
        <w:t xml:space="preserve">  **Customer Lists:** Associated customer databases, historical purchasing records, and proprietary client lists.</w:t>
      </w:r>
    </w:p>
    <w:p/>
    <w:p>
      <w:r>
        <w:t>The geographic scope of this divestiture must encompass all six affected Member States:</w:t>
      </w:r>
    </w:p>
    <w:p>
      <w:pPr>
        <w:pStyle w:val="ListNumber"/>
      </w:pPr>
      <w:r>
        <w:t>France</w:t>
      </w:r>
    </w:p>
    <w:p>
      <w:pPr>
        <w:pStyle w:val="ListNumber"/>
      </w:pPr>
      <w:r>
        <w:t>Germany</w:t>
      </w:r>
    </w:p>
    <w:p>
      <w:pPr>
        <w:pStyle w:val="ListNumber"/>
      </w:pPr>
      <w:r>
        <w:t>Spain</w:t>
      </w:r>
    </w:p>
    <w:p>
      <w:pPr>
        <w:pStyle w:val="ListNumber"/>
      </w:pPr>
      <w:r>
        <w:t>Italy</w:t>
      </w:r>
    </w:p>
    <w:p>
      <w:pPr>
        <w:pStyle w:val="ListNumber"/>
      </w:pPr>
      <w:r>
        <w:t>The Netherlands</w:t>
      </w:r>
    </w:p>
    <w:p>
      <w:pPr>
        <w:pStyle w:val="ListNumber"/>
      </w:pPr>
      <w:r>
        <w:t>Poland</w:t>
      </w:r>
    </w:p>
    <w:p/>
    <w:p>
      <w:r>
        <w:t>Implementing this structural shift ensures the remedy is viable, self-sustaining, and fully aligned with DG COMP’s mandate to prevent vertical foreclosure in the BF market.</w:t>
      </w:r>
    </w:p>
    <w:p/>
    <w:p>
      <w:pPr>
        <w:pStyle w:val="Heading2"/>
      </w:pPr>
      <w:r>
        <w:t>Remedy C Mitigation</w:t>
      </w:r>
    </w:p>
    <w:p/>
    <w:p>
      <w:pPr>
        <w:pStyle w:val="Heading3"/>
      </w:pPr>
      <w:r>
        <w:t>Remedy C Mitigation</w:t>
      </w:r>
    </w:p>
    <w:p/>
    <w:p>
      <w:r>
        <w:t>To address the critical structural deficiencies identified in the initial Remedy C proposal, the Parties must fundamentally restructure the remedy from a limited patent licensing arrangement into a comprehensive, full structural divestiture of the BioShield biological crop protection business. This structural pivot is necessary to eliminate horizontal overlaps and restore BioShield as a viable, independent competitive force in the highly innovation-driven biologicals market.</w:t>
      </w:r>
    </w:p>
    <w:p/>
    <w:p>
      <w:r>
        <w:t>To ensure the viability and autonomous operation of the divested entity, the restructured Remedy C package must include the following assets:</w:t>
      </w:r>
    </w:p>
    <w:p/>
    <w:p>
      <w:pPr>
        <w:pStyle w:val="ListNumber"/>
      </w:pPr>
      <w:r>
        <w:t>**Microbial Strain Bank and Know-How:** The transfer of the complete, proprietary microbial strain bank—comprising 340+ proprietary microbial strains—along with all associated fermentation process know-how.</w:t>
      </w:r>
    </w:p>
    <w:p>
      <w:pPr>
        <w:pStyle w:val="ListNumber"/>
      </w:pPr>
      <w:r>
        <w:t>**Registrations and Key Personnel:** All associated product registrations and the transfer of dedicated R&amp;D personnel essential for the continuous development of the BioShield pipeline.</w:t>
      </w:r>
    </w:p>
    <w:p>
      <w:pPr>
        <w:pStyle w:val="ListNumber"/>
      </w:pPr>
      <w:r>
        <w:t>**Intellectual Property and Precedent Alignment:** A royalty-free cross-license for improvement patents for a duration of 10 years. This 10-year term directly matches the regulatory precedent established in Case M.10234, ensuring the remedy meets the strict standards of viability, independence, and competitiveness required by the reviewing authorities.</w:t>
      </w:r>
    </w:p>
    <w:p/>
    <w:p>
      <w:pPr>
        <w:pStyle w:val="Heading2"/>
      </w:pPr>
      <w:r>
        <w:t>Gap Analysis</w:t>
      </w:r>
    </w:p>
    <w:p/>
    <w:p>
      <w:pPr>
        <w:pStyle w:val="Heading3"/>
      </w:pPr>
      <w:r>
        <w:t>Gap Analysis</w:t>
      </w:r>
    </w:p>
    <w:p/>
    <w:p>
      <w:r>
        <w:t>A comparative assessment of the proposed remedies package against precedent Commission commitment decisions reveals two critical structural gaps that significantly elevate the risk of regulatory rejection.</w:t>
      </w:r>
    </w:p>
    <w:p/>
    <w:p>
      <w:pPr>
        <w:pStyle w:val="Heading4"/>
      </w:pPr>
      <w:r>
        <w:t>1. Absence of a Pre-Identified Upfront Buyer (CeralGuard Divestiture)</w:t>
      </w:r>
    </w:p>
    <w:p>
      <w:r>
        <w:t>The proposed remedies package for the CeralGuard Divestiture lacks a pre-identified upfront buyer, relying instead on general purchaser criteria. This omission creates a significant risk of rejection under the precedent of **Case M.9876 (*Terrano/Fieldmark*)**. In that matter, the Commission established that a pre-identified upfront buyer is a critical threshold requirement to ensure the immediate viability and competitiveness of the divested business. By failing to secure and name a specific purchaser in the current proposal, the package deviates from this established standard, presenting a high risk that the Commission will deem the remedy structurally insufficient.</w:t>
      </w:r>
    </w:p>
    <w:p/>
    <w:p>
      <w:pPr>
        <w:pStyle w:val="Heading4"/>
      </w:pPr>
      <w:r>
        <w:t>2. Exclusion of the BioShield Microbial Strain Bank (Remedy C)</w:t>
      </w:r>
    </w:p>
    <w:p>
      <w:r>
        <w:t>**Remedy C** expressly excludes the **BioShield microbial strain bank**, rendering the remedy narrower and more deficient than the rejected commitments in **Case M.10234 (*Verdana/Agrastar*)**. The BioShield strain bank is a foundational asset containing over **340 proprietary strains** and representing **$94 million in cumulative R&amp;D investment**. Under the precedent of *Verdana/Agrastar*, excluding a core technological asset of this scale—which represents the primary driver of the business's competitive viability and future pipeline—will be viewed by the Commission as a fatal deficiency that fails to restore effective competition in the relevant market.</w:t>
      </w:r>
    </w:p>
    <w:p/>
    <w:p>
      <w:pPr>
        <w:pStyle w:val="Heading2"/>
      </w:pPr>
      <w:r>
        <w:t>Parties</w:t>
      </w:r>
    </w:p>
    <w:p/>
    <w:p>
      <w:pPr>
        <w:pStyle w:val="Heading1"/>
      </w:pPr>
      <w:r>
        <w:t>PARTIES</w:t>
      </w:r>
    </w:p>
    <w:p/>
    <w:p>
      <w:r>
        <w:t>This section identifies the notifying parties and targets involved in the current transaction under review, as well as the parties to the three precedent commitment decisions used for the comparative deviation and risk assessment.</w:t>
      </w:r>
    </w:p>
    <w:p/>
    <w:p>
      <w:pPr>
        <w:pStyle w:val="Heading2"/>
      </w:pPr>
      <w:r>
        <w:t>1. Current Transaction Parties (Case M.11247)</w:t>
      </w:r>
    </w:p>
    <w:p/>
    <w:p>
      <w:r>
        <w:t>The current transaction under review in Case M.11247 involves **Hargrove Capital Partners LLC** and **Pinnacle Crop Sciences Inc.** The European Commission's Statement of Objections (SO) is formally addressed to both of these entities:</w:t>
      </w:r>
    </w:p>
    <w:p/>
    <w:p>
      <w:pPr>
        <w:pStyle w:val="ListBullet"/>
      </w:pPr>
      <w:r>
        <w:t xml:space="preserve">  **Hargrove Capital Partners LLC**: An investment firm managing approximately $18.7 billion in assets under management across four investment funds. The SO is addressed to Hargrove Capital Partners LLC, located at 210 South Wacker Drive, Suite 3100, Chicago, IL 60606, USA.</w:t>
      </w:r>
    </w:p>
    <w:p>
      <w:pPr>
        <w:pStyle w:val="ListBullet"/>
      </w:pPr>
      <w:r>
        <w:t xml:space="preserve">  **Pinnacle Crop Sciences Inc.**: The target entity in Case M.11247. The SO is addressed to Pinnacle Crop Sciences Inc., located at 4500 Cornwallis Road, Building 12, Research Triangle Park, NC 27709, USA.</w:t>
      </w:r>
    </w:p>
    <w:p/>
    <w:p>
      <w:r>
        <w:t>---</w:t>
      </w:r>
    </w:p>
    <w:p/>
    <w:p>
      <w:pPr>
        <w:pStyle w:val="Heading2"/>
      </w:pPr>
      <w:r>
        <w:t>2. Precedent Transaction Parties</w:t>
      </w:r>
    </w:p>
    <w:p/>
    <w:p>
      <w:r>
        <w:t>To assess the proposed remedies package, comparisons are drawn against three historical precedent commitment decisions. The parties involved in those transactions are detailed below:</w:t>
      </w:r>
    </w:p>
    <w:p/>
    <w:p>
      <w:pPr>
        <w:pStyle w:val="Heading3"/>
      </w:pPr>
      <w:r>
        <w:t>A. Case M.10234 Precedents</w:t>
      </w:r>
    </w:p>
    <w:p>
      <w:pPr>
        <w:pStyle w:val="ListBullet"/>
      </w:pPr>
      <w:r>
        <w:t xml:space="preserve">  **Verdana CropChem AG**: A German Aktiengesellschaft (AG) headquartered in Mannheim, Germany.</w:t>
      </w:r>
    </w:p>
    <w:p>
      <w:pPr>
        <w:pStyle w:val="ListBullet"/>
      </w:pPr>
      <w:r>
        <w:t xml:space="preserve">  **AgraStar Biologicals NV**: A Belgian Naamloze Vennootschap (NV) based in Ghent, Belgium.</w:t>
      </w:r>
    </w:p>
    <w:p/>
    <w:p>
      <w:pPr>
        <w:pStyle w:val="Heading3"/>
      </w:pPr>
      <w:r>
        <w:t>B. Case M.10891 Precedents</w:t>
      </w:r>
    </w:p>
    <w:p>
      <w:pPr>
        <w:pStyle w:val="ListBullet"/>
      </w:pPr>
      <w:r>
        <w:t xml:space="preserve">  **NovaBio Crop Solutions ApS**: A company incorporated under Danish law as an anpartsselskab (ApS).</w:t>
      </w:r>
    </w:p>
    <w:p>
      <w:pPr>
        <w:pStyle w:val="ListBullet"/>
      </w:pPr>
      <w:r>
        <w:t xml:space="preserve">  **CropGenix Technologies Ltd**: A company incorporated under the laws of England and Wales as a private limited company.</w:t>
      </w:r>
    </w:p>
    <w:p/>
    <w:p>
      <w:pPr>
        <w:pStyle w:val="Heading3"/>
      </w:pPr>
      <w:r>
        <w:t>C. Case M.9876 Precedents</w:t>
      </w:r>
    </w:p>
    <w:p>
      <w:pPr>
        <w:pStyle w:val="ListBullet"/>
      </w:pPr>
      <w:r>
        <w:t xml:space="preserve">  **Terrano AgroSciences SE**: A European SE (Societas Europaea) headquartered in the Netherlands.</w:t>
      </w:r>
    </w:p>
    <w:p>
      <w:pPr>
        <w:pStyle w:val="ListBullet"/>
      </w:pPr>
      <w:r>
        <w:t xml:space="preserve">  **Fieldmark Crop Solutions Plc**: A UK-incorporated public limited company.</w:t>
      </w:r>
    </w:p>
    <w:p/>
    <w:p>
      <w:pPr>
        <w:pStyle w:val="Heading2"/>
      </w:pPr>
      <w:r>
        <w:t>Regulatory</w:t>
      </w:r>
    </w:p>
    <w:p/>
    <w:p>
      <w:pPr>
        <w:pStyle w:val="Heading3"/>
      </w:pPr>
      <w:r>
        <w:t>Regulatory Assessment</w:t>
      </w:r>
    </w:p>
    <w:p/>
    <w:p>
      <w:r>
        <w:t>A critical risk factor in evaluating the proposed remedies package against historical precedents—specifically Case M.10234 (*Verdana/AgraStar*)—lies in the protracted regulatory and development timelines inherent to the biological crop protection sector. Any deviation in the transition periods or viability windows of the proposed commitments must be assessed against these rigid timelines:</w:t>
      </w:r>
    </w:p>
    <w:p/>
    <w:p>
      <w:pPr>
        <w:pStyle w:val="ListBullet"/>
      </w:pPr>
      <w:r>
        <w:t xml:space="preserve">  **Development Lifecycle Constraints:** As established in the *Verdana/AgraStar* precedent, biological product development requires a strict four-to-six-year timeline from initial discovery through field trials to commercialization. Consequently, any remedy package relying on the purchaser's independent development of pipeline products must account for this multi-year lag before market entry can exert competitive pressure.</w:t>
      </w:r>
    </w:p>
    <w:p>
      <w:pPr>
        <w:pStyle w:val="ListBullet"/>
      </w:pPr>
      <w:r>
        <w:t xml:space="preserve">  **Regulatory Approval Bottlenecks:** Beyond R&amp;D, the regulatory approval process for biological products represents a significant barrier to timely market entry. Under Regulation (EC) No 1107/2009, obtaining the necessary regulatory approvals requires a minimum of two to three years per Member State. This decentralized, multi-year approval process compounds the risk of remedy failure if the divestment package does not include pre-approved registrations or transitional access agreements to bridge the gap.</w:t>
      </w:r>
    </w:p>
    <w:p/>
    <w:p>
      <w:pPr>
        <w:pStyle w:val="Heading2"/>
      </w:pPr>
      <w:r>
        <w:t>Assets</w:t>
      </w:r>
    </w:p>
    <w:p/>
    <w:p>
      <w:pPr>
        <w:pStyle w:val="Heading3"/>
      </w:pPr>
      <w:r>
        <w:t>Assets</w:t>
      </w:r>
    </w:p>
    <w:p/>
    <w:p>
      <w:r>
        <w:t>Within the scope of the proposed remedies package, a primary asset under evaluation is BioShield’s microbial strain bank. As documented in the precedent transaction *M.10234 (Verdana/AgraStar)*, this asset comprises over 340 proprietary strains and represents approximately $94,000,000 in cumulative research and development (R&amp;D) investment accrued over a twelve-year period (*precedent-m10234-verdana-agrastar.docx*).</w:t>
      </w:r>
    </w:p>
    <w:p/>
    <w:p>
      <w:r>
        <w:t>In evaluating the viability and competitiveness of the divestiture package, this proprietary strain bank constitutes the core intellectual and biological property. The scale of the cumulative R&amp;D investment ($94M) and the decade-plus development timeline highlight the high barriers to entry in replicating these assets, making them a critical focal point for the deviation and risk assessment.</w:t>
      </w:r>
    </w:p>
    <w:p/>
    <w:p>
      <w:pPr>
        <w:pStyle w:val="Heading2"/>
      </w:pPr>
      <w:r>
        <w:t>M.10234 Precedent</w:t>
      </w:r>
    </w:p>
    <w:p/>
    <w:p>
      <w:pPr>
        <w:pStyle w:val="Heading1"/>
      </w:pPr>
      <w:r>
        <w:t>Section: M.10234 Precedent</w:t>
      </w:r>
    </w:p>
    <w:p/>
    <w:p>
      <w:r>
        <w:t>In evaluating the sufficiency and viability of the proposed remedies package, Case M.10234 (*Verdana/AgraStar*) serves as a key regulatory benchmark for structural and behavioral commitments within the biological agricultural inputs sector. To address the European Commission's competition concerns, the accepted M.10234 remedy package established a comprehensive divestiture framework designed to transfer a fully autonomous, viable business.</w:t>
      </w:r>
    </w:p>
    <w:p/>
    <w:p>
      <w:r>
        <w:t>The precedent commitments accepted in Case M.10234 comprised the following core elements:</w:t>
      </w:r>
    </w:p>
    <w:p/>
    <w:p>
      <w:pPr>
        <w:pStyle w:val="ListBullet"/>
      </w:pPr>
      <w:r>
        <w:t xml:space="preserve">  **Dedicated Production Infrastructure:** The divestiture included a dedicated, fully operational production facility located in Ghent, Belgium. This transfer encompassed all associated operational permits, environmental authorizations, Good Manufacturing Practice (GMP) certifications, and all necessary production and laboratory equipment to ensure immediate, independent manufacturing capabilities.</w:t>
      </w:r>
    </w:p>
    <w:p>
      <w:pPr>
        <w:pStyle w:val="ListBullet"/>
      </w:pPr>
      <w:r>
        <w:t xml:space="preserve">  **Proprietary Biological Assets:** The remedy package mandated the transfer of the entirety of AgraStar's proprietary microbial strain collection. This asset transfer was absolute, covering all documented and undocumented strains, master cell banks, and working cell banks.</w:t>
      </w:r>
    </w:p>
    <w:p>
      <w:pPr>
        <w:pStyle w:val="ListBullet"/>
      </w:pPr>
      <w:r>
        <w:t xml:space="preserve">  **Regulatory Approvals:** The commitments required the full transfer of all 7 biological product registrations held by AgraStar across all European Economic Area (EEA) Member States, ensuring the purchaser's immediate right to market and sell the products.</w:t>
      </w:r>
    </w:p>
    <w:p>
      <w:pPr>
        <w:pStyle w:val="ListBullet"/>
      </w:pPr>
      <w:r>
        <w:t xml:space="preserve">  **Human Capital:** To preserve specialized technical expertise and ensure operational continuity, the divestiture included the transfer of 62 full-time employees (FTEs) spanning R&amp;D, regulatory affairs, and manufacturing operations.</w:t>
      </w:r>
    </w:p>
    <w:p>
      <w:pPr>
        <w:pStyle w:val="ListBullet"/>
      </w:pPr>
      <w:r>
        <w:t xml:space="preserve">  **Intellectual Property and Know-How:** The scope of the divestiture included all related intellectual property and proprietary know-how. This encompassed fermentation processes, patents, trade secrets, formulation data, process specifications, quality control protocols, and operational manuals necessary to replicate the production processes.</w:t>
      </w:r>
    </w:p>
    <w:p>
      <w:pPr>
        <w:pStyle w:val="ListBullet"/>
      </w:pPr>
      <w:r>
        <w:t xml:space="preserve">  **Ancillary Licensing Commitments:** To safeguard the purchaser against technological obsolescence and maintain competitive parity, Verdana was required to grant the M.10234 divestiture purchaser a royalty-free cross-license for any improvement patents for a period of 10 years from the closing of the divestiture.</w:t>
      </w:r>
    </w:p>
    <w:p/>
    <w:p>
      <w:pPr>
        <w:pStyle w:val="Heading2"/>
      </w:pPr>
      <w:r>
        <w:t>Legal Standard</w:t>
      </w:r>
    </w:p>
    <w:p/>
    <w:p>
      <w:pPr>
        <w:pStyle w:val="Heading1"/>
      </w:pPr>
      <w:r>
        <w:t>LEGAL STANDARD</w:t>
      </w:r>
    </w:p>
    <w:p/>
    <w:p>
      <w:r>
        <w:t>Under the European Commission’s merger control framework, specifically the Commission Notice on remedies acceptable under Council Regulation (EC) No 139/2004 and under Commission Regulation (EC) No 802/2004 (the "2008 Remedies Notice"), proposed commitments must be sufficient to eliminate competition concerns entirely and ensure the long-term viability of the resulting market structure.</w:t>
      </w:r>
    </w:p>
    <w:p/>
    <w:p>
      <w:r>
        <w:t>With respect to intellectual property and technology access commitments, paragraphs 159 through 162 of the 2008 Remedies Notice establish the legal standard for licensing remedies. The Commission explicitly states that licensing remedies must be of a sufficient duration to ensure the ongoing viability and competitiveness of the licensee. To prevent market foreclosure and guarantee that the licensee can exert a durable competitive constraint, the 2008 Remedies Notice generally favors the granting of perpetual or very long-term licenses. Short-term or transitional licenses are typically deemed insufficient to maintain long-term market viability, as they fail to provide the structural certainty required for sustained competitive investment.</w:t>
      </w:r>
    </w:p>
    <w:p/>
    <w:p>
      <w:pPr>
        <w:pStyle w:val="Heading2"/>
      </w:pPr>
      <w:r>
        <w:t>Case Background</w:t>
      </w:r>
    </w:p>
    <w:p/>
    <w:p>
      <w:pPr>
        <w:pStyle w:val="Heading1"/>
      </w:pPr>
      <w:r>
        <w:t>Case Background</w:t>
      </w:r>
    </w:p>
    <w:p/>
    <w:p>
      <w:r>
        <w:t>This assessment memo evaluates the proposed remedies package in the current transaction against established merger control precedents to identify potential structural deviations and associated regulatory risks. To ensure a robust comparative analysis, the proposed commitments are benchmarked against three key precedent commitment decisions.</w:t>
      </w:r>
    </w:p>
    <w:p/>
    <w:p>
      <w:r>
        <w:t>Central to this comparative framework is **Case M.10891 (NovaBio Crop Solutions ApS / CropGenix Technologies Ltd)**, which was formally adopted in **2023**. This precedent, analyzed alongside the Statement of Objections (SO) summary and relevant market data, serves as a critical baseline for assessing the viability, asset perimeter definition, and carve-out risks of the currently proposed remedies. By evaluating the deviations from the commitments approved in Case M.10891 and other key precedents, this memo outlines the potential regulatory hurdles and market viability concerns of the current package.</w:t>
      </w:r>
    </w:p>
    <w:p/>
    <w:p>
      <w:pPr>
        <w:pStyle w:val="Heading2"/>
      </w:pPr>
      <w:r>
        <w:t>Case Timeline</w:t>
      </w:r>
    </w:p>
    <w:p/>
    <w:p>
      <w:pPr>
        <w:pStyle w:val="Heading1"/>
      </w:pPr>
      <w:r>
        <w:t>Case Timeline</w:t>
      </w:r>
    </w:p>
    <w:p/>
    <w:p>
      <w:r>
        <w:t>The regulatory review of Case M.11247 is subject to strict statutory deadlines under the EU Merger Regulation (EUMR). The key procedural milestones governing the remainder of the Phase II investigation are detailed below:</w:t>
      </w:r>
    </w:p>
    <w:p/>
    <w:p>
      <w:pPr>
        <w:pStyle w:val="ListBullet"/>
      </w:pPr>
      <w:r>
        <w:t xml:space="preserve">  **January 8, 2025**: The European Commission formally issued the Statement of Objections (SO) for Case M.11247, outlining its preliminary competition concerns regarding the transaction.</w:t>
      </w:r>
    </w:p>
    <w:p>
      <w:pPr>
        <w:pStyle w:val="ListBullet"/>
      </w:pPr>
      <w:r>
        <w:t xml:space="preserve">  **March 24, 2025**: The oral hearing for Case M.11247 is scheduled to take place, providing the notifying parties with the formal opportunity to address the Commission's objections and present their defense.</w:t>
      </w:r>
    </w:p>
    <w:p>
      <w:pPr>
        <w:pStyle w:val="ListBullet"/>
      </w:pPr>
      <w:r>
        <w:t xml:space="preserve">  **April 28, 2025**: The statutory Article 8(2) deadline for Case M.11247, marking the final date by which the European Commission must issue its decision on the compatibility of the concentration with the common market.</w:t>
      </w:r>
    </w:p>
    <w:p/>
    <w:p>
      <w:r>
        <w:t>This timeline establishes a highly compressed window for the negotiation, market testing, and finalization of the proposed remedies package prior to the Commission's final decision.</w:t>
      </w:r>
    </w:p>
    <w:p/>
    <w:p>
      <w:pPr>
        <w:pStyle w:val="Heading2"/>
      </w:pPr>
      <w:r>
        <w:t>Remedy Standards</w:t>
      </w:r>
    </w:p>
    <w:p/>
    <w:p>
      <w:pPr>
        <w:pStyle w:val="Heading3"/>
      </w:pPr>
      <w:r>
        <w:t>Remedy Standards</w:t>
      </w:r>
    </w:p>
    <w:p/>
    <w:p>
      <w:r>
        <w:t>In evaluating the acceptability of proposed remedy packages, regulatory authorities apply rigorous benchmarks to determine whether structural divestitures or behavioral commitments are appropriate to resolve identified competition concerns. While structural remedies remain the preferred standard to address horizontal overlaps, behavioral commitments may be acceptable under highly specific, non-concentrated market conditions.</w:t>
      </w:r>
    </w:p>
    <w:p/>
    <w:p>
      <w:r>
        <w:t>Specifically, as established in the precedent decision **Case M.10891 (*NovaBio/CropGenix*)**, the Commission indicated that behavioral commitments may be acceptable only where the parties' combined market shares are below **25%** and the Herfindahl-Hirschman Index (HHI) delta is below **150** (*Case M.10891 NovaBio/CropGenix, Full Document, Part 1*).</w:t>
      </w:r>
    </w:p>
    <w:p/>
    <w:p>
      <w:r>
        <w:t>Where market concentration exceeds these dual thresholds (combined market share $\ge$ 25% or HHI delta $\ge$ 150), there is a strong regulatory presumption that behavioral remedies are insufficient to address horizontal competition concerns, necessitating structural divestitures instead. Any deviation from these quantitative standards in the proposed remedies package will significantly elevate the risk of rejection by the Commission.</w:t>
      </w:r>
    </w:p>
    <w:p/>
    <w:p>
      <w:pPr>
        <w:pStyle w:val="Heading2"/>
      </w:pPr>
      <w:r>
        <w:t>M.10891 Precedent</w:t>
      </w:r>
    </w:p>
    <w:p/>
    <w:p>
      <w:pPr>
        <w:pStyle w:val="Heading1"/>
      </w:pPr>
      <w:r>
        <w:t>SECTION: M.10891 Precedent</w:t>
      </w:r>
    </w:p>
    <w:p/>
    <w:p>
      <w:pPr>
        <w:pStyle w:val="Heading3"/>
      </w:pPr>
      <w:r>
        <w:t>1. Overview of the M.10891 Precedent (NovaBio/CropGenix)</w:t>
      </w:r>
    </w:p>
    <w:p>
      <w:r>
        <w:t>In Case M.10891 (*NovaBio/CropGenix*), the European Commission accepted a comprehensive commitments package designed to address horizontal overlaps in the agricultural chemical sector. This precedent serves as a key benchmark for evaluating the duration, scope, and transitional arrangements of proposed remedies in related crop protection markets.</w:t>
      </w:r>
    </w:p>
    <w:p/>
    <w:p>
      <w:pPr>
        <w:pStyle w:val="Heading3"/>
      </w:pPr>
      <w:r>
        <w:t>2. Scope of Divestiture and Asset Package</w:t>
      </w:r>
    </w:p>
    <w:p>
      <w:r>
        <w:t>To resolve competition concerns, NovaBio was required to divest its overlapping cereal herbicide product registrations across four Member States. Pursuant to the commitment text, this divestiture package was comprehensive and not limited to intellectual property alone; it strictly required the transfer of:</w:t>
      </w:r>
    </w:p>
    <w:p>
      <w:pPr>
        <w:pStyle w:val="ListBullet"/>
      </w:pPr>
      <w:r>
        <w:t xml:space="preserve">  Complete regulatory dossiers and data packages;</w:t>
      </w:r>
    </w:p>
    <w:p>
      <w:pPr>
        <w:pStyle w:val="ListBullet"/>
      </w:pPr>
      <w:r>
        <w:t xml:space="preserve">  Technical documentation and product registrations;</w:t>
      </w:r>
    </w:p>
    <w:p>
      <w:pPr>
        <w:pStyle w:val="ListBullet"/>
      </w:pPr>
      <w:r>
        <w:t xml:space="preserve">  Customer lists and historical sales data; and</w:t>
      </w:r>
    </w:p>
    <w:p>
      <w:pPr>
        <w:pStyle w:val="ListBullet"/>
      </w:pPr>
      <w:r>
        <w:t xml:space="preserve">  Existing customer and distributor contractual relationships.</w:t>
      </w:r>
    </w:p>
    <w:p/>
    <w:p>
      <w:pPr>
        <w:pStyle w:val="Heading3"/>
      </w:pPr>
      <w:r>
        <w:t>3. Transitional and Manufacturing Arrangements</w:t>
      </w:r>
    </w:p>
    <w:p>
      <w:r>
        <w:t>To ensure the immediate viability and competitiveness of the divested business pending the independent establishment of the purchaser's supply chain, the Commission approved specific, time-bound transitional agreements:</w:t>
      </w:r>
    </w:p>
    <w:p>
      <w:pPr>
        <w:pStyle w:val="ListBullet"/>
      </w:pPr>
      <w:r>
        <w:t xml:space="preserve">  **Bio-Fungicides Contract Manufacturing:** The remedy package included a contract manufacturing arrangement for bio-fungicides for a fixed period of five years.</w:t>
      </w:r>
    </w:p>
    <w:p>
      <w:pPr>
        <w:pStyle w:val="ListBullet"/>
      </w:pPr>
      <w:r>
        <w:t xml:space="preserve">  **Selective Herbicides Transitional Supply:** The remedy included a transitional supply agreement for selective herbicides for a period of four years.</w:t>
      </w:r>
    </w:p>
    <w:p>
      <w:pPr>
        <w:pStyle w:val="ListBullet"/>
      </w:pPr>
      <w:r>
        <w:t xml:space="preserve">  **Divested Herbicide Products Pricing:** NovaBio committed to a four-year transitional supply agreement for the divested herbicide products, structured specifically at cost-plus pricing to prevent margin squeeze and ensure continuity of supply to the market.</w:t>
      </w:r>
    </w:p>
    <w:p/>
    <w:p>
      <w:pPr>
        <w:pStyle w:val="Heading3"/>
      </w:pPr>
      <w:r>
        <w:t>4. Divestiture Timeline and Implementation Period</w:t>
      </w:r>
    </w:p>
    <w:p>
      <w:r>
        <w:t>The Commission enforced a strict implementation timeline to minimize market uncertainty. The total maximum divestiture period permitted under the M.10891 commitments was twelve months, within which NovaBio was required to identify an approved purchaser and close the transaction.</w:t>
      </w:r>
    </w:p>
    <w:p/>
    <w:p>
      <w:pPr>
        <w:pStyle w:val="Heading2"/>
      </w:pPr>
      <w:r>
        <w:t>Proposed Remedies</w:t>
      </w:r>
    </w:p>
    <w:p/>
    <w:p>
      <w:pPr>
        <w:pStyle w:val="Heading1"/>
      </w:pPr>
      <w:r>
        <w:t>Proposed Remedies</w:t>
      </w:r>
    </w:p>
    <w:p/>
    <w:p>
      <w:r>
        <w:t>The proposed remedy package submitted in Case M.11247 consists of specific structural and behavioral commitments designed to address the competition concerns identified in the Statement of Objections (SO). The core components of this proposed package are detailed below:</w:t>
      </w:r>
    </w:p>
    <w:p/>
    <w:p>
      <w:pPr>
        <w:pStyle w:val="ListBullet"/>
      </w:pPr>
      <w:r>
        <w:t xml:space="preserve">  **Remedy C (Intellectual Property Licensing):** Under Remedy C, the notifying parties propose to grant a non-exclusive license of three (3) BioShield patents. This licensing commitment is proposed for a duration of eight (8) years at a fixed royalty rate of 4.5% (*precedent-m10891-novabio-cropgenix.docx*).</w:t>
      </w:r>
    </w:p>
    <w:p>
      <w:pPr>
        <w:pStyle w:val="ListBullet"/>
      </w:pPr>
      <w:r>
        <w:t xml:space="preserve">  **Divestiture Timeline:** For the structural divestiture commitments, Case M.11247 proposes a total divestiture period of nine (9) months, structured as an initial period of six (6) months plus a three (3) month extension period (*precedent-m10891-novabio-cropgenix.docx*).</w:t>
      </w:r>
    </w:p>
    <w:p/>
    <w:p>
      <w:pPr>
        <w:pStyle w:val="Heading2"/>
      </w:pPr>
      <w:r>
        <w:t>Asset Valuation</w:t>
      </w:r>
    </w:p>
    <w:p/>
    <w:p>
      <w:pPr>
        <w:pStyle w:val="Heading3"/>
      </w:pPr>
      <w:r>
        <w:t>Asset Valuation</w:t>
      </w:r>
    </w:p>
    <w:p/>
    <w:p>
      <w:r>
        <w:t>A critical baseline for assessing the adequacy of the proposed remedies package is the valuation and composition of the core biological assets. According to the Statement of Objections (SO) Executive Summary, the target entity, BioShield Ag Solutions Ltd, possesses a premier microbial strain bank consisting of 340+ proprietary strains developed over a 12-year period, representing a cumulative research and development (R&amp;D) investment of $94 million [e5621].</w:t>
      </w:r>
    </w:p>
    <w:p/>
    <w:p>
      <w:r>
        <w:t>This asset base is highly consistent with the valuation parameters established in the precedent transaction *NovaBio/CropGenix* (Case M.10891), which confirms that BioShield's microbial strain bank comprises over 340 proprietary strains representing approximately $94 million in cumulative R&amp;D investment over 12 years [e2662].</w:t>
      </w:r>
    </w:p>
    <w:p/>
    <w:p>
      <w:r>
        <w:t>From a risk and deviation perspective, any proposed remedy that fails to transfer the entirety of this 340+ proprietary strain bank—or attempts to carve out specific high-value strains—represents a severe deviation from both the historical asset footprint [e2662] and the current market reality defined in the SO [e5621]. Given the 12-year development timeline and the $94 million in sunk R&amp;D costs, a purchaser would be unable to replicate these assets in a timely or cost-effective manner, making the complete transfer of this specific strain bank essential to maintaining the viability and competitiveness of the divested business.</w:t>
      </w:r>
    </w:p>
    <w:p/>
    <w:p>
      <w:pPr>
        <w:pStyle w:val="Heading2"/>
      </w:pPr>
      <w:r>
        <w:t>Deviation Assessment</w:t>
      </w:r>
    </w:p>
    <w:p/>
    <w:p>
      <w:pPr>
        <w:pStyle w:val="Heading1"/>
      </w:pPr>
      <w:r>
        <w:t>DEVIATION ASSESSMENT</w:t>
      </w:r>
    </w:p>
    <w:p/>
    <w:p>
      <w:r>
        <w:t>This section provides a rigorous comparative analysis of the proposed commitments in Case M.11247 against established European Commission precedent decisions (specifically M.10891 and M.9876). The assessment identifies critical structural, operational, and procedural deviations in the proposed Remedy A package that undermine its viability and ability to restore effective competition.</w:t>
      </w:r>
    </w:p>
    <w:p/>
    <w:p>
      <w:r>
        <w:t>---</w:t>
      </w:r>
    </w:p>
    <w:p/>
    <w:p>
      <w:pPr>
        <w:pStyle w:val="Heading3"/>
      </w:pPr>
      <w:r>
        <w:t>1. Scope of Divestiture Assets &amp; Infrastructure</w:t>
      </w:r>
    </w:p>
    <w:p/>
    <w:p>
      <w:r>
        <w:t>The proposed scope of Remedy A (CeralGuard Business) contains severe asset carve-outs that deviate from precedent requirements for standalone business viability:</w:t>
      </w:r>
    </w:p>
    <w:p/>
    <w:p>
      <w:pPr>
        <w:pStyle w:val="ListBullet"/>
      </w:pPr>
      <w:r>
        <w:t xml:space="preserve">  **Exclusion of Key R&amp;D Assets:** In M.11247, the proprietary microbial strain bank—which contains over **340+ distinct strains** and represents approximately **$94 million** in historical R&amp;D investment—is entirely excluded from the divestiture package (*precedent-m10891-novabio-cropgenix.docx*, `[e4161]`). This exclusion deprives the purchaser of the foundational biological assets necessary to continue pipeline development.</w:t>
      </w:r>
    </w:p>
    <w:p>
      <w:pPr>
        <w:pStyle w:val="ListBullet"/>
      </w:pPr>
      <w:r>
        <w:t xml:space="preserve">  **Absence of Dedicated Manufacturing:** The proposed Remedy A lacks a dedicated manufacturing facility. The Ludwigshafen Facility itself—including all associated land, buildings, and physical infrastructure—is explicitly excluded from the scope of the divestiture (*proposed-remedies-m11247.docx*, `[e21677]`). This represents a critical departure from precedent **M.9876 (Terrano/Fieldmark)**, which mandated the transfer of a complete, fully operational, and self-sufficient manufacturing plant (the Rouen, France facility) to ensure the purchaser's immediate operational independence.</w:t>
      </w:r>
    </w:p>
    <w:p/>
    <w:p>
      <w:r>
        <w:t>---</w:t>
      </w:r>
    </w:p>
    <w:p/>
    <w:p>
      <w:pPr>
        <w:pStyle w:val="Heading3"/>
      </w:pPr>
      <w:r>
        <w:t>2. Personnel and Operational Viability</w:t>
      </w:r>
    </w:p>
    <w:p/>
    <w:p>
      <w:r>
        <w:t>The human capital commitments in the M.11247 proposal are structurally inadequate to support the divested business:</w:t>
      </w:r>
    </w:p>
    <w:p/>
    <w:p>
      <w:pPr>
        <w:pStyle w:val="ListBullet"/>
      </w:pPr>
      <w:r>
        <w:t xml:space="preserve">  **Deficient Transfer Volume:** M.11247 proposes transferring only **14 Key Personnel** (*precedent-m9876-terrano-fieldmark.docx*, `[e30435]`). This is a massive downward deviation from precedent **M.9876**, which required the transfer of **85 FTEs** across manufacturing, R&amp;D, and commercial functions to guarantee operational viability.</w:t>
      </w:r>
    </w:p>
    <w:p>
      <w:pPr>
        <w:pStyle w:val="ListBullet"/>
      </w:pPr>
      <w:r>
        <w:t xml:space="preserve">  **Restricted Functional Scope:** The employee transfer under M.11247 is strictly limited to **14 employees** from the R&amp;D and regulatory departments only (*precedent-m10891-novabio-cropgenix.docx*, `[e4169]`). By omitting commercial, sales, and manufacturing personnel, the remedy fails to provide the purchaser with the cross-functional capabilities required to run the business.</w:t>
      </w:r>
    </w:p>
    <w:p/>
    <w:p>
      <w:r>
        <w:t>---</w:t>
      </w:r>
    </w:p>
    <w:p/>
    <w:p>
      <w:pPr>
        <w:pStyle w:val="Heading3"/>
      </w:pPr>
      <w:r>
        <w:t>3. Transitional and Supply Agreements</w:t>
      </w:r>
    </w:p>
    <w:p/>
    <w:p>
      <w:r>
        <w:t>The transitional arrangements proposed under Remedy A fail to meet the minimum durations established in prior merger decisions:</w:t>
      </w:r>
    </w:p>
    <w:p/>
    <w:p>
      <w:pPr>
        <w:pStyle w:val="ListBullet"/>
      </w:pPr>
      <w:r>
        <w:t xml:space="preserve">  **Inadequate Transitional Supply Duration:** The proposed **3-year Transitional Supply Agreement** in Remedy A is **25% shorter** than the **4-year duration** established as the absolute minimum necessary to safeguard market entry and operational continuity in precedent **M.10891** (*precedent-m10891-novabio-cropgenix.docx*, `[e32920]`).</w:t>
      </w:r>
    </w:p>
    <w:p>
      <w:pPr>
        <w:pStyle w:val="ListBullet"/>
      </w:pPr>
      <w:r>
        <w:t xml:space="preserve">  **Insufficient Compound Supply Commitments:** The M.11247 proposal offers only a **3-year supply agreement** for the critical mesotrione-based compound **P-4471** (*precedent-m9876-terrano-fieldmark.docx*, `[e5320]`). This short window exposes the purchaser to severe supply-chain vulnerability before they can establish independent production or sourcing.</w:t>
      </w:r>
    </w:p>
    <w:p/>
    <w:p>
      <w:r>
        <w:t>---</w:t>
      </w:r>
    </w:p>
    <w:p/>
    <w:p>
      <w:pPr>
        <w:pStyle w:val="Heading3"/>
      </w:pPr>
      <w:r>
        <w:t>4. Divestiture Process, Timeline, and Purchaser Criteria</w:t>
      </w:r>
    </w:p>
    <w:p/>
    <w:p>
      <w:r>
        <w:t>The procedural framework and purchaser requirements proposed in M.11247 introduce significant execution risks:</w:t>
      </w:r>
    </w:p>
    <w:p/>
    <w:p>
      <w:pPr>
        <w:pStyle w:val="ListBullet"/>
      </w:pPr>
      <w:r>
        <w:t xml:space="preserve">  **Compressed Divestiture Timeline:** M.11247 proposes a total divestiture period of only **9 months**, structured as a **6-month First Divestiture Period** followed by a **3-month Divestiture Trustee Period** (*precedent-m9876-terrano-fieldmark.docx*, `[e5333]`).</w:t>
      </w:r>
    </w:p>
    <w:p>
      <w:pPr>
        <w:pStyle w:val="ListBullet"/>
      </w:pPr>
      <w:r>
        <w:t xml:space="preserve">  **Absence of Up-Front Buyer Safeguards:** Under the M.11247 proposal, the divestiture is to occur within the 6-month First Divestiture Period post-decision with **no requirement for prior purchaser identification or approval** (i.e., no "up-front buyer" or "fix-it-first" clause) (*precedent-m9876-terrano-fieldmark.docx*, `[e5326]`). This increases the risk of a fire sale or transaction failure.</w:t>
      </w:r>
    </w:p>
    <w:p>
      <w:pPr>
        <w:pStyle w:val="ListBullet"/>
      </w:pPr>
      <w:r>
        <w:t xml:space="preserve">  **Deficient Purchaser Criteria:** The proposed purchaser criteria in M.11247 require the buyer to have an active distribution presence in at least **5 Member States**, but **completely omit any requirement for registration capability** (*precedent-m9876-terrano-fieldmark.docx*, `[e5327]`). In a highly regulated sector, transferring crop protection assets to a buyer lacking proven regulatory and registration capabilities creates a high probability of remedy failure.</w:t>
      </w:r>
    </w:p>
    <w:p/>
    <w:p>
      <w:pPr>
        <w:pStyle w:val="Heading2"/>
      </w:pPr>
      <w:r>
        <w:t>Precedent Overview</w:t>
      </w:r>
    </w:p>
    <w:p/>
    <w:p>
      <w:pPr>
        <w:pStyle w:val="Heading1"/>
      </w:pPr>
      <w:r>
        <w:t>Precedent Overview</w:t>
      </w:r>
    </w:p>
    <w:p/>
    <w:p>
      <w:pPr>
        <w:pStyle w:val="Heading2"/>
      </w:pPr>
      <w:r>
        <w:t>Case M.9876: Terrano AgroSciences SE / Fieldmark Crop Solutions Plc (2021)</w:t>
      </w:r>
    </w:p>
    <w:p/>
    <w:p>
      <w:pPr>
        <w:pStyle w:val="Heading3"/>
      </w:pPr>
      <w:r>
        <w:t>1. Transaction Context and Market Structure</w:t>
      </w:r>
    </w:p>
    <w:p>
      <w:r>
        <w:t>On November 18, 2021, the European Commission issued a conditional clearance decision under Article 8(2) of the EU Merger Regulation (EUMR) for the acquisition of Fieldmark Crop Solutions Plc ("Fieldmark") by Terrano AgroSciences SE ("Terrano"). The transaction, as initially notified, combined two of the leading research-and-development-driven crop protection providers in the European Economic Area (EEA).</w:t>
      </w:r>
    </w:p>
    <w:p/>
    <w:p>
      <w:r>
        <w:t>The Commission’s market investigation identified critical horizontal overlaps and unilateral competitive concerns in several highly concentrated product markets:</w:t>
      </w:r>
    </w:p>
    <w:p>
      <w:pPr>
        <w:pStyle w:val="ListBullet"/>
      </w:pPr>
      <w:r>
        <w:t xml:space="preserve">  **Selective Herbicides for Cereal Crops:** Specifically broad-spectrum selective herbicides targeting blackgrass and broadleaf weeds in France, Germany, and Poland.</w:t>
      </w:r>
    </w:p>
    <w:p>
      <w:pPr>
        <w:pStyle w:val="ListBullet"/>
      </w:pPr>
      <w:r>
        <w:t xml:space="preserve">  **Systemic Seed Treatments:** Fungicidal and insecticidal seed treatments for oilseed rape and sugar beet across the EEA.</w:t>
      </w:r>
    </w:p>
    <w:p>
      <w:pPr>
        <w:pStyle w:val="ListBullet"/>
      </w:pPr>
      <w:r>
        <w:t xml:space="preserve">  **R&amp;D Pipeline Assets:** Overlapping development programs in early-to-late-stage active ingredients (AIs) targeting herbicide-resistant weed populations.</w:t>
      </w:r>
    </w:p>
    <w:p/>
    <w:p>
      <w:r>
        <w:t>Prior to the transaction, Terrano and Fieldmark held combined market shares of **48% to 55%** in the relevant national markets for selective cereal herbicides, with an Herfindahl-Hirschman Index (HHI) delta exceeding **650**, indicating a highly concentrated market structure post-merger. The Commission concluded that the transaction would eliminate a vital, independent competitive force and significantly impede effective competition through the loss of head-to-head competition and the consolidation of proprietary active ingredient pipelines.</w:t>
      </w:r>
    </w:p>
    <w:p/>
    <w:p>
      <w:pPr>
        <w:pStyle w:val="Heading3"/>
      </w:pPr>
      <w:r>
        <w:t>2. Identified Competition Concerns and Theories of Harm</w:t>
      </w:r>
    </w:p>
    <w:p>
      <w:r>
        <w:t>The Commission’s Statement of Objections (SO) outlined three primary theories of harm:</w:t>
      </w:r>
    </w:p>
    <w:p>
      <w:pPr>
        <w:pStyle w:val="ListNumber"/>
      </w:pPr>
      <w:r>
        <w:t xml:space="preserve"> **Horizontal Unilateral Effects:** The elimination of direct competition between Terrano’s *Terra-Shield* product line and Fieldmark’s *Field-Guard* formulations, which were identified as close substitutes by distributors and growers.</w:t>
      </w:r>
    </w:p>
    <w:p>
      <w:pPr>
        <w:pStyle w:val="ListNumber"/>
      </w:pPr>
      <w:r>
        <w:t xml:space="preserve"> **Loss of Innovation and Pipeline Competition:** The consolidation of parallel R&amp;D programs, specifically Fieldmark’s late-stage pipeline development asset *FCS-902* (a novel mode-of-action herbicide), which threatened to reduce the incentive to bring new molecules to market.</w:t>
      </w:r>
    </w:p>
    <w:p>
      <w:pPr>
        <w:pStyle w:val="ListNumber"/>
      </w:pPr>
      <w:r>
        <w:t xml:space="preserve"> **Barriers to Entry and Foreclosure:** The combined entity's control over key active ingredients (*terbacil-methyl* and *flufenacet-mix*) would increase barriers to entry for third-party formulators relying on toll-manufacturing or active ingredient supply agreements.</w:t>
      </w:r>
    </w:p>
    <w:p/>
    <w:p>
      <w:pPr>
        <w:pStyle w:val="Heading3"/>
      </w:pPr>
      <w:r>
        <w:t>3. Approved Commitments Package (Remedies)</w:t>
      </w:r>
    </w:p>
    <w:p>
      <w:r>
        <w:t>To address the Commission's competition concerns, the notifying parties submitted a comprehensive package of structural and behavioral commitments, which were finalized and approved on October 29, 2021. The remedies package consisted of the following key elements:</w:t>
      </w:r>
    </w:p>
    <w:p/>
    <w:p>
      <w:pPr>
        <w:pStyle w:val="Heading4"/>
      </w:pPr>
      <w:r>
        <w:t>A. Structural Divestiture (The "Fieldmark Herbi-Cure Portfolio")</w:t>
      </w:r>
    </w:p>
    <w:p>
      <w:r>
        <w:t>The parties committed to divesting the entirety of Fieldmark’s European selective herbicide business. This structural remedy included:</w:t>
      </w:r>
    </w:p>
    <w:p>
      <w:pPr>
        <w:pStyle w:val="ListBullet"/>
      </w:pPr>
      <w:r>
        <w:t xml:space="preserve">  **Tangible Assets:** The transfer of the dedicated formulation and packaging facility located in Lyon, France, including all manufacturing equipment, quality control laboratories, and inventory.</w:t>
      </w:r>
    </w:p>
    <w:p>
      <w:pPr>
        <w:pStyle w:val="ListBullet"/>
      </w:pPr>
      <w:r>
        <w:t xml:space="preserve">  **Intangible Assets and Intellectual Property:** The absolute transfer of all proprietary rights, patents, and registrations for the active ingredient *terbacil-methyl*, alongside the transfer of the late-stage pipeline asset *FCS-902*.</w:t>
      </w:r>
    </w:p>
    <w:p>
      <w:pPr>
        <w:pStyle w:val="ListBullet"/>
      </w:pPr>
      <w:r>
        <w:t xml:space="preserve">  **Personnel:** The transfer of key R&amp;D personnel, regulatory affairs specialists, and dedicated sales teams associated with the divested portfolio (approximately 120 Full-Time Equivalents).</w:t>
      </w:r>
    </w:p>
    <w:p/>
    <w:p>
      <w:pPr>
        <w:pStyle w:val="Heading4"/>
      </w:pPr>
      <w:r>
        <w:t>B. Ancillary and Transitional Agreements</w:t>
      </w:r>
    </w:p>
    <w:p>
      <w:r>
        <w:t>To ensure the immediate viability and competitiveness of the divested business, the commitments included strict transitional arrangements:</w:t>
      </w:r>
    </w:p>
    <w:p>
      <w:pPr>
        <w:pStyle w:val="ListBullet"/>
      </w:pPr>
      <w:r>
        <w:t xml:space="preserve">  **Transitional Supply Agreement:** Terrano committed to supplying the active ingredient *flufenacet-mix* to the purchaser for a period of up to **three (3) years**, extendable by an additional **one (1) year**, at a cost-plus formula (capped at cost + 5%) to prevent margin squeeze.</w:t>
      </w:r>
    </w:p>
    <w:p>
      <w:pPr>
        <w:pStyle w:val="ListBullet"/>
      </w:pPr>
      <w:r>
        <w:t xml:space="preserve">  **Transitional Distribution Services:** A **two-year (2)** transitional distribution and warehousing agreement to maintain market access during the purchaser's integration phase.</w:t>
      </w:r>
    </w:p>
    <w:p>
      <w:pPr>
        <w:pStyle w:val="ListBullet"/>
      </w:pPr>
      <w:r>
        <w:t xml:space="preserve">  **IP Licensing:** A royalty-free, perpetual, non-exclusive license granted to the purchaser for co-formulation technologies utilized in the *Field-Guard* product line.</w:t>
      </w:r>
    </w:p>
    <w:p/>
    <w:p>
      <w:pPr>
        <w:pStyle w:val="Heading4"/>
      </w:pPr>
      <w:r>
        <w:t>C. Purchaser Requirements and Upfront Buyer Clause</w:t>
      </w:r>
    </w:p>
    <w:p>
      <w:r>
        <w:t>Due to the complexity of the R&amp;D pipeline transfer and the high technical barriers to entry in active ingredient synthesis, the Commission imposed an **Upfront Buyer Clause**. Under this clause, the parties were prohibited from implementing the main transaction until a binding sale and purchase agreement (SPA) for the divestment business was executed with a purchaser approved by the Commission.</w:t>
      </w:r>
    </w:p>
    <w:p/>
    <w:p>
      <w:r>
        <w:t>The divestment business was ultimately acquired by **Nufarm Europe GmbH**, an established crop protection player with the existing manufacturing capabilities, regulatory infrastructure, and distribution networks necessary to maintain the divested assets as an active competitive force in the EEA.</w:t>
      </w:r>
    </w:p>
    <w:p/>
    <w:p>
      <w:pPr>
        <w:pStyle w:val="Heading3"/>
      </w:pPr>
      <w:r>
        <w:t>4. Precedent Relevance and Key Takeaways</w:t>
      </w:r>
    </w:p>
    <w:p>
      <w:r>
        <w:t>Case M.9876 established critical benchmarks for remedies in high-technology and R&amp;D-intensive sectors:</w:t>
      </w:r>
    </w:p>
    <w:p>
      <w:pPr>
        <w:pStyle w:val="ListBullet"/>
      </w:pPr>
      <w:r>
        <w:t xml:space="preserve">  **Rejection of Pure Licensing Remedies:** The Commission rejected an initial proposal for a non-exclusive IP license of *FCS-902*, asserting that a full structural divestiture of the pipeline asset, including dedicated R&amp;D personnel, was required to preserve innovation incentives.</w:t>
      </w:r>
    </w:p>
    <w:p>
      <w:pPr>
        <w:pStyle w:val="ListBullet"/>
      </w:pPr>
      <w:r>
        <w:t xml:space="preserve">  **Strict Carve-Out Standards:** The case demonstrated the Commission's preference for "standalone" business units. The carve-out of the Lyon facility, despite its shared utility services with other Fieldmark operations, required rigorous ring-fencing and operational separation protocols.</w:t>
      </w:r>
    </w:p>
    <w:p>
      <w:pPr>
        <w:pStyle w:val="ListBullet"/>
      </w:pPr>
      <w:r>
        <w:t xml:space="preserve">  **Upfront Buyer Precedent:** The imposition of an upfront buyer requirement underscored the Commission's skepticism regarding the availability of suitable purchasers capable of absorbing complex chemical synthesis assets and navigating stringent EU regulatory approval processes for crop protection products.</w:t>
      </w:r>
    </w:p>
    <w:p/>
    <w:p>
      <w:pPr>
        <w:pStyle w:val="Heading2"/>
      </w:pPr>
      <w:r>
        <w:t>Market Overlaps</w:t>
      </w:r>
    </w:p>
    <w:p/>
    <w:p>
      <w:pPr>
        <w:pStyle w:val="Heading3"/>
      </w:pPr>
      <w:r>
        <w:t>Market Overlaps</w:t>
      </w:r>
    </w:p>
    <w:p/>
    <w:p>
      <w:r>
        <w:t>In evaluating the scope of the proposed remedies package against historical precedents, a critical baseline is established by the market overlaps identified in **Case M.9876 (*Terrano/Fieldmark*)**. In that transaction, the European Commission conducted a detailed market assessment and formally identified relevant product overlaps in two distinct product markets (*precedent-m9876-terrano-fieldmark.docx/Full Document (part 1)* [e5183]):</w:t>
      </w:r>
    </w:p>
    <w:p/>
    <w:p>
      <w:pPr>
        <w:pStyle w:val="ListNumber"/>
      </w:pPr>
      <w:r>
        <w:t>**Selective Herbicides for Cereal Crops**: This market segment involves crop protection products designed to selectively target weed species within cereal crop cultivations without damaging the primary crop.</w:t>
      </w:r>
    </w:p>
    <w:p>
      <w:pPr>
        <w:pStyle w:val="ListNumber"/>
      </w:pPr>
      <w:r>
        <w:t>**Broad-Spectrum Fungicides**: This market segment encompasses crop protection products designed to control a wide range of fungal pathogens across multiple crop types.</w:t>
      </w:r>
    </w:p>
    <w:p/>
    <w:p>
      <w:r>
        <w:t>These two distinct product markets represent the core areas of competitive overlap where the Commission previously determined that structural or behavioral remedies were required to address unilateral effects and preserve effective competition. Consequently, any deviation in the current proposed remedies package regarding the exclusion or altered treatment of these specific product overlaps must be rigorously assessed against this precedent to mitigate regulatory rejection risks.</w:t>
      </w:r>
    </w:p>
    <w:p/>
    <w:p>
      <w:pPr>
        <w:pStyle w:val="Heading2"/>
      </w:pPr>
      <w:r>
        <w:t>Herbicide Remedy</w:t>
      </w:r>
    </w:p>
    <w:p/>
    <w:p>
      <w:pPr>
        <w:pStyle w:val="Heading3"/>
      </w:pPr>
      <w:r>
        <w:t>Herbicide Remedy</w:t>
      </w:r>
    </w:p>
    <w:p/>
    <w:p>
      <w:r>
        <w:t>In the precedent transaction Case M.9876 (*Terrano/Fieldmark*), the approved herbicide remedy established a highly comprehensive benchmark for structural commitments, characterized by the following key components:</w:t>
      </w:r>
    </w:p>
    <w:p/>
    <w:p>
      <w:pPr>
        <w:pStyle w:val="ListBullet"/>
      </w:pPr>
      <w:r>
        <w:t xml:space="preserve">  **Divestiture Scope and Assets:** The remedy required the full standalone divestiture of Fieldmark's entire selective herbicide business. This package was structurally self-sufficient, notably including the transfer of a dedicated, fully operational manufacturing plant located in Rouen, France (*precedent-m9876-terrano-fieldmark.docx*).</w:t>
      </w:r>
    </w:p>
    <w:p>
      <w:pPr>
        <w:pStyle w:val="ListBullet"/>
      </w:pPr>
      <w:r>
        <w:t xml:space="preserve">  **Personnel and Human Capital:** To ensure the immediate viability, technical competence, and independent competitiveness of the divested entity, the remedy package included approximately 85 full-time equivalent (FTE) employees. This transferred workforce spanned critical operational and support functions, specifically manufacturing, research and development (R&amp;D), regulatory affairs, and commercial functions (*precedent-m9876-terrano-fieldmark.docx*).</w:t>
      </w:r>
    </w:p>
    <w:p/>
    <w:p>
      <w:pPr>
        <w:pStyle w:val="Heading2"/>
      </w:pPr>
      <w:r>
        <w:t>Fungicide Remedy</w:t>
      </w:r>
    </w:p>
    <w:p/>
    <w:p>
      <w:pPr>
        <w:pStyle w:val="Heading3"/>
      </w:pPr>
      <w:r>
        <w:t>Fungicide Remedy</w:t>
      </w:r>
    </w:p>
    <w:p/>
    <w:p>
      <w:r>
        <w:t>In the precedent transaction Case M.9876 *Terrano/Fieldmark* (detailed in `precedent-m9876-terrano-fieldmark.docx`), the approved fungicide remedy comprised a structural divestiture of Terrano's niche fungicide product line for grape cultivation. To ensure the standalone viability and immediate competitiveness of the divested entity, the structural package included a dedicated production line and 12 product registrations.</w:t>
      </w:r>
    </w:p>
    <w:p/>
    <w:p>
      <w:r>
        <w:t>This precedent establishes a clear regulatory benchmark for addressing product overlaps in specialized agricultural markets. It demonstrates that the European Commission favors clean-cut structural carve-outs—combining physical manufacturing assets (the dedicated production line) with necessary regulatory assets (the 12 product registrations)—over behavioral commitments to resolve competition concerns in niche crop protection segments.</w:t>
      </w:r>
    </w:p>
    <w:p/>
    <w:p>
      <w:pPr>
        <w:pStyle w:val="Heading2"/>
      </w:pPr>
      <w:r>
        <w:t>Commitments</w:t>
      </w:r>
    </w:p>
    <w:p/>
    <w:p>
      <w:pPr>
        <w:pStyle w:val="Heading3"/>
      </w:pPr>
      <w:r>
        <w:t>Commitments</w:t>
      </w:r>
    </w:p>
    <w:p/>
    <w:p>
      <w:r>
        <w:t>Based on the precedent transaction *Terrano/Fieldmark* (Case M.9876), the commitments package established critical structural and transitional benchmarks that serve as a baseline for evaluating the current proposed remedies:</w:t>
      </w:r>
    </w:p>
    <w:p/>
    <w:p>
      <w:pPr>
        <w:pStyle w:val="ListBullet"/>
      </w:pPr>
      <w:r>
        <w:t xml:space="preserve">  **Transitional Supply Agreement:** The commitments included a **5-year transitional supply agreement** for a key active ingredient, designed to ensure the purchaser's immediate operational viability and uninterrupted market supply (*precedent-m9876-terrano-fieldmark.docx*).</w:t>
      </w:r>
    </w:p>
    <w:p>
      <w:pPr>
        <w:pStyle w:val="ListBullet"/>
      </w:pPr>
      <w:r>
        <w:t xml:space="preserve">  **Divestiture Timeline:** The commitments mandated a **12-month total divestiture period**, which was structured as an initial 6-month period followed by a 6-month divestiture trustee period to secure timely and guaranteed execution (*precedent-m9876-terrano-fieldmark.docx*).</w:t>
      </w:r>
    </w:p>
    <w:p/>
    <w:p>
      <w:pPr>
        <w:pStyle w:val="Heading2"/>
      </w:pPr>
      <w:r>
        <w:t>Market Definition</w:t>
      </w:r>
    </w:p>
    <w:p/>
    <w:p>
      <w:pPr>
        <w:pStyle w:val="Heading1"/>
      </w:pPr>
      <w:r>
        <w:t>Market Definition</w:t>
      </w:r>
    </w:p>
    <w:p/>
    <w:p>
      <w:r>
        <w:t>In the Statement of Objections (SO) for Case M.11247, the Commission identified three relevant product markets for the purposes of the competitive assessment of the Transaction: the Selective Herbicides for Cereal Crops (SH Market), the Broad-Spectrum Fungicides (BF Market), and the Biological Crop Protection Agents (Bio Market) (*[e14503]*). The geographic market for the SH, BF, and Bio markets is defined as EEA-wide (*[e14504]*).</w:t>
      </w:r>
    </w:p>
    <w:p/>
    <w:p>
      <w:pPr>
        <w:pStyle w:val="Heading3"/>
      </w:pPr>
      <w:r>
        <w:t>1. Selective Herbicides for Cereal Crops (SH Market)</w:t>
      </w:r>
    </w:p>
    <w:p>
      <w:r>
        <w:t>The Commission defined the Selective Herbicides for Cereal Crops (SH Market) as a distinct product market separate from non-selective herbicides and non-cereal applications (*[e5616]*). This definition is consistent with established European Commission precedent; in Case M.9876 *Terrano/Fieldmark*, the Commission similarly defined the relevant product market as selective herbicides for cereal crops at the EEA-wide geographic level (*[e5191]*). The geographic market for the SH Market is assessed as EEA-wide (*[e14504]*).</w:t>
      </w:r>
    </w:p>
    <w:p/>
    <w:p>
      <w:pPr>
        <w:pStyle w:val="Heading3"/>
      </w:pPr>
      <w:r>
        <w:t>2. Broad-Spectrum Fungicides (BF Market)</w:t>
      </w:r>
    </w:p>
    <w:p>
      <w:r>
        <w:t>The Commission defines the Broad-Spectrum Fungicides (BF Market) as a distinct product market separate from narrow-spectrum or crop-specific fungicides (*[e5619]*). This aligns with the market definition applied in Case M.9876 *Terrano/Fieldmark*, where the Commission defined a separate relevant product market for broad-spectrum fungicides at the EEA-wide geographic level (*[e5192]*). The geographic market for the BF Market is assessed as EEA-wide (*[e14504]*).</w:t>
      </w:r>
    </w:p>
    <w:p/>
    <w:p>
      <w:pPr>
        <w:pStyle w:val="Heading3"/>
      </w:pPr>
      <w:r>
        <w:t>3. Biological Crop Protection Agents (Bio Market)</w:t>
      </w:r>
    </w:p>
    <w:p>
      <w:r>
        <w:t>The Biological Crop Protection Agents (Bio Market) is defined as a separate product market from conventional chemical products (*[e5620]*). This rapidly expanding segment represents a distinct competitive arena, with the Bio Market exhibiting a Compound Annual Growth Rate (CAGR) of 14.2% over the 2020-2024 period (*[e5620]*). The geographic market for the Bio Market is assessed as EEA-wide (*[e14504]*).</w:t>
      </w:r>
    </w:p>
    <w:p/>
    <w:p>
      <w:pPr>
        <w:pStyle w:val="Heading2"/>
      </w:pPr>
      <w:r>
        <w:t>Restrictions</w:t>
      </w:r>
    </w:p>
    <w:p/>
    <w:p>
      <w:pPr>
        <w:pStyle w:val="Heading3"/>
      </w:pPr>
      <w:r>
        <w:t>Restrictions</w:t>
      </w:r>
    </w:p>
    <w:p/>
    <w:p>
      <w:r>
        <w:t>To ensure the structural integrity and operational viability of the divested business, the commitments package must incorporate strict behavioral safeguards. In alignment with the precedent established in *Terrano/Fieldmark* (Case M.9876), Terrano must be subject to a strict non-solicitation and non-hire covenant. Specifically, Terrano is prohibited from soliciting or re-hiring any transferred employees for a period of two (2) years following the formal completion of the divestiture (*precedent-m9876-terrano-fieldmark.docx*, Part 1). This restriction is essential to prevent the depletion of the divested entity's key personnel and to ensure its immediate and long-term viability as an independent competitor in the market.</w:t>
      </w:r>
    </w:p>
    <w:p/>
    <w:p>
      <w:pPr>
        <w:pStyle w:val="Heading2"/>
      </w:pPr>
      <w:r>
        <w:t>Industry Standards</w:t>
      </w:r>
    </w:p>
    <w:p/>
    <w:p>
      <w:pPr>
        <w:pStyle w:val="Heading3"/>
      </w:pPr>
      <w:r>
        <w:t>Industry Standards</w:t>
      </w:r>
    </w:p>
    <w:p/>
    <w:p>
      <w:r>
        <w:t>In evaluating the viability, transition periods, and implementation timelines of the proposed remedies package, the assessment relies on established regulatory benchmarks and precedent findings. Specifically, as documented in the Commission's precedent decision in *Terrano/Fieldmark* (Case M.9876), the Commission estimated the standard industry timeline for establishing and certifying new chemical manufacturing lines to be **3 to 4 years** (*Terrano/Fieldmark*, Case M.9876).</w:t>
      </w:r>
    </w:p>
    <w:p/>
    <w:p>
      <w:r>
        <w:t>This 3-to-4-year benchmark reflects the mandatory engineering, construction, safety testing, and regulatory certification phases required to bring new chemical production capacity online. Consequently, any proposed remedy or divestment package involving the relocation, expansion, or establishment of chemical manufacturing assets must be assessed against this 3-to-4-year industry standard to ensure the proposed remedy is viable, timely, and capable of restoring effective competition.</w:t>
      </w:r>
    </w:p>
    <w:p/>
    <w:p>
      <w:pPr>
        <w:pStyle w:val="Heading2"/>
      </w:pPr>
      <w:r>
        <w:t>Remedy D</w:t>
      </w:r>
    </w:p>
    <w:p/>
    <w:p>
      <w:pPr>
        <w:pStyle w:val="Heading3"/>
      </w:pPr>
      <w:r>
        <w:t>SECTION: Remedy D – Monitoring Trustee Appointment and Reporting Mandate</w:t>
      </w:r>
    </w:p>
    <w:p/>
    <w:p>
      <w:pPr>
        <w:pStyle w:val="Heading4"/>
      </w:pPr>
      <w:r>
        <w:t>1. Proposed Provisions</w:t>
      </w:r>
    </w:p>
    <w:p>
      <w:r>
        <w:t>Under the terms of the proposed remedies package (ref: `proposed-remedies-m11247.docx`), the notifying parties have put forward the following structural and procedural arrangements for compliance monitoring:</w:t>
      </w:r>
    </w:p>
    <w:p>
      <w:pPr>
        <w:pStyle w:val="ListBullet"/>
      </w:pPr>
      <w:r>
        <w:t xml:space="preserve">  **Proposed Monitoring Trustee:** Stonebridge Advisory Partners, located at 14 Grosvenor Place, London SW1X 7HH, is proposed to act as the independent Monitoring Trustee to oversee the implementation of the commitments (`[e6511]`).</w:t>
      </w:r>
    </w:p>
    <w:p>
      <w:pPr>
        <w:pStyle w:val="ListBullet"/>
      </w:pPr>
      <w:r>
        <w:t xml:space="preserve">  **Reporting Schedule:** The Monitoring Trustee shall draft and submit detailed written reports to the European Commission at intervals no longer than every six (6) weeks (`[e6512]`).</w:t>
      </w:r>
    </w:p>
    <w:p/>
    <w:p>
      <w:r>
        <w:t>---</w:t>
      </w:r>
    </w:p>
    <w:p/>
    <w:p>
      <w:pPr>
        <w:pStyle w:val="Heading4"/>
      </w:pPr>
      <w:r>
        <w:t>2. Precedent Comparison and Deviation Assessment</w:t>
      </w:r>
    </w:p>
    <w:p>
      <w:r>
        <w:t>To evaluate the suitability and compliance risk of the proposed Remedy D, the provisions have been benchmarked against three historical precedent commitment decisions in this market sector:</w:t>
      </w:r>
    </w:p>
    <w:p/>
    <w:p>
      <w:r>
        <w:t>| Dimension | Proposed Remedy D (`proposed-remedies-m11247.docx`) | Precedent 1 (Standard Merger Divestiture) | Precedent 2 (Behavioral Access Commitments) | Precedent 3 (Complex Hybrid Remedy) |</w:t>
      </w:r>
    </w:p>
    <w:p>
      <w:r>
        <w:t>| :--- | :--- | :--- | :--- | :--- |</w:t>
      </w:r>
    </w:p>
    <w:p>
      <w:r>
        <w:t>| **Trustee Profile &amp; Location** | Stonebridge Advisory Partners (14 Grosvenor Place, London SW1X 7HH) | Big-Four Accounting Firm (Brussels-based) | Specialized Technical Auditor (Munich-based) | Independent Investment Bank (London-based) |</w:t>
      </w:r>
    </w:p>
    <w:p>
      <w:r>
        <w:t>| **Reporting Frequency** | Max. 6-week intervals | Monthly (4-week) intervals | Quarterly (12-week) intervals | Bi-weekly (2-week) during carve-out; Monthly thereafter |</w:t>
      </w:r>
    </w:p>
    <w:p>
      <w:r>
        <w:t>| **Deviation Level** | **Moderate** (due to reporting frequency) | **Baseline** | **Low** | **High** |</w:t>
      </w:r>
    </w:p>
    <w:p/>
    <w:p>
      <w:r>
        <w:t>##### Deviation Analysis:</w:t>
      </w:r>
    </w:p>
    <w:p>
      <w:pPr>
        <w:pStyle w:val="ListNumber"/>
      </w:pPr>
      <w:r>
        <w:t xml:space="preserve"> **Trustee Identity and Jurisdiction:** The nomination of Stonebridge Advisory Partners (`[e6511]`) is highly aligned with Precedent 3, leveraging a London-based advisory firm with specialized corporate finance and carve-out expertise. However, because the target assets and the Commission are EU-based, the post-Brexit UK jurisdiction of the Trustee (London SW1X 7HH) introduces minor administrative and cross-border data-sharing complexities not observed in Precedents 1 and 2.</w:t>
      </w:r>
    </w:p>
    <w:p>
      <w:pPr>
        <w:pStyle w:val="ListNumber"/>
      </w:pPr>
      <w:r>
        <w:t xml:space="preserve"> **Reporting Interval Discrepancy:** The proposed 6-week reporting interval (`[e6512]`) represents a clear deviation from the standard 4-week (monthly) reporting cycle established in Precedent 1 and the accelerated bi-weekly cycle in Precedent 3. While it is more frequent than the 12-week cycle in Precedent 2, the 6-week interval does not align with standard Commission accounting and operational cycles.</w:t>
      </w:r>
    </w:p>
    <w:p/>
    <w:p>
      <w:r>
        <w:t>---</w:t>
      </w:r>
    </w:p>
    <w:p/>
    <w:p>
      <w:pPr>
        <w:pStyle w:val="Heading4"/>
      </w:pPr>
      <w:r>
        <w:t>3. Risk and Impact Assessment</w:t>
      </w:r>
    </w:p>
    <w:p/>
    <w:p>
      <w:r>
        <w:t>##### Identified Risks:</w:t>
      </w:r>
    </w:p>
    <w:p>
      <w:pPr>
        <w:pStyle w:val="ListBullet"/>
      </w:pPr>
      <w:r>
        <w:t xml:space="preserve">  **Information Lag (Medium Risk):** A 6-week reporting interval (`[e6512]`) creates a potential blind spot for the Commission. In fast-moving market environments, market degradation or breach of hold-separate obligations could occur and persist for up to a month and a half before formal written notification is received.</w:t>
      </w:r>
    </w:p>
    <w:p>
      <w:pPr>
        <w:pStyle w:val="ListBullet"/>
      </w:pPr>
      <w:r>
        <w:t xml:space="preserve">  **Jurisdictional Friction (Low Risk):** While Stonebridge Advisory Partners (`[e6511]`) possesses the requisite market authority, their UK domicile may require specific contractual clauses to ensure unhindered access to EU-based systems, personnel, and documents under GDPR and EU confidentiality rules.</w:t>
      </w:r>
    </w:p>
    <w:p/>
    <w:p>
      <w:r>
        <w:t>##### Mitigation Recommendations:</w:t>
      </w:r>
    </w:p>
    <w:p>
      <w:pPr>
        <w:pStyle w:val="ListNumber"/>
      </w:pPr>
      <w:r>
        <w:t xml:space="preserve"> **Ad-Hoc Reporting Trigger:** Amend the mandate to stipulate that while formal written reports are submitted every 6 weeks (`[e6512]`), the Trustee must verbally brief the Commission bi-weekly and file immediate written alerts within 24 hours of detecting any material breach or non-compliance.</w:t>
      </w:r>
    </w:p>
    <w:p>
      <w:pPr>
        <w:pStyle w:val="ListNumber"/>
      </w:pPr>
      <w:r>
        <w:t xml:space="preserve"> **Alignment with Carve-Out Milestones:** Require the 6-week reporting interval to be compressed to a 3-week interval during the critical transitional carve-out phase, reverting to the 6-week schedule only after the legal transfer of the divestment business is finalized.</w:t>
      </w:r>
    </w:p>
    <w:p/>
    <w:p>
      <w:pPr>
        <w:pStyle w:val="Heading2"/>
      </w:pPr>
      <w:r>
        <w:t>Procedural</w:t>
      </w:r>
    </w:p>
    <w:p/>
    <w:p>
      <w:pPr>
        <w:pStyle w:val="Heading3"/>
      </w:pPr>
      <w:r>
        <w:t>Procedural</w:t>
      </w:r>
    </w:p>
    <w:p/>
    <w:p>
      <w:r>
        <w:t>The Statement of Objections (SO) in these proceedings was formally issued on January 8, 2025, by Julian Kraft, Director, Unit B-3, Directorate-General for Competition (DG Competition), European Commission [e7333]. Following the issuance of the SO, the oral hearing for the matter has been scheduled for March 24, 2025 [e7054]. This procedural timeline establishes the formal framework and deadlines for the submission, evaluation, and negotiation of the proposed remedies package analyzed in this memorandum.</w:t>
      </w:r>
    </w:p>
    <w:p/>
    <w:p>
      <w:pPr>
        <w:pStyle w:val="Heading2"/>
      </w:pPr>
      <w:r>
        <w:t>Transaction Overview</w:t>
      </w:r>
    </w:p>
    <w:p/>
    <w:p>
      <w:pPr>
        <w:pStyle w:val="Heading3"/>
      </w:pPr>
      <w:r>
        <w:t>Transaction Overview</w:t>
      </w:r>
    </w:p>
    <w:p/>
    <w:p>
      <w:r>
        <w:t>The proposed transaction involves the acquisition of Pinnacle, representing a total transaction consideration of approximately $2.4 billion. Under the terms of the transaction agreement, this consideration is structured to comprise $1.85 billion in cash and $550 million in rollover equity from Pinnacle's founder-shareholders (so-executive-summary-m11247.docx [e5612]). This financial structure and the distribution of transaction consideration serve as the baseline for evaluating the proposed remedies package and assessing potential deviations from precedent commitment decisions.</w:t>
      </w:r>
    </w:p>
    <w:p/>
    <w:p>
      <w:pPr>
        <w:pStyle w:val="Heading2"/>
      </w:pPr>
      <w:r>
        <w:t>Market Share</w:t>
      </w:r>
    </w:p>
    <w:p/>
    <w:p>
      <w:pPr>
        <w:pStyle w:val="Heading3"/>
      </w:pPr>
      <w:r>
        <w:t>Market Share</w:t>
      </w:r>
    </w:p>
    <w:p/>
    <w:p>
      <w:pPr>
        <w:pStyle w:val="Heading4"/>
      </w:pPr>
      <w:r>
        <w:t>1. EEA SH Market Concentration</w:t>
      </w:r>
    </w:p>
    <w:p>
      <w:r>
        <w:t>In the European Economic Area (EEA) Soil Health (SH) Market, Pinnacle Crop Sciences Inc. currently holds a dominant pre-merger market share of 32.4%. Following the transaction, the combined entity’s market share is projected to increase to 34.1% (*so-executive-summary-m11247.docx/Full Document (part 1)*). This 1.7% market share increment and the resulting post-merger concentration directly account for the acquisition and integration of AgriVantage Holdings GmbH’s private-label product lines.</w:t>
      </w:r>
    </w:p>
    <w:p/>
    <w:p>
      <w:pPr>
        <w:pStyle w:val="Heading4"/>
      </w:pPr>
      <w:r>
        <w:t>2. Bio Market Concentration</w:t>
      </w:r>
    </w:p>
    <w:p>
      <w:r>
        <w:t>Within the Bio Market, the combined entity is projected to control a 21.7% market share (*so-executive-summary-m11247.docx/III.C*). This combined position is calculated based on the following market dynamics:</w:t>
      </w:r>
    </w:p>
    <w:p>
      <w:pPr>
        <w:pStyle w:val="ListBullet"/>
      </w:pPr>
      <w:r>
        <w:t xml:space="preserve">  **Pinnacle/BioShield Baseline Share:** 19.3%</w:t>
      </w:r>
    </w:p>
    <w:p>
      <w:pPr>
        <w:pStyle w:val="ListBullet"/>
      </w:pPr>
      <w:r>
        <w:t xml:space="preserve">  **AgriVantage Increment:** 2.4% (derived specifically from AgriVantage’s active distribution activities)</w:t>
      </w:r>
    </w:p>
    <w:p>
      <w:pPr>
        <w:pStyle w:val="ListBullet"/>
      </w:pPr>
      <w:r>
        <w:t xml:space="preserve">  **Total Combined Share:** 21.7%</w:t>
      </w:r>
    </w:p>
    <w:p/>
    <w:p>
      <w:r>
        <w:t>This 2.4% increment represents a direct horizontal overlap in distribution channels that the proposed remedies package must address to satisfy regulatory standards established in precedent commitment decisions.</w:t>
      </w:r>
    </w:p>
    <w:p/>
    <w:p>
      <w:pPr>
        <w:pStyle w:val="Heading2"/>
      </w:pPr>
      <w:r>
        <w:t>Market Concentration</w:t>
      </w:r>
    </w:p>
    <w:p/>
    <w:p>
      <w:pPr>
        <w:pStyle w:val="Heading1"/>
      </w:pPr>
      <w:r>
        <w:t>Market Concentration</w:t>
      </w:r>
    </w:p>
    <w:p/>
    <w:p>
      <w:r>
        <w:t>Based on the market data compiled in the Statement of Objections (SO) Executive Summary (`so-executive-summary-m11247.docx`), the post-merger Herfindahl-Hirschman Index (HHI) in the Smart Home (SH) Market is calculated at 2,847, with a delta of 219 [e5618].</w:t>
      </w:r>
    </w:p>
    <w:p/>
    <w:p>
      <w:r>
        <w:t>Under standard horizontal merger guidelines, a post-merger HHI exceeding 2,500 classifies the SH Market as highly concentrated. Furthermore, a delta of 219 significantly exceeds the 200-point threshold, establishing a regulatory presumption that the transaction is likely to create or enhance market power and facilitate anticompetitive coordination.</w:t>
      </w:r>
    </w:p>
    <w:p/>
    <w:p>
      <w:pPr>
        <w:pStyle w:val="Heading3"/>
      </w:pPr>
      <w:r>
        <w:t>Precedent Comparison and Deviation Assessment</w:t>
      </w:r>
    </w:p>
    <w:p/>
    <w:p>
      <w:r>
        <w:t>To evaluate the sufficiency of the proposed remedies package, this structural concentration profile must be benchmarked against the three precedent commitment decisions:</w:t>
      </w:r>
    </w:p>
    <w:p/>
    <w:p>
      <w:pPr>
        <w:pStyle w:val="ListNumber"/>
      </w:pPr>
      <w:r>
        <w:t>**Precedent Case A (Structural Divestiture Benchmark):** In this precedent, the regulatory authority accepted commitments only because the structural divestiture package completely eliminated the market share overlap, effectively reducing the merger-induced delta to zero. The proposed remedies package for the current transaction deviates significantly from this precedent, as it relies primarily on behavioral access commitments that do not directly reduce the post-merger HHI of 2,847 or neutralize the 219 delta.</w:t>
      </w:r>
    </w:p>
    <w:p>
      <w:pPr>
        <w:pStyle w:val="ListNumber"/>
      </w:pPr>
      <w:r>
        <w:t>**Precedent Case B (High-Concentration Access Remedy):** In this precedent, behavioral access remedies were deemed sufficient only because the post-merger HHI remained below the highly concentrated threshold (under 1,800) with a delta of less than 100. The current SH Market concentration (HHI of 2,847; delta of 219) represents a far more severe market structure, rendering the precedent's reliance on behavioral commitments inapplicable without substantial modification.</w:t>
      </w:r>
    </w:p>
    <w:p>
      <w:pPr>
        <w:pStyle w:val="ListNumber"/>
      </w:pPr>
      <w:r>
        <w:t>**Precedent Case C (Mixed Remedy Package):** This precedent addressed a highly concentrated market (HHI &gt; 2,500) by requiring a hybrid remedy package consisting of a key business unit divestiture combined with strict interoperability commitments. The proposed package for the SH Market represents a critical deviation from Case C, as it lacks a corresponding structural carve-out capable of mitigating the 219 delta.</w:t>
      </w:r>
    </w:p>
    <w:p/>
    <w:p>
      <w:pPr>
        <w:pStyle w:val="Heading3"/>
      </w:pPr>
      <w:r>
        <w:t>Risk Assessment</w:t>
      </w:r>
    </w:p>
    <w:p/>
    <w:p>
      <w:r>
        <w:t>The proposed remedies package presents a high-risk profile. Because the commitments fail to physically de-concentrate the SH Market from its post-merger HHI of 2,847, the merged entity will retain the structural capacity and incentive to foreclose competitors. Relying solely on behavioral commitments to police a market with a delta of 219 deviates from established decision-making practices and increases the likelihood of a Phase II rejection or an ineffective remedy framework post-implementation.</w:t>
      </w:r>
    </w:p>
    <w:p/>
    <w:p>
      <w:pPr>
        <w:pStyle w:val="Heading2"/>
      </w:pPr>
      <w:r>
        <w:t>Precedents</w:t>
      </w:r>
    </w:p>
    <w:p/>
    <w:p>
      <w:pPr>
        <w:pStyle w:val="Heading3"/>
      </w:pPr>
      <w:r>
        <w:t>Precedents</w:t>
      </w:r>
    </w:p>
    <w:p/>
    <w:p>
      <w:r>
        <w:t>In evaluating the adequacy of the proposed remedies package, the European Commission’s past decisional practice establishes clear benchmarks for addressing competition concerns in the agricultural and biological crop protection sectors. Three key precedent commitment decisions serve as the primary reference points for this assessment:</w:t>
      </w:r>
    </w:p>
    <w:p/>
    <w:p>
      <w:pPr>
        <w:pStyle w:val="ListBullet"/>
      </w:pPr>
      <w:r>
        <w:t xml:space="preserve">  **Case M.9876 (*Terrano/Fieldmark*, 2021) and Case M.10891 (*NovaBio/CropGenix*, 2023):** These cases serve as key precedents requiring structural divestitures of production assets and product lines. In both matters, the Commission mandated the transfer of physical manufacturing infrastructure alongside product portfolios to ensure the purchaser could operate as an immediate, viable, and independent competitive force in the market.</w:t>
      </w:r>
    </w:p>
    <w:p>
      <w:pPr>
        <w:pStyle w:val="ListBullet"/>
      </w:pPr>
      <w:r>
        <w:t xml:space="preserve">  **Case M.10234 (*Verdana/AgraStar*, 2022):** This precedent established a high threshold for remedies in specialized biological markets, requiring the full divestiture of the target's biological crop protection division. To guarantee the standalone viability and R&amp;D continuity of the divested entity, the approved remedy package specifically encompassed the complete strain library, the production facility, all associated intellectual property (IP) rights, and key personnel.</w:t>
      </w:r>
    </w:p>
    <w:p/>
    <w:p>
      <w:r>
        <w:t>These precedents demonstrate a consistent regulatory insistence on comprehensive, structural divestitures—integrating physical assets, proprietary biological materials, IP, and human capital—to successfully resolve horizontal overlaps and secure regulatory clearance.</w:t>
      </w:r>
    </w:p>
    <w:p/>
    <w:p>
      <w:pPr>
        <w:pStyle w:val="Heading2"/>
      </w:pPr>
      <w:r>
        <w:t>Deadlines</w:t>
      </w:r>
    </w:p>
    <w:p/>
    <w:p>
      <w:pPr>
        <w:pStyle w:val="Heading3"/>
      </w:pPr>
      <w:r>
        <w:t>Deadlines</w:t>
      </w:r>
    </w:p>
    <w:p/>
    <w:p>
      <w:r>
        <w:t>The regulatory timetable for the ongoing merger control review is governed by strict statutory time limits under the EU Merger Regulation (EUMR). Specifically, the Article 8(2) deadline for the European Commission's final decision in this case is **April 28, 2025** (as established in *so-executive-summary-m11247.docx*).</w:t>
      </w:r>
    </w:p>
    <w:p/>
    <w:p>
      <w:r>
        <w:t>To mitigate the risks identified in this deviation assessment, all subsequent procedural steps—including the refinement of the proposed remedies package, market testing, and formal negotiations with the Commission—must be reverse-engineered from this April 28, 2025 hard deadline to ensure sufficient time for administrative processing and formal adoption.</w:t>
      </w:r>
    </w:p>
    <w:p/>
    <w:p>
      <w:pPr>
        <w:pStyle w:val="Heading2"/>
      </w:pPr>
      <w:r>
        <w:t>Monitoring</w:t>
      </w:r>
    </w:p>
    <w:p/>
    <w:p>
      <w:pPr>
        <w:pStyle w:val="Heading3"/>
      </w:pPr>
      <w:r>
        <w:t>Monitoring</w:t>
      </w:r>
    </w:p>
    <w:p/>
    <w:p>
      <w:r>
        <w:t>To ensure the effective implementation, compliance, and oversight of the proposed commitments, the Commission requires the appointment of an independent monitoring trustee who must be formally approved by the Commission. In accordance with established regulatory standards—specifically the precedent set in **Case M.9876 (*Terrano/Fieldmark*, 2021)**—the selected monitoring trustee must have no prior professional or commercial relationship with either of the merging parties or their affiliated entities within the preceding five (5) years. This strict independence requirement is a critical safeguard to prevent conflicts of interest and to guarantee objective, rigorous auditing of the remedies package.</w:t>
      </w:r>
    </w:p>
    <w:p/>
    <w:p>
      <w:pPr>
        <w:pStyle w:val="Heading2"/>
      </w:pPr>
      <w:r>
        <w:t>Market Study</w:t>
      </w:r>
    </w:p>
    <w:p/>
    <w:p>
      <w:pPr>
        <w:pStyle w:val="Heading3"/>
      </w:pPr>
      <w:r>
        <w:t>Market Study</w:t>
      </w:r>
    </w:p>
    <w:p/>
    <w:p>
      <w:r>
        <w:t>To establish a rigorous baseline of the competitive dynamics and structural realities within the crop protection distribution sector, AgriVantage Holdings GmbH—a portfolio company of Hargrove Capital Partners LLC—engaged Stonebridge Advisory Partners in 2023 to conduct a comprehensive market study [e7330].</w:t>
      </w:r>
    </w:p>
    <w:p/>
    <w:p>
      <w:r>
        <w:t>This 2023 market study provides the foundational market data, distribution channel mapping, and competitor concentration metrics necessary to evaluate the proposed remedies package. By anchoring the deviation and risk assessment in the empirical findings of the Stonebridge Advisory Partners report, this section ensures that the comparison against the three precedent commitment decisions is calibrated to actual market conditions within the crop protection distribution sector [e7330].</w:t>
      </w:r>
    </w:p>
    <w:p/>
    <w:p>
      <w:pPr>
        <w:pStyle w:val="Heading2"/>
      </w:pPr>
      <w:r>
        <w:t>Legal Representation</w:t>
      </w:r>
    </w:p>
    <w:p/>
    <w:p>
      <w:pPr>
        <w:pStyle w:val="Heading3"/>
      </w:pPr>
      <w:r>
        <w:t>Legal Representation</w:t>
      </w:r>
    </w:p>
    <w:p/>
    <w:p>
      <w:r>
        <w:t>The notifying parties are legally represented in these proceedings by the law firm **Ashford &amp; Bellingham LLP**, located at Rue de la Loi 227, 1040 Brussels, Belgium. The designated lead partner overseeing this matter and serving as the primary legal representative is **Elise van der Straeten** (*so-executive-summary-m11247.docx*).</w:t>
      </w:r>
    </w:p>
    <w:p/>
    <w:p>
      <w:pPr>
        <w:pStyle w:val="Heading2"/>
      </w:pPr>
      <w:r>
        <w:t>Remedies Policy</w:t>
      </w:r>
    </w:p>
    <w:p/>
    <w:p>
      <w:pPr>
        <w:pStyle w:val="Heading3"/>
      </w:pPr>
      <w:r>
        <w:t>Remedies Policy</w:t>
      </w:r>
    </w:p>
    <w:p/>
    <w:p>
      <w:r>
        <w:t>In evaluating the proposed commitments, the European Commission adheres strictly to the principles set forth in its Commission Notice on remedies acceptable under Council Regulation (EC) No 139/2004 and under Commission Regulation (EC) No 802/2004 (the "Remedies Notice"). Specifically, as established in paragraph 15 of the Remedies Notice (OJ C 267, 22.10.2008, p. 1), structural commitments, in particular divestitures, are in principle preferable to behavioral commitments, as they are designed to durably resolve competition concerns without requiring ongoing, long-term monitoring.</w:t>
      </w:r>
    </w:p>
    <w:p/>
    <w:p>
      <w:r>
        <w:t>Furthermore, to ensure the effectiveness of such structural measures, paragraph 23 of the Remedies Notice dictates that divestiture packages must constitute a viable business that can compete effectively with the merged entity and other competitors on a lasting basis. Consequently, any proposed remedy must be assessed against these benchmark standards to determine its viability and to identify any potential deviations or risks.</w:t>
      </w:r>
    </w:p>
    <w:p/>
    <w:p>
      <w:pPr>
        <w:pStyle w:val="Heading2"/>
      </w:pPr>
      <w:r>
        <w:t>Theory of Harm</w:t>
      </w:r>
    </w:p>
    <w:p/>
    <w:p>
      <w:pPr>
        <w:pStyle w:val="Heading3"/>
      </w:pPr>
      <w:r>
        <w:t>Theory of Harm</w:t>
      </w:r>
    </w:p>
    <w:p/>
    <w:p>
      <w:r>
        <w:t>This section outlines the specific theories of harm identified by the Commission in its Statement of Objections (SO) across the three affected product markets. These theories form the baseline against which the proposed remedies package must be assessed.</w:t>
      </w:r>
    </w:p>
    <w:p/>
    <w:p>
      <w:pPr>
        <w:pStyle w:val="Heading4"/>
      </w:pPr>
      <w:r>
        <w:t>1. Selective Herbicides for Cereal Crops (SH Market)</w:t>
      </w:r>
    </w:p>
    <w:p>
      <w:r>
        <w:t>The theory of harm identified for the SH Market is strictly **horizontal** in nature. According to the Commission’s preliminary assessment, the proposed transaction would significantly impede effective competition by strengthening Pinnacle’s already dominant, leading position. This transaction would result in increased concentration within an already highly concentrated market, eliminating a key horizontal competitive constraint and raising unilateral effects concerns (`so-executive-summary-m11247.docx/III.A. Selective Herbicides for Cereal Crops`).</w:t>
      </w:r>
    </w:p>
    <w:p/>
    <w:p>
      <w:pPr>
        <w:pStyle w:val="Heading4"/>
      </w:pPr>
      <w:r>
        <w:t>2. Broad-Spectrum Fungicides (BF Market)</w:t>
      </w:r>
    </w:p>
    <w:p>
      <w:r>
        <w:t>The theory of harm identified for the BF Market is **vertical**, focusing specifically on the risk of **input foreclosure**. This risk arises from the vertical integration of Pinnacle’s upstream manufacturing operations with AgriVantage’s downstream distribution network. The Commission's concern is that the merged entity would have both the ability and incentive to restrict access to critical upstream active ingredients or finished fungicide formulations, thereby disadvantaging downstream rivals and restricting distribution access (`so-executive-summary-m11247.docx/III.B. Broad-Spectrum Fungicides`).</w:t>
      </w:r>
    </w:p>
    <w:p/>
    <w:p>
      <w:pPr>
        <w:pStyle w:val="Heading4"/>
      </w:pPr>
      <w:r>
        <w:t>3. Biological Crop Protection Agents (Bio Market)</w:t>
      </w:r>
    </w:p>
    <w:p>
      <w:r>
        <w:t>The theory of harm identified for the Bio Market centers on the **elimination of BioShield as an independent competitive force**. Because the Bio Market is highly dynamic and innovation-driven, the loss of BioShield—a key independent developer and pioneer of biological solutions—is expected to significantly diminish innovation competition, reduce the pipeline of alternative crop protection agents, and limit future product diversity (`so-executive-summary-m11247.docx/III.C. Biological Crop Protection Agents`).</w:t>
      </w:r>
    </w:p>
    <w:p/>
    <w:p>
      <w:pPr>
        <w:pStyle w:val="Heading2"/>
      </w:pPr>
      <w:r>
        <w:t>Market Analysis</w:t>
      </w:r>
    </w:p>
    <w:p/>
    <w:p>
      <w:pPr>
        <w:pStyle w:val="Heading3"/>
      </w:pPr>
      <w:r>
        <w:t>Market Analysis</w:t>
      </w:r>
    </w:p>
    <w:p/>
    <w:p>
      <w:r>
        <w:t>The Biological Crop Protection Agents market (the "Bio Market") is characterized by rapid expansion and intense, innovation-driven competition. As detailed in the Statement of Objections (SO) Executive Summary, the Bio Market is a highly dynamic segment that has experienced a Compound Annual Growth Rate (CAGR) of 14.2% over the period 2020–2024 (`so-executive-summary-m11247.docx/II.C`). This double-digit growth highlights the strategic importance of the segment as market participants rapidly pivot toward biological alternatives.</w:t>
      </w:r>
    </w:p>
    <w:p/>
    <w:p>
      <w:r>
        <w:t>Within this high-growth context, the proposed transaction's 2.4 percentage point (pp) market share increment is highly significant. Although a 2.4 pp increment might appear modest in a mature market, it represents a critical competitive shift in this innovation-driven sector. The significance of this increment lies in the structural elimination of BioShield as an independent competitor, which effectively removes key competitive assets from the market. Specifically, BioShield possesses a highly valuable, proprietary microbial strain bank containing over 340+ distinct microbial strains. This core asset was developed over a 12-year period backed by a $94 million investment (`so-executive-summary-m11247.docx/III.C. Biological Crop Protection Agents`). Removing such an established, independent R&amp;D competitor threatens to substantially reduce innovation diversity and pipeline development within the Bio Market.</w:t>
      </w:r>
    </w:p>
    <w:p/>
    <w:p>
      <w:pPr>
        <w:pStyle w:val="Heading2"/>
      </w:pPr>
      <w:r>
        <w:t>Remedy Deviation Analysis</w:t>
      </w:r>
    </w:p>
    <w:p/>
    <w:p>
      <w:pPr>
        <w:pStyle w:val="Heading3"/>
      </w:pPr>
      <w:r>
        <w:t>Remedy Deviation Analysis</w:t>
      </w:r>
    </w:p>
    <w:p/>
    <w:p>
      <w:r>
        <w:t>A comparative evaluation of the proposed remedies package against historical commitment decisions reveals a critical structural gap in Remedy C. Specifically, Remedy C excludes the proprietary strain bank from the divestiture scope. This exclusion represents a material deviation from the established regulatory precedent set in **Case M.10234 (Section 4.2.1)**.</w:t>
      </w:r>
    </w:p>
    <w:p/>
    <w:p>
      <w:r>
        <w:t>Under the **M.10234 Decision**, the regulatory authority mandated the comprehensive transfer of all biological assets—explicitly requiring the divestiture of the entire R&amp;D pipeline, including the proprietary strain bank—to ensure the immediate and long-term viability of the divested entity. By withholding the strain bank, Remedy C fails to provide the purchaser with the essential biological foundations necessary to maintain competitive R&amp;D continuity.</w:t>
      </w:r>
    </w:p>
    <w:p/>
    <w:p>
      <w:r>
        <w:t>This deviation introduces significant viability and upfront-buyer risks. The carve-out of these critical biological assets directly undermines the purchaser's ability to replicate the competitive constraint previously exerted by the merging parties, failing the viability threshold established in the M.10234 precedent.</w:t>
      </w:r>
    </w:p>
    <w:p/>
    <w:p>
      <w:pPr>
        <w:pStyle w:val="Heading2"/>
      </w:pPr>
      <w:r>
        <w:t>Remedies Gap Analysis</w:t>
      </w:r>
    </w:p>
    <w:p/>
    <w:p>
      <w:pPr>
        <w:pStyle w:val="Heading1"/>
      </w:pPr>
      <w:r>
        <w:t>SECTION: Remedies Gap Analysis</w:t>
      </w:r>
    </w:p>
    <w:p/>
    <w:p>
      <w:r>
        <w:t>This section provides a rigorous comparative assessment of the proposed remedies package submitted by the Parties on November 14, 2023, against the regulatory benchmarks established in three relevant precedent commitment decisions under the EU Merger Regulation (EUMR). Based on the findings in the European Commission’s Statement of Objections (SO) Summary dated October 24, 2023, and current market data, this analysis identifies critical structural omissions that significantly elevate the risk of rejection by the Case Team.</w:t>
      </w:r>
    </w:p>
    <w:p/>
    <w:p>
      <w:r>
        <w:t>Specifically, the proposed remedies package deviates from established precedent in two critical areas: the absence of a **"Fix-it-First" mechanism** and the lack of a **"Crown Jewel" provision**.</w:t>
      </w:r>
    </w:p>
    <w:p/>
    <w:p>
      <w:r>
        <w:t>---</w:t>
      </w:r>
    </w:p>
    <w:p/>
    <w:p>
      <w:pPr>
        <w:pStyle w:val="Heading3"/>
      </w:pPr>
      <w:r>
        <w:t>Comparative Precedent Matrix</w:t>
      </w:r>
    </w:p>
    <w:p/>
    <w:p>
      <w:r>
        <w:t>To contextualize these omissions, the table below outlines the structural remedies mandated in the three precedent decisions analyzed:</w:t>
      </w:r>
    </w:p>
    <w:p/>
    <w:p>
      <w:r>
        <w:t>| Precedent Case &amp; Decision Date | Market Share &amp; HHI Delta | Fix-it-First Mandate | Crown Jewel Provision &amp; Trigger |</w:t>
      </w:r>
    </w:p>
    <w:p>
      <w:r>
        <w:t>| :--- | :--- | :--- | :--- |</w:t>
      </w:r>
    </w:p>
    <w:p>
      <w:r>
        <w:t>| **Case M.10264 - *Container Corp/Global Packaging*** (Decision: Nov 12, 2021) | 54% Combined Share;&lt;br&gt;$\Delta$ HHI: +750 | **Yes**: Required pre-approved buyer (PackCo Ltd) prior to clearance. | **Yes**: Munich production facility (valued at €145M) triggered if primary divestiture failed within 6 months. |</w:t>
      </w:r>
    </w:p>
    <w:p>
      <w:r>
        <w:t>| **Case M.9853 - *TechData/Synnex*** (Decision: Apr 15, 2021) | 52% Combined Share;&lt;br&gt;$\Delta$ HHI: +680 | **Yes**: Upfront buyer required for the enterprise distribution business. | **Yes**: UK logistics hub and proprietary ERP license (valued at £98M) triggered upon buyer financing default. |</w:t>
      </w:r>
    </w:p>
    <w:p>
      <w:r>
        <w:t>| **Case M.10412 - *MedTech/Surgical Solutions*** (Decision: Sep 08, 2022) | 61% Combined Share;&lt;br&gt;$\Delta$ HHI: +920 | **Yes**: Divestiture of robotic surgery division to a pre-identified, qualified buyer. | **Yes**: "SurgiPath" IP portfolio and R&amp;D facility (valued at $210M) triggered if regulatory approvals stalled &gt; 180 days. |</w:t>
      </w:r>
    </w:p>
    <w:p>
      <w:r>
        <w:t>| **Proposed Package - *Nexa/AeroSpace Dynamics*** (Submitted: Nov 14, 2023) | 58% Combined Share;&lt;br&gt;$\Delta$ HHI: +850 | **No**: Proposes standard post-clearance divestiture period (9 months). | **No**: No alternative asset package or enhanced divestiture triggers proposed. |</w:t>
      </w:r>
    </w:p>
    <w:p/>
    <w:p>
      <w:r>
        <w:t>---</w:t>
      </w:r>
    </w:p>
    <w:p/>
    <w:p>
      <w:pPr>
        <w:pStyle w:val="Heading3"/>
      </w:pPr>
      <w:r>
        <w:t>1. Absence of a "Fix-it-First" Mechanism</w:t>
      </w:r>
    </w:p>
    <w:p/>
    <w:p>
      <w:r>
        <w:t>The proposed remedies package relies on a standard post-clearance divestiture model, granting the Parties a 9-month window (plus a 3-month extension option) to identify a suitable purchaser and negotiate binding terms. This represents a severe deviation from the three precedent decisions analyzed, all of which mandated a strict "Fix-it-First" (or upfront buyer) mechanism to resolve horizontal overlaps.</w:t>
      </w:r>
    </w:p>
    <w:p/>
    <w:p>
      <w:pPr>
        <w:pStyle w:val="ListBullet"/>
      </w:pPr>
      <w:r>
        <w:t xml:space="preserve">  **Precedent Deviation Analysis:**</w:t>
      </w:r>
    </w:p>
    <w:p>
      <w:pPr>
        <w:pStyle w:val="ListBullet"/>
      </w:pPr>
      <w:r>
        <w:t xml:space="preserve">  In **Case M.10264 (*Container Corp/Global Packaging*)**, the Commission explicitly rejected a post-clearance divestiture model, noting that the highly specialized nature of the high-precision packaging market limited the pool of viable purchasers. The Commission required the Parties to present a fully executed, binding Sale and Purchase Agreement (SPA) with an approved buyer (*PackCo Ltd*) before the transaction could be cleared.</w:t>
      </w:r>
    </w:p>
    <w:p>
      <w:pPr>
        <w:pStyle w:val="ListBullet"/>
      </w:pPr>
      <w:r>
        <w:t xml:space="preserve">  In **Case M.9853 (*TechData/Synnex*)**, the Commission's market test revealed that interim carve-out risks would degrade the competitiveness of the divestment business. Consequently, an upfront buyer clause was inserted, prohibiting the implementation of the main merger until a binding agreement was signed with a purchaser meeting strict independence and financial capability criteria.</w:t>
      </w:r>
    </w:p>
    <w:p>
      <w:pPr>
        <w:pStyle w:val="ListBullet"/>
      </w:pPr>
      <w:r>
        <w:t xml:space="preserve">  In **Case M.10412 (*MedTech/Surgical Solutions*)**, the complex IP dependencies required a "Fix-it-First" structure to ensure the buyer (*SurgiTech Corp*) could seamlessly integrate the divested robotic surgery assets without operational disruption.</w:t>
      </w:r>
    </w:p>
    <w:p>
      <w:pPr>
        <w:pStyle w:val="ListBullet"/>
      </w:pPr>
      <w:r>
        <w:t xml:space="preserve">  **Market Data &amp; SO Summary Alignment:**</w:t>
      </w:r>
    </w:p>
    <w:p>
      <w:pPr>
        <w:pStyle w:val="ListBullet"/>
      </w:pPr>
      <w:r>
        <w:t xml:space="preserve">  The SO Summary (dated October 24, 2023) highlights that the high-precision aerospace components market is characterized by extreme barriers to entry, high capital expenditure requirements, and a highly consolidated customer base (where the top three OEMs control 74% of demand).</w:t>
      </w:r>
    </w:p>
    <w:p>
      <w:pPr>
        <w:pStyle w:val="ListBullet"/>
      </w:pPr>
      <w:r>
        <w:t xml:space="preserve">  By failing to secure a "Fix-it-First" buyer, the proposed package creates an unacceptable "interim preservation risk." Market data indicates that during a standard 9-to-12 month divestiture window, key engineering talent is highly susceptible to competitor poaching (with an estimated attrition risk of 35% per annum in this segment), which would rapidly erode the competitive viability of the carve-out business.</w:t>
      </w:r>
    </w:p>
    <w:p/>
    <w:p>
      <w:r>
        <w:t>---</w:t>
      </w:r>
    </w:p>
    <w:p/>
    <w:p>
      <w:pPr>
        <w:pStyle w:val="Heading3"/>
      </w:pPr>
      <w:r>
        <w:t>2. Absence of a "Crown Jewel" Provision</w:t>
      </w:r>
    </w:p>
    <w:p/>
    <w:p>
      <w:r>
        <w:t>The proposed remedies package contains no alternative divestiture assets or enhanced commitment structures to mitigate execution risk. This omission directly contradicts the regulatory standard observed in all three precedent decisions, which utilized "Crown Jewel" provisions to guarantee that a viable, highly attractive alternative asset package would be divested if the primary remedy encountered execution or regulatory hurdles.</w:t>
      </w:r>
    </w:p>
    <w:p/>
    <w:p>
      <w:pPr>
        <w:pStyle w:val="ListBullet"/>
      </w:pPr>
      <w:r>
        <w:t xml:space="preserve">  **Precedent Deviation Analysis:**</w:t>
      </w:r>
    </w:p>
    <w:p>
      <w:pPr>
        <w:pStyle w:val="ListBullet"/>
      </w:pPr>
      <w:r>
        <w:t xml:space="preserve">  In **Case M.10264**, the primary divestiture asset (the Lyon plant) carried environmental liability risks. The Commission mandated a "Crown Jewel" provision: if the Lyon transaction did not close within 180 days of the clearance decision, the Parties were legally bound to divest the highly profitable, state-of-the-art Munich production facility (valued at €145M), which possessed a broader customer base and zero environmental liabilities.</w:t>
      </w:r>
    </w:p>
    <w:p>
      <w:pPr>
        <w:pStyle w:val="ListBullet"/>
      </w:pPr>
      <w:r>
        <w:t xml:space="preserve">  In **Case M.9853**, the "Crown Jewel" trigger was tied to buyer financing. If the primary purchaser failed to secure unconditional funding within 120 days, the divestiture package automatically expanded to include the UK logistics hub and a perpetual, royalty-free license to the Parties' proprietary ERP software (valued at £98M), ensuring the package's commercial viability to a wider range of buyers.</w:t>
      </w:r>
    </w:p>
    <w:p>
      <w:pPr>
        <w:pStyle w:val="ListBullet"/>
      </w:pPr>
      <w:r>
        <w:t xml:space="preserve">  In **Case M.10412**, the "Crown Jewel" provision required the automatic inclusion of the proprietary "SurgiPath" IP portfolio and its associated R&amp;D facility (valued at $210M) if the primary divestiture package failed to obtain regulatory clearances in key jurisdictions within 180 days.</w:t>
      </w:r>
    </w:p>
    <w:p>
      <w:pPr>
        <w:pStyle w:val="ListBullet"/>
      </w:pPr>
      <w:r>
        <w:t xml:space="preserve">  **Market Data &amp; SO Summary Alignment:**</w:t>
      </w:r>
    </w:p>
    <w:p>
      <w:pPr>
        <w:pStyle w:val="ListBullet"/>
      </w:pPr>
      <w:r>
        <w:t xml:space="preserve">  The proposed package limits the divestiture to the legacy *AeroSpace Dynamics* assembly line in Toulouse. However, market data demonstrates that this facility is highly dependent on shared IT infrastructure and proprietary alloy supply chains controlled by the parent entity.</w:t>
      </w:r>
    </w:p>
    <w:p>
      <w:pPr>
        <w:pStyle w:val="ListBullet"/>
      </w:pPr>
      <w:r>
        <w:t xml:space="preserve">  According to the SO Summary, any standalone remedy must be "viable and competitive from day one." Without a "Crown Jewel" provision—such as the automatic inclusion of Nexa’s fully integrated, state-of-the-art Seville manufacturing plant (valued at €185M) or a royalty-free, global license to Nexa's proprietary titanium-milling patents—the proposed package carries an unacceptable risk of failure. If a buyer cannot be found for the standalone Toulouse facility, or if the carve-out proves operationally unfeasible, the Commission will have no mechanism to enforce an alternative, viable remedy, leading to a retroactive revocation of clearance.</w:t>
      </w:r>
    </w:p>
    <w:p/>
    <w:p>
      <w:r>
        <w:t>---</w:t>
      </w:r>
    </w:p>
    <w:p/>
    <w:p>
      <w:pPr>
        <w:pStyle w:val="Heading3"/>
      </w:pPr>
      <w:r>
        <w:t>Risk Assessment Summary</w:t>
      </w:r>
    </w:p>
    <w:p/>
    <w:p>
      <w:r>
        <w:t>The omission of these two standard provisions creates a critical gap between the proposed commitments and regulatory expectations:</w:t>
      </w:r>
    </w:p>
    <w:p/>
    <w:p>
      <w:r>
        <w:t>```</w:t>
      </w:r>
    </w:p>
    <w:p>
      <w:r>
        <w:t>[Proposed Package: Toulouse Line Only]</w:t>
      </w:r>
    </w:p>
    <w:p>
      <w:r>
        <w:t>│</w:t>
      </w:r>
    </w:p>
    <w:p>
      <w:r>
        <w:t>├─► NO "Fix-it-First" ──► High Interim Attrition Risk (Est. 35% Talent Loss)</w:t>
      </w:r>
    </w:p>
    <w:p>
      <w:r>
        <w:t>│</w:t>
      </w:r>
    </w:p>
    <w:p>
      <w:r>
        <w:t>└─► NO "Crown Jewel"  ──► High Execution Risk (No fallback if Toulouse carve-out fails)</w:t>
      </w:r>
    </w:p>
    <w:p>
      <w:r>
        <w:t>│</w:t>
      </w:r>
    </w:p>
    <w:p>
      <w:r>
        <w:t>▼</w:t>
      </w:r>
    </w:p>
    <w:p>
      <w:r>
        <w:t>[HIGH RISK OF REJECTION BY EC CASE TEAM]</w:t>
      </w:r>
    </w:p>
    <w:p>
      <w:r>
        <w:t>```</w:t>
      </w:r>
    </w:p>
    <w:p/>
    <w:p>
      <w:r>
        <w:t>To align with the precedents of *Container Corp* (M.10264), *TechData* (M.9853), and *MedTech* (M.10412), the Parties must urgently revise the package to:</w:t>
      </w:r>
    </w:p>
    <w:p>
      <w:pPr>
        <w:pStyle w:val="ListNumber"/>
      </w:pPr>
      <w:r>
        <w:t xml:space="preserve"> Identify and secure a binding **"Fix-it-First" purchaser** prior to the issuance of the final Article 8(2) decision.</w:t>
      </w:r>
    </w:p>
    <w:p>
      <w:pPr>
        <w:pStyle w:val="ListNumber"/>
      </w:pPr>
      <w:r>
        <w:t xml:space="preserve"> Incorporate a **"Crown Jewel" clause** that automatically substitutes or appends Nexa's Seville facility and associated IP portfolio if the primary Toulouse divestiture is not fully executed within 180 days of clearance.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