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p>
      <w:r>
        <w:t>**TO:** Jordan Kessler, Canopy Ventures Fund II, LP / Dr. Anisha Patel, Brightloom AI, Inc.</w:t>
      </w:r>
    </w:p>
    <w:p>
      <w:r>
        <w:t>**FROM:** Transaction Counsel</w:t>
      </w:r>
    </w:p>
    <w:p>
      <w:r>
        <w:t>**DATE:** February 14, 2025</w:t>
      </w:r>
    </w:p>
    <w:p>
      <w:r>
        <w:t>**SUBJECT:** Drafting Issues and Legal Risk Analysis: Seed Financing of Brightloom AI, Inc.</w:t>
      </w:r>
    </w:p>
    <w:p/>
    <w:p>
      <w:r>
        <w:t>---</w:t>
      </w:r>
    </w:p>
    <w:p/>
    <w:p>
      <w:pPr>
        <w:pStyle w:val="Heading3"/>
      </w:pPr>
      <w:r>
        <w:t>EXECUTIVE SUMMARY</w:t>
      </w:r>
    </w:p>
    <w:p/>
    <w:p>
      <w:r>
        <w:t>This memorandum analyzes the key legal, financial, and structural issues identified during the drafting and negotiation of the seed financing for **Brightloom AI, Inc.** (the "Company") by **Canopy Ventures Fund II, LP** (the "Investor" or "Canopy").</w:t>
      </w:r>
    </w:p>
    <w:p/>
    <w:p>
      <w:r>
        <w:t>The transaction contemplates a **$1,500,000** investment by Canopy via a post-money Simple Agreement for Future Equity (the "SAFE") at a **$10,000,000** post-money valuation cap with a **20%** discount rate and a Most Favored Nation ("MFN") provision, accompanied by a side letter granting pro rata and information rights.</w:t>
      </w:r>
    </w:p>
    <w:p/>
    <w:p>
      <w:r>
        <w:t>This memo addresses ten critical drafting and diligence issues, provides precise mathematical reconciliations of the capitalization table, and outlines specific, actionable recommendations for each issue to protect the parties' economic and legal interests prior to execution.</w:t>
      </w:r>
    </w:p>
    <w:p/>
    <w:p>
      <w:r>
        <w:t>---</w:t>
      </w:r>
    </w:p>
    <w:p/>
    <w:p>
      <w:pPr>
        <w:pStyle w:val="Heading3"/>
      </w:pPr>
      <w:r>
        <w:t>SUMMARY OF KEY TRANSACTION TERMS</w:t>
      </w:r>
    </w:p>
    <w:p/>
    <w:p>
      <w:r>
        <w:t>| Term | Specification |</w:t>
      </w:r>
    </w:p>
    <w:p>
      <w:r>
        <w:t>| :--- | :--- |</w:t>
      </w:r>
    </w:p>
    <w:p>
      <w:r>
        <w:t>| **Company** | Brightloom AI, Inc. (Delaware C-Corporation) |</w:t>
      </w:r>
    </w:p>
    <w:p>
      <w:r>
        <w:t>| **Investor** | Canopy Ventures Fund II, LP (Delaware Limited Partnership) |</w:t>
      </w:r>
    </w:p>
    <w:p>
      <w:r>
        <w:t>| **Investment Amount** | $1,500,000 |</w:t>
      </w:r>
    </w:p>
    <w:p>
      <w:r>
        <w:t>| **Valuation Cap** | $10,000,000 (Post-Money) |</w:t>
      </w:r>
    </w:p>
    <w:p>
      <w:r>
        <w:t>| **Discount Rate** | 20% |</w:t>
      </w:r>
    </w:p>
    <w:p>
      <w:r>
        <w:t>| **MFN Clause** | Yes (Bifurcated: Economic in SAFE, Ancillary in Side Letter) |</w:t>
      </w:r>
    </w:p>
    <w:p>
      <w:r>
        <w:t>| **Target Closing Date** | February 14, 2025 |</w:t>
      </w:r>
    </w:p>
    <w:p>
      <w:r>
        <w:t>| **Existing SAFE** | Greenhouse Angels LLC ($250,000 Investment, $6,000,000 Post-Money Cap, No Discount, No MFN) |</w:t>
      </w:r>
    </w:p>
    <w:p/>
    <w:p>
      <w:r>
        <w:t>---</w:t>
      </w:r>
    </w:p>
    <w:p/>
    <w:p>
      <w:pPr>
        <w:pStyle w:val="Heading3"/>
      </w:pPr>
      <w:r>
        <w:t>DETAILED ANALYSIS OF DRAFTING &amp; DILIGENCE ISSUES</w:t>
      </w:r>
    </w:p>
    <w:p/>
    <w:p>
      <w:pPr>
        <w:pStyle w:val="Heading4"/>
      </w:pPr>
      <w:r>
        <w:t>ISSUE 1: Circularity and Interaction Between Multiple SAFEs with Different Valuation Caps</w:t>
      </w:r>
    </w:p>
    <w:p/>
    <w:p>
      <w:pPr>
        <w:pStyle w:val="ListBullet"/>
      </w:pPr>
      <w:r>
        <w:t xml:space="preserve">  **Analysis:** The Company has one existing post-money SAFE held by **Greenhouse Angels LLC** (the "Greenhouse SAFE") with a **$250,000** purchase amount and a **$6,000,000** post-money valuation cap. Under standard post-money SAFE mechanics, the "Company Capitalization" definition includes all shares issuable upon conversion of *all* outstanding SAFEs.</w:t>
      </w:r>
    </w:p>
    <w:p/>
    <w:p>
      <w:r>
        <w:t>This creates a mathematical circular reference problem because the number of conversion shares for the Canopy SAFE depends on the final share count (which includes the Greenhouse conversion shares), while the Greenhouse conversion shares simultaneously depend on the Canopy conversion shares. Each SAFE's conversion price is determined by a denominator that is dependent on the other's output.</w:t>
      </w:r>
    </w:p>
    <w:p/>
    <w:p>
      <w:pPr>
        <w:pStyle w:val="ListBullet"/>
      </w:pPr>
      <w:r>
        <w:t xml:space="preserve">  **Mathematical Impact:**</w:t>
      </w:r>
    </w:p>
    <w:p>
      <w:pPr>
        <w:pStyle w:val="ListBullet"/>
      </w:pPr>
      <w:r>
        <w:t xml:space="preserve">  **Canopy's** target ownership at its cap is exactly **15.0%** ($1,500,000 / $10,000,000).</w:t>
      </w:r>
    </w:p>
    <w:p>
      <w:pPr>
        <w:pStyle w:val="ListBullet"/>
      </w:pPr>
      <w:r>
        <w:t xml:space="preserve">  **Greenhouse Angels'** target ownership at its cap is approximately **4.17%** (specifically **4.1667%**, calculated as $250,000 / $6,000,000).</w:t>
      </w:r>
    </w:p>
    <w:p>
      <w:pPr>
        <w:pStyle w:val="ListBullet"/>
      </w:pPr>
      <w:r>
        <w:t xml:space="preserve">  If calculated naively, the circularity prevents a straightforward determination of the conversion price per share at the Series A Equity Financing.</w:t>
      </w:r>
    </w:p>
    <w:p/>
    <w:p>
      <w:pPr>
        <w:pStyle w:val="ListBullet"/>
      </w:pPr>
      <w:r>
        <w:t xml:space="preserve">  **Recommended Resolution:** To resolve this circularity, we recommend utilizing Venture Foundry's standard methodology where each SAFE's ownership is calculated separately based on its respective post-money cap relative to the pre-SAFE capitalization, or by defining the conversion of each series of SAFE into its own sub-series of SAFE Preferred Stock (e.g., Series A-1 and Series A-2).</w:t>
      </w:r>
    </w:p>
    <w:p/>
    <w:p>
      <w:r>
        <w:t>Specifically, the definitive agreements should clarify that the conversion shares are calculated algebraically using fixed target percentages to establish the denominator:</w:t>
      </w:r>
    </w:p>
    <w:p>
      <w:r>
        <w:t>$$\text{Total Post-SAFE Capitalization} = \frac{\text{Outstanding Common Shares}}{(1 - \text{Canopy \%} - \text{Greenhouse \%})}$$</w:t>
      </w:r>
    </w:p>
    <w:p>
      <w:r>
        <w:t>$$\text{Total Post-SAFE Capitalization} = \frac{9,000,000}{(1 - 0.15 - 0.041667)} = \frac{9,000,000}{0.808333} = 11,133,951 \text{ shares}$$</w:t>
      </w:r>
    </w:p>
    <w:p>
      <w:pPr>
        <w:pStyle w:val="ListBullet"/>
      </w:pPr>
      <w:r>
        <w:t xml:space="preserve">  **Canopy Conversion Shares:** $11,133,951 \times 15.0\% = 1,670,093 \text{ shares}$</w:t>
      </w:r>
    </w:p>
    <w:p>
      <w:pPr>
        <w:pStyle w:val="ListBullet"/>
      </w:pPr>
      <w:r>
        <w:t xml:space="preserve">  **Greenhouse Conversion Shares:** $11,133,951 \times 4.1667\% = 463,915 \text{ shares}$</w:t>
      </w:r>
    </w:p>
    <w:p/>
    <w:p>
      <w:r>
        <w:t>This approach ensures each SAFE converts independently into its own sub-series of Preferred Stock based on its own cap, completely eliminating algebraic circularity.</w:t>
      </w:r>
    </w:p>
    <w:p/>
    <w:p>
      <w:r>
        <w:t>---</w:t>
      </w:r>
    </w:p>
    <w:p/>
    <w:p>
      <w:pPr>
        <w:pStyle w:val="Heading4"/>
      </w:pPr>
      <w:r>
        <w:t>ISSUE 2: Undocumented Verbal Equity Commitments to Raj Venkatesh and Lena Vasquez</w:t>
      </w:r>
    </w:p>
    <w:p/>
    <w:p>
      <w:pPr>
        <w:pStyle w:val="ListBullet"/>
      </w:pPr>
      <w:r>
        <w:t xml:space="preserve">  **Analysis:** During diligence, it was revealed that the Company made informal, undocumented verbal equity commitments to two key employees:</w:t>
      </w:r>
    </w:p>
    <w:p>
      <w:pPr>
        <w:pStyle w:val="ListNumber"/>
      </w:pPr>
      <w:r>
        <w:t xml:space="preserve"> **Raj Venkatesh** (Lead ML Engineer): Promised **2.0%** of fully diluted equity.</w:t>
      </w:r>
    </w:p>
    <w:p>
      <w:pPr>
        <w:pStyle w:val="ListNumber"/>
      </w:pPr>
      <w:r>
        <w:t xml:space="preserve"> **Lena Vasquez** (Head of Business Development): Promised **1.5%** of fully diluted equity.</w:t>
      </w:r>
    </w:p>
    <w:p/>
    <w:p>
      <w:r>
        <w:t>These commitments aggregate to **3.5%** of the Company's fully diluted equity. They are completely absent from the current capitalization table and are not memorialized in any written agreements (such as offer letters, option agreements, or restricted stock purchase agreements). This creates a material risk of "phantom dilution" and potential future litigation or founder-investor disputes.</w:t>
      </w:r>
    </w:p>
    <w:p/>
    <w:p>
      <w:pPr>
        <w:pStyle w:val="ListBullet"/>
      </w:pPr>
      <w:r>
        <w:t xml:space="preserve">  **Recommended Resolution:**</w:t>
      </w:r>
    </w:p>
    <w:p>
      <w:pPr>
        <w:pStyle w:val="ListNumber"/>
      </w:pPr>
      <w:r>
        <w:t xml:space="preserve"> **Disclosure:** Require the Company to explicitly disclose these verbal commitments in a dedicated Capitalization Disclosure Schedule attached to the SAFE, qualifying the Capitalization Representation and Warranty.</w:t>
      </w:r>
    </w:p>
    <w:p>
      <w:pPr>
        <w:pStyle w:val="ListNumber"/>
      </w:pPr>
      <w:r>
        <w:t xml:space="preserve"> **Covenant to Formalize:** Include a post-closing covenant in the side letter requiring the Company to formalize these commitments into written, board-approved restricted stock or option agreements within **30 days** post-closing.</w:t>
      </w:r>
    </w:p>
    <w:p>
      <w:pPr>
        <w:pStyle w:val="ListNumber"/>
      </w:pPr>
      <w:r>
        <w:t xml:space="preserve"> **Option Pool Absorption:** The side letter must explicitly state that these grants will be issued under the newly created 10% Equity Incentive Plan (see Issue 4), thereby absorbing 3.5% of the pool and leaving 6.5% unallocated for future hires. This prevents double-dilution of the founders and ensures the SAFE holders are not diluted.</w:t>
      </w:r>
    </w:p>
    <w:p/>
    <w:p>
      <w:r>
        <w:t>---</w:t>
      </w:r>
    </w:p>
    <w:p/>
    <w:p>
      <w:pPr>
        <w:pStyle w:val="Heading4"/>
      </w:pPr>
      <w:r>
        <w:t>ISSUE 3: MFN Scope and Interaction with Greenhouse Angels Follow-on SAFE</w:t>
      </w:r>
    </w:p>
    <w:p/>
    <w:p>
      <w:pPr>
        <w:pStyle w:val="ListBullet"/>
      </w:pPr>
      <w:r>
        <w:t xml:space="preserve">  **Analysis:**</w:t>
      </w:r>
    </w:p>
    <w:p>
      <w:pPr>
        <w:pStyle w:val="ListBullet"/>
      </w:pPr>
      <w:r>
        <w:t xml:space="preserve">  **MFN Scope:** A key drafting question is whether the MFN clause in the SAFE covers only the economic terms of subsequent SAFEs (e.g., a lower valuation cap or a higher discount rate) or also extends to ancillary/side letter rights (e.g., pro rata rights, information rights, or board observer rights) granted to future SAFE investors.</w:t>
      </w:r>
    </w:p>
    <w:p>
      <w:pPr>
        <w:pStyle w:val="ListBullet"/>
      </w:pPr>
      <w:r>
        <w:t xml:space="preserve">  **Greenhouse Angels Follow-on:** Greenhouse Angels is considering a potential additional **$100,000** investment. If Greenhouse Angels executes a subsequent SAFE on the exact same terms as Canopy's SAFE, it will not trigger the MFN. However, if Greenhouse Angels negotiates different or more favorable terms (e.g., a valuation cap below $10,000,000 or a discount above 20%), Canopy's MFN would be triggered, allowing Canopy to amend its SAFE to match those superior terms.</w:t>
      </w:r>
    </w:p>
    <w:p>
      <w:pPr>
        <w:pStyle w:val="ListBullet"/>
      </w:pPr>
      <w:r>
        <w:t xml:space="preserve">  *Note:* The existing Greenhouse SAFE (dated August 2, 2023) has **no discount** and **no MFN**, and being historical, does not trigger any MFN rights.</w:t>
      </w:r>
    </w:p>
    <w:p/>
    <w:p>
      <w:pPr>
        <w:pStyle w:val="ListBullet"/>
      </w:pPr>
      <w:r>
        <w:t xml:space="preserve">  **Recommended Resolution:** We recommend a **bifurcated MFN structure** to resolve the scope question and protect Canopy:</w:t>
      </w:r>
    </w:p>
    <w:p>
      <w:pPr>
        <w:pStyle w:val="ListNumber"/>
      </w:pPr>
      <w:r>
        <w:t xml:space="preserve"> **SAFE Body MFN:** Draft a forward-looking MFN clause in the body of the Canopy SAFE limited strictly to economic terms (valuation cap, discount rate, and conversion mechanics) of subsequent SAFEs issued prior to the Series A Equity Financing.</w:t>
      </w:r>
    </w:p>
    <w:p>
      <w:pPr>
        <w:pStyle w:val="ListNumber"/>
      </w:pPr>
      <w:r>
        <w:t xml:space="preserve"> **Side Letter MFN:** Place an ancillary-rights MFN clause in the side letter, entitling Canopy to any more favorable pro rata, information, or board observer rights granted to future SAFE investors via side letters.</w:t>
      </w:r>
    </w:p>
    <w:p/>
    <w:p>
      <w:r>
        <w:t>This prevents subsequent investors from automatically inheriting Canopy's negotiated side letter rights unless they meet the same investment thresholds, while fully protecting Canopy's economic position.</w:t>
      </w:r>
    </w:p>
    <w:p/>
    <w:p>
      <w:r>
        <w:t>---</w:t>
      </w:r>
    </w:p>
    <w:p/>
    <w:p>
      <w:pPr>
        <w:pStyle w:val="Heading4"/>
      </w:pPr>
      <w:r>
        <w:t>ISSUE 4: Absence of Equity Incentive Plan and Series A Option Pool Dilution</w:t>
      </w:r>
    </w:p>
    <w:p/>
    <w:p>
      <w:pPr>
        <w:pStyle w:val="ListBullet"/>
      </w:pPr>
      <w:r>
        <w:t xml:space="preserve">  **Analysis:** The Company has not yet adopted an Equity Incentive Plan (0 shares currently reserved or issued). At the Series A round, institutional investors will almost certainly require the Company to establish or expand an option pool (typically **10% to 15%** of the post-money capitalization).</w:t>
      </w:r>
    </w:p>
    <w:p/>
    <w:p>
      <w:r>
        <w:t>Under post-money SAFE mechanics, the "Company Capitalization" definition used to calculate the SAFE conversion price explicitly excludes unissued option pools. Consequently, the creation or expansion of an option pool at the Series A round will dilute the common stockholders (the founders) but will **not** dilute the SAFE holders. The entire dilution burden of the Series A option pool is shifted to the founders.</w:t>
      </w:r>
    </w:p>
    <w:p/>
    <w:p>
      <w:pPr>
        <w:pStyle w:val="ListBullet"/>
      </w:pPr>
      <w:r>
        <w:t xml:space="preserve">  **Recommended Resolution:**</w:t>
      </w:r>
    </w:p>
    <w:p>
      <w:pPr>
        <w:pStyle w:val="ListNumber"/>
      </w:pPr>
      <w:r>
        <w:t xml:space="preserve"> **Acknowledge Dilution:** Advise the founders (Dr. Patel and Marcus Tan) of this dilution mechanic. The creation of a post-closing 10% option pool will dilute their combined ownership from 80.83% to 70.83% on a fully diluted basis (reducing their individual holdings from 40.42% to 35.42% each, assuming conversion at the caps).</w:t>
      </w:r>
    </w:p>
    <w:p>
      <w:pPr>
        <w:pStyle w:val="ListNumber"/>
      </w:pPr>
      <w:r>
        <w:t xml:space="preserve"> **Side Letter Covenant:** Include a covenant in the side letter requiring the Board of Directors to adopt a formal 10% Equity Incentive Plan within **30 days** post-closing to absorb the 3.5% verbal commitments and establish a clean equity structure prior to Series A.</w:t>
      </w:r>
    </w:p>
    <w:p/>
    <w:p>
      <w:r>
        <w:t>---</w:t>
      </w:r>
    </w:p>
    <w:p/>
    <w:p>
      <w:pPr>
        <w:pStyle w:val="Heading4"/>
      </w:pPr>
      <w:r>
        <w:t>ISSUE 5: Discount vs. Valuation Cap Breakeven Economics</w:t>
      </w:r>
    </w:p>
    <w:p/>
    <w:p>
      <w:pPr>
        <w:pStyle w:val="ListBullet"/>
      </w:pPr>
      <w:r>
        <w:t xml:space="preserve">  **Analysis:** The Canopy SAFE features a hybrid conversion mechanism: the conversion price is the lesser of the Valuation Cap Price (based on the **$10,000,000** cap) or the Discount Price (reflecting a **20%** discount on the Series A share price). We must analyze the mathematical breakeven point where the discount becomes more favorable than the cap.</w:t>
      </w:r>
    </w:p>
    <w:p/>
    <w:p>
      <w:r>
        <w:t>The discount becomes more favorable than the valuation cap when the Series A pre-money valuation is at or below **$12,500,000**.</w:t>
      </w:r>
    </w:p>
    <w:p/>
    <w:p>
      <w:pPr>
        <w:pStyle w:val="ListBullet"/>
      </w:pPr>
      <w:r>
        <w:t xml:space="preserve">  **At $12,500,000 Pre-Money Valuation:** A 20% discount yields an effective valuation of $10,000,000 ($12,500,000 \times 0.80 = $10,000,000), which is exactly equal to the valuation cap.</w:t>
      </w:r>
    </w:p>
    <w:p>
      <w:pPr>
        <w:pStyle w:val="ListBullet"/>
      </w:pPr>
      <w:r>
        <w:t xml:space="preserve">  **Above $12,500,000 Pre-Money Valuation:** The $10,000,000 valuation cap is more favorable to Canopy, resulting in a lower conversion price and a higher ownership percentage.</w:t>
      </w:r>
    </w:p>
    <w:p>
      <w:pPr>
        <w:pStyle w:val="ListBullet"/>
      </w:pPr>
      <w:r>
        <w:t xml:space="preserve">  **Below $12,500,000 Pre-Money Valuation:** The 20% discount is more favorable to Canopy, providing robust downside protection if the Company raises its Series A at a lower valuation.</w:t>
      </w:r>
    </w:p>
    <w:p/>
    <w:p>
      <w:r>
        <w:t>```</w:t>
      </w:r>
    </w:p>
    <w:p>
      <w:r>
        <w:t>Series A Pre-Money Valuation</w:t>
      </w:r>
    </w:p>
    <w:p>
      <w:r>
        <w:t>|</w:t>
      </w:r>
    </w:p>
    <w:p>
      <w:r>
        <w:t>+---&gt; Above $12,500,000  ===&gt; Valuation Cap ($10M) Controls (Higher Ownership for Canopy)</w:t>
      </w:r>
    </w:p>
    <w:p>
      <w:r>
        <w:t>|</w:t>
      </w:r>
    </w:p>
    <w:p>
      <w:r>
        <w:t>+---&gt; At $12,500,000     ===&gt; Breakeven Point (Cap Price = Discount Price)</w:t>
      </w:r>
    </w:p>
    <w:p>
      <w:r>
        <w:t>|</w:t>
      </w:r>
    </w:p>
    <w:p>
      <w:r>
        <w:t>+---&gt; Below $12,500,000  ===&gt; 20% Discount Controls (Downside Protection for Canopy)</w:t>
      </w:r>
    </w:p>
    <w:p>
      <w:r>
        <w:t>```</w:t>
      </w:r>
    </w:p>
    <w:p/>
    <w:p>
      <w:pPr>
        <w:pStyle w:val="ListBullet"/>
      </w:pPr>
      <w:r>
        <w:t xml:space="preserve">  **Recommended Resolution:** Retain the standard "lesser of" conversion language in Section 1(a) of the SAFE. Ensure the business team is fully briefed on this economic threshold, as it highlights the dual-protection nature of the negotiated terms.</w:t>
      </w:r>
    </w:p>
    <w:p/>
    <w:p>
      <w:r>
        <w:t>---</w:t>
      </w:r>
    </w:p>
    <w:p/>
    <w:p>
      <w:pPr>
        <w:pStyle w:val="Heading4"/>
      </w:pPr>
      <w:r>
        <w:t>ISSUE 6: Placement of Pro Rata and Information Rights (Side Letter vs. SAFE Body)</w:t>
      </w:r>
    </w:p>
    <w:p/>
    <w:p>
      <w:pPr>
        <w:pStyle w:val="ListBullet"/>
      </w:pPr>
      <w:r>
        <w:t xml:space="preserve">  **Analysis:** The term sheet specifies that pro rata and information rights will be documented in a separate side letter rather than embedded in the SAFE itself. This is a standard venture capital practice, but it introduces potential risks regarding:</w:t>
      </w:r>
    </w:p>
    <w:p>
      <w:pPr>
        <w:pStyle w:val="ListBullet"/>
      </w:pPr>
      <w:r>
        <w:t xml:space="preserve">  Whether the SAFE's MFN clause covers side letter rights (addressed in Issue 3).</w:t>
      </w:r>
    </w:p>
    <w:p>
      <w:pPr>
        <w:pStyle w:val="ListBullet"/>
      </w:pPr>
      <w:r>
        <w:t xml:space="preserve">  Ensuring perfect consistency in definitions and party names between the two documents.</w:t>
      </w:r>
    </w:p>
    <w:p>
      <w:pPr>
        <w:pStyle w:val="ListBullet"/>
      </w:pPr>
      <w:r>
        <w:t xml:space="preserve">  Avoiding precedent-setting concerns, as future SAFE investors might demand the same rights if they are embedded in the main SAFE body.</w:t>
      </w:r>
    </w:p>
    <w:p/>
    <w:p>
      <w:pPr>
        <w:pStyle w:val="ListBullet"/>
      </w:pPr>
      <w:r>
        <w:t xml:space="preserve">  **Recommended Resolution:** Keep the pro rata and information rights in the side letter. This maintains a "clean" and standard YC-style SAFE body, which is highly preferred by future Series A institutional investors. To ensure legal enforceability and consistency:</w:t>
      </w:r>
    </w:p>
    <w:p>
      <w:pPr>
        <w:pStyle w:val="ListNumber"/>
      </w:pPr>
      <w:r>
        <w:t xml:space="preserve"> The side letter must be executed concurrently with the SAFE.</w:t>
      </w:r>
    </w:p>
    <w:p>
      <w:pPr>
        <w:pStyle w:val="ListNumber"/>
      </w:pPr>
      <w:r>
        <w:t xml:space="preserve"> The side letter must explicitly incorporate the definitions of the SAFE (such as "Company Capitalization" and "Equity Financing").</w:t>
      </w:r>
    </w:p>
    <w:p>
      <w:pPr>
        <w:pStyle w:val="ListNumber"/>
      </w:pPr>
      <w:r>
        <w:t xml:space="preserve"> The side letter must include an integration clause stating that the SAFE and side letter together constitute the entire agreement between the parties.</w:t>
      </w:r>
    </w:p>
    <w:p/>
    <w:p>
      <w:r>
        <w:t>---</w:t>
      </w:r>
    </w:p>
    <w:p/>
    <w:p>
      <w:pPr>
        <w:pStyle w:val="Heading4"/>
      </w:pPr>
      <w:r>
        <w:t>ISSUE 7: Data Privacy Exposure and California Law Applicability</w:t>
      </w:r>
    </w:p>
    <w:p/>
    <w:p>
      <w:pPr>
        <w:pStyle w:val="ListBullet"/>
      </w:pPr>
      <w:r>
        <w:t xml:space="preserve">  **Analysis:** The Company collects drone imagery data from pilot customers (**AgriWest Cooperative** and **Sunnyside Farms LLC**), which may capture geolocation data, private property details, and farm owner information. This data is processed on AWS. Currently, the Company has no formal privacy policy, no data retention schedule, and no Data Processing Agreements (DPAs) in place with its pilot customers.</w:t>
      </w:r>
    </w:p>
    <w:p/>
    <w:p>
      <w:pPr>
        <w:pStyle w:val="ListBullet"/>
      </w:pPr>
      <w:r>
        <w:t xml:space="preserve">  **California Law Applicability:** Because the Company is headquartered in Davis, California, we analyzed the applicability of the California Consumer Privacy Act (CCPA) / California Privacy Rights Act (CPRA).</w:t>
      </w:r>
    </w:p>
    <w:p>
      <w:pPr>
        <w:pStyle w:val="ListBullet"/>
      </w:pPr>
      <w:r>
        <w:t xml:space="preserve">  The Company's lifetime revenue is approximately **$38,000** and its data volume is extremely small. It falls well below the CCPA applicability thresholds (which require $25,000,000+ in annual gross revenue, or commercial processing of personal data of 100,000+ California consumers/households, or deriving 50%+ of revenue from selling/sharing personal data).</w:t>
      </w:r>
    </w:p>
    <w:p>
      <w:pPr>
        <w:pStyle w:val="ListBullet"/>
      </w:pPr>
      <w:r>
        <w:t xml:space="preserve">  Therefore, the Company is currently **exempt** from CCPA/CPRA statutory compliance. However, the lack of formal privacy documentation and DPAs poses significant commercial, contractual, and scaling risks.</w:t>
      </w:r>
    </w:p>
    <w:p/>
    <w:p>
      <w:pPr>
        <w:pStyle w:val="ListBullet"/>
      </w:pPr>
      <w:r>
        <w:t xml:space="preserve">  **Recommended Resolution:**</w:t>
      </w:r>
    </w:p>
    <w:p>
      <w:pPr>
        <w:pStyle w:val="ListNumber"/>
      </w:pPr>
      <w:r>
        <w:t xml:space="preserve"> **Side Letter Representation:** Include a data privacy and compliance representation in the side letter, qualified by a materiality standard, with a disclosure schedule carve-out acknowledging the current absence of formal privacy policies and DPAs.</w:t>
      </w:r>
    </w:p>
    <w:p>
      <w:pPr>
        <w:pStyle w:val="ListNumber"/>
      </w:pPr>
      <w:r>
        <w:t xml:space="preserve"> **Post-Closing Covenant:** Include a covenant in the side letter requiring the Company to adopt a comprehensive, legally compliant privacy policy, implement a data retention schedule, and execute standard-form DPAs with AgriWest Cooperative and Sunnyside Farms LLC within **60 days** post-closing (accelerated from the Company's proposed 90 days to minimize ongoing exposure).</w:t>
      </w:r>
    </w:p>
    <w:p/>
    <w:p>
      <w:r>
        <w:t>---</w:t>
      </w:r>
    </w:p>
    <w:p/>
    <w:p>
      <w:pPr>
        <w:pStyle w:val="Heading4"/>
      </w:pPr>
      <w:r>
        <w:t>ISSUE 8: Open-Source License Risk with Modified ResNet Architecture</w:t>
      </w:r>
    </w:p>
    <w:p/>
    <w:p>
      <w:pPr>
        <w:pStyle w:val="ListBullet"/>
      </w:pPr>
      <w:r>
        <w:t xml:space="preserve">  **Analysis:** The Company's core product utilizes a "modified ResNet architecture" for its image segmentation algorithm. While PyTorch (the underlying framework) is licensed under a permissive BSD license, the specific license terms of the modified ResNet implementation used by the Company are currently unspecified.</w:t>
      </w:r>
    </w:p>
    <w:p/>
    <w:p>
      <w:r>
        <w:t>If the underlying ResNet code was obtained from a repository licensed under a copyleft license (such as GPL v3 or AGPL v3), the Company faces a severe risk of being legally required to release its proprietary modifications and core algorithm as open-source. This would destroy the commercial value of its intellectual property and render its provisional patent application commercially unenforceable.</w:t>
      </w:r>
    </w:p>
    <w:p/>
    <w:p>
      <w:pPr>
        <w:pStyle w:val="ListBullet"/>
      </w:pPr>
      <w:r>
        <w:t xml:space="preserve">  **Recommended Resolution:**</w:t>
      </w:r>
    </w:p>
    <w:p>
      <w:pPr>
        <w:pStyle w:val="ListNumber"/>
      </w:pPr>
      <w:r>
        <w:t xml:space="preserve"> **Side Letter Representation:** Include a robust IP and open-source representation in the side letter, requiring the Company to deliver a complete schedule of all open-source software components and their respective license types.</w:t>
      </w:r>
    </w:p>
    <w:p>
      <w:pPr>
        <w:pStyle w:val="ListNumber"/>
      </w:pPr>
      <w:r>
        <w:t xml:space="preserve"> **CTO Verification:** Marcus Tan (CTO) must immediately pull the original repository information and confirm the license terms of the ResNet implementation prior to signing. If copyleft code is detected, the Company must immediately replace it with a permissive (MIT/BSD) alternative.</w:t>
      </w:r>
    </w:p>
    <w:p/>
    <w:p>
      <w:r>
        <w:t>---</w:t>
      </w:r>
    </w:p>
    <w:p/>
    <w:p>
      <w:pPr>
        <w:pStyle w:val="Heading4"/>
      </w:pPr>
      <w:r>
        <w:t>ISSUE 9: Dissolution Payment Priority Among Multiple SAFEs</w:t>
      </w:r>
    </w:p>
    <w:p/>
    <w:p>
      <w:pPr>
        <w:pStyle w:val="ListBullet"/>
      </w:pPr>
      <w:r>
        <w:t xml:space="preserve">  **Analysis:** Upon a Dissolution Event, we must address whether the Canopy SAFE (**$1,500,000**) and the Greenhouse Angels SAFE (**$250,000**) are paid pari passu or in some priority order. The combined outstanding SAFE obligations total **$1,750,000**.</w:t>
      </w:r>
    </w:p>
    <w:p/>
    <w:p>
      <w:pPr>
        <w:pStyle w:val="ListBullet"/>
      </w:pPr>
      <w:r>
        <w:t xml:space="preserve">  **Recommended Resolution:** Standard Venture Foundry and industry practice is that all outstanding SAFEs are treated *pari passu* (on equal footing) and will share pro rata in any remaining assets of the Company if the assets are insufficient to pay the full purchase amounts.</w:t>
      </w:r>
    </w:p>
    <w:p/>
    <w:p>
      <w:r>
        <w:t>We recommend keeping the standard *pari passu* language in Section 1(c) of the Canopy SAFE. Attempting to subordinate the Greenhouse SAFE would require a bilateral amendment that Greenhouse Angels would reject, potentially stalling the transaction.</w:t>
      </w:r>
    </w:p>
    <w:p/>
    <w:p>
      <w:r>
        <w:t>---</w:t>
      </w:r>
    </w:p>
    <w:p/>
    <w:p>
      <w:pPr>
        <w:pStyle w:val="Heading4"/>
      </w:pPr>
      <w:r>
        <w:t>ISSUE 10: Scope of Representations and Warranties (Lean SAFE vs. Expanded Reps)</w:t>
      </w:r>
    </w:p>
    <w:p/>
    <w:p>
      <w:pPr>
        <w:pStyle w:val="ListBullet"/>
      </w:pPr>
      <w:r>
        <w:t xml:space="preserve">  **Analysis:** There is a natural tension between keeping the SAFE lean (the standard Venture Foundry / YC form contains minimal representations, typically limited to corporate authorization and accredited investor status) versus including expanded representations (IP, data privacy, cap table accuracy, compliance with laws, no litigation) as requested by Canopy and its counsel.</w:t>
      </w:r>
    </w:p>
    <w:p/>
    <w:p>
      <w:pPr>
        <w:pStyle w:val="ListBullet"/>
      </w:pPr>
      <w:r>
        <w:t xml:space="preserve">  **Recommended Resolution:** We recommend a **hybrid approach** to balance these interests:</w:t>
      </w:r>
    </w:p>
    <w:p>
      <w:pPr>
        <w:pStyle w:val="ListNumber"/>
      </w:pPr>
      <w:r>
        <w:t xml:space="preserve"> **SAFE Body:** Include a robust capitalization representation directly in the SAFE body (confirming the accuracy and completeness of the cap table, including all written and oral commitments). This is critical because capitalization directly impacts the conversion price.</w:t>
      </w:r>
    </w:p>
    <w:p>
      <w:pPr>
        <w:pStyle w:val="ListNumber"/>
      </w:pPr>
      <w:r>
        <w:t xml:space="preserve"> **Side Letter:** Place the highly negotiated, detailed representations (IP ownership, open-source compliance, data privacy, and compliance with laws) in the side letter.</w:t>
      </w:r>
    </w:p>
    <w:p/>
    <w:p>
      <w:r>
        <w:t>This hybrid approach preserves the "lean" and standard appearance of the SAFE body (which is important for future financing rounds and founder relations) while providing Canopy with full contractual recourse and investor protection through the side letter.</w:t>
      </w:r>
    </w:p>
    <w:p/>
    <w:p>
      <w:r>
        <w:t>---</w:t>
      </w:r>
    </w:p>
    <w:p/>
    <w:p>
      <w:pPr>
        <w:pStyle w:val="Heading3"/>
      </w:pPr>
      <w:r>
        <w:t>PRO-FORMA CAPITALIZATION RECONCILIATION</w:t>
      </w:r>
    </w:p>
    <w:p/>
    <w:p>
      <w:r>
        <w:t>The following table mathematically reconciles the Company's capitalization as of the target closing date of **February 14, 2025**, assuming conversion at the respective post-money valuation caps:</w:t>
      </w:r>
    </w:p>
    <w:p/>
    <w:p>
      <w:r>
        <w:t>| Shareholder / Security Holder | Common Shares | Vested Shares (as of 2/14/2025) | Unvested Shares (as of 2/14/2025) | Illustrative Conversion % (at Caps) | Fully Diluted Share Count (at Caps) |</w:t>
      </w:r>
    </w:p>
    <w:p>
      <w:r>
        <w:t>| :--- | :---: | :---: | :---: | :---: | :---: |</w:t>
      </w:r>
    </w:p>
    <w:p>
      <w:r>
        <w:t>| **Dr. Anisha Patel** (CEO) | 4,500,000 | 2,156,250 | 2,343,750 | 40.42% | 4,500,000 |</w:t>
      </w:r>
    </w:p>
    <w:p>
      <w:r>
        <w:t>| **Marcus Tan** (CTO) | 4,500,000 | 2,156,250 | 2,343,750 | 40.42% | 4,500,000 |</w:t>
      </w:r>
    </w:p>
    <w:p>
      <w:r>
        <w:t>| **Greenhouse Angels LLC** SAFE | — | — | — | 4.17% | 463,915 |</w:t>
      </w:r>
    </w:p>
    <w:p>
      <w:r>
        <w:t>| **Canopy Ventures Fund II, LP** SAFE | — | — | — | 15.00% | 1,670,093 |</w:t>
      </w:r>
    </w:p>
    <w:p>
      <w:r>
        <w:t>| **Unallocated Option Pool** (10%) | — | — | — | 0.00% | 0 |</w:t>
      </w:r>
    </w:p>
    <w:p>
      <w:r>
        <w:t>| **Total Capitalization** | **9,000,000** | **4,312,500** | **4,687,500** | **100.00%** | **11,133,951** |</w:t>
      </w:r>
    </w:p>
    <w:p/>
    <w:p>
      <w:r>
        <w:t>*Note on Founder Vesting:* Founders are subject to a 4-year vesting schedule with a 1-year cliff, commencing March 14, 2023. As of February 14, 2025, exactly **23 months** have elapsed. Each founder has vested **47.92%** of their shares (2,156,250 shares each). This high level of vested founder equity (nearly 50%) presents a key-person risk for Canopy, which is addressed in the side letter covenants.</w:t>
      </w:r>
    </w:p>
    <w:p/>
    <w:p>
      <w:r>
        <w:t>---</w:t>
      </w:r>
    </w:p>
    <w:p/>
    <w:p>
      <w:pPr>
        <w:pStyle w:val="Heading3"/>
      </w:pPr>
      <w:r>
        <w:t>OPEN ITEMS REQUIRING IMMEDIATE INPUT</w:t>
      </w:r>
    </w:p>
    <w:p/>
    <w:p>
      <w:r>
        <w:t>To finalize the transaction documents, the following items require immediate input from the client or counterparty:</w:t>
      </w:r>
    </w:p>
    <w:p/>
    <w:p>
      <w:pPr>
        <w:pStyle w:val="ListNumber"/>
      </w:pPr>
      <w:r>
        <w:t xml:space="preserve"> **Patent Status Confirmation (Client Input Required):** Dr. Patel must confirm whether a non-provisional patent application was timely filed before the **November 8, 2024** deadline to claim priority from provisional application USPTO No. 18/412,337. If no non-provisional application was filed, the priority date is lost, and the core algorithm may have entered the public domain. Canopy must make the delivery of the filed non-provisional patent application and its USPTO filing receipt an absolute condition precedent to closing.</w:t>
      </w:r>
    </w:p>
    <w:p>
      <w:pPr>
        <w:pStyle w:val="ListNumber"/>
      </w:pPr>
      <w:r>
        <w:t xml:space="preserve"> **ResNet License Terms (Client Input Required):** Marcus Tan (CTO) must provide the exact source repository and license terms for the modified ResNet architecture to rule out GPL/copyleft risks.</w:t>
      </w:r>
    </w:p>
    <w:p>
      <w:pPr>
        <w:pStyle w:val="ListNumber"/>
      </w:pPr>
      <w:r>
        <w:t xml:space="preserve"> **Greenhouse Angels Follow-on Terms (Counterparty/Client Input Required):** Confirm whether Greenhouse Angels' potential $100,000 follow-on investment will be executed on the exact same terms as the Canopy SAFE (including the 20% discount and $10M cap) or if they are negotiating different terms that could trigger Canopy's MFN.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