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**SIMPLE AGREEMENT FOR FUTURE EQUITY**</w:t>
      </w:r>
    </w:p>
    <w:p/>
    <w:p>
      <w:r>
        <w:t>**(POST-MONEY VALUATION CAP WITH DISCOUNT AND MFN)**</w:t>
      </w:r>
    </w:p>
    <w:p/>
    <w:p>
      <w:r>
        <w:t>**THIS SIMPLE AGREEMENT FOR FUTURE EQUITY** (this “**Safe**”) is issued on February 14, 2025 (the “**Effective Date**”) by **Brightloom AI, Inc.**, a Delaware corporation (the “**Company**”), to **Canopy Ventures Fund II, LP**, a Delaware limited partnership (the “**Investor**”).</w:t>
      </w:r>
    </w:p>
    <w:p/>
    <w:p>
      <w:r>
        <w:t>The Company and the Investor agree that this Safe is issued in exchange for the payment by the Investor of **One Million Five Hundred Thousand Dollars ($1,500,000)** (the “**Purchase Amount**”) on or about the Effective Date. The Purchase Amount shall be payable by wire transfer of immediately available funds to the Company’s designated bank account at Pacific Commerce Bank (Account No. 7841-2203-9156, Routing No. 121-042-883) within three (3) business days of the execution of this Safe.</w:t>
      </w:r>
    </w:p>
    <w:p/>
    <w:p>
      <w:r>
        <w:t>This Safe is one of a series of Safes issued by the Company from time to time containing substantially similar terms (except for the purchase amount, valuation cap, discount rate, or MFN status) (collectively, the “**Safes**”).</w:t>
      </w:r>
    </w:p>
    <w:p/>
    <w:p>
      <w:r>
        <w:t>---</w:t>
      </w:r>
    </w:p>
    <w:p/>
    <w:p>
      <w:pPr>
        <w:pStyle w:val="Heading2"/>
      </w:pPr>
      <w:r>
        <w:t>**1. EVENTS OF CONVERSION AND LIQUIDATION**</w:t>
      </w:r>
    </w:p>
    <w:p/>
    <w:p>
      <w:pPr>
        <w:pStyle w:val="Heading3"/>
      </w:pPr>
      <w:r>
        <w:t>**(a) Equity Financing**</w:t>
      </w:r>
    </w:p>
    <w:p>
      <w:r>
        <w:t>If there is an Equity Financing before the expiration or termination of this Safe, the Company will automatically issue to the Investor a number of shares of Safe Preferred Stock equal to the Purchase Amount divided by the Conversion Price.</w:t>
      </w:r>
    </w:p>
    <w:p/>
    <w:p>
      <w:r>
        <w:t>In connection with the issuance of Safe Preferred Stock by the Company to the Investor under this Section 1(a):</w:t>
      </w:r>
    </w:p>
    <w:p>
      <w:pPr>
        <w:pStyle w:val="ListNumber"/>
      </w:pPr>
      <w:r>
        <w:t>The Investor will execute and deliver to the Company all transaction documents related to the Equity Financing; *provided, however*, that such documents shall be the same documents to be executed by the other purchasers of Preferred Stock, with the same rights, preferences, and privileges, except that the Safe Preferred Stock shall have a liquidation preference reflecting the Conversion Price as set forth herein; and</w:t>
      </w:r>
    </w:p>
    <w:p>
      <w:pPr>
        <w:pStyle w:val="ListNumber"/>
      </w:pPr>
      <w:r>
        <w:t>The Investor will receive pro-rata rights and information rights as set forth in that certain Side Letter executed concurrently herewith by and between the Company and the Investor (the “**Side Letter**”).</w:t>
      </w:r>
    </w:p>
    <w:p/>
    <w:p>
      <w:pPr>
        <w:pStyle w:val="Heading3"/>
      </w:pPr>
      <w:r>
        <w:t>**(b) Liquidity Event**</w:t>
      </w:r>
    </w:p>
    <w:p>
      <w:r>
        <w:t>If there is a Liquidity Event before the expiration or termination of this Safe, the Investor will, at its option, either:</w:t>
      </w:r>
    </w:p>
    <w:p>
      <w:pPr>
        <w:pStyle w:val="ListNumber"/>
      </w:pPr>
      <w:r>
        <w:t>Receive a cash payment equal to the Purchase Amount (subject to the priority rights set forth in Section 1(d) below); or</w:t>
      </w:r>
    </w:p>
    <w:p>
      <w:pPr>
        <w:pStyle w:val="ListNumber"/>
      </w:pPr>
      <w:r>
        <w:t>Automatically receive from the Company a number of shares of Common Stock equal to the Purchase Amount divided by the Liquidity Price, if the Investor fails to select the cash option or if the Company is unable to satisfy the cash payment in full.</w:t>
      </w:r>
    </w:p>
    <w:p/>
    <w:p>
      <w:r>
        <w:t>The Company shall provide the Investor with written notice of an anticipated Liquidity Event not less than ten (10) days prior to the expected closing date of such Liquidity Event. The Investor must deliver its written election to the Company not less than five (5) days prior to the anticipated closing date.</w:t>
      </w:r>
    </w:p>
    <w:p/>
    <w:p>
      <w:pPr>
        <w:pStyle w:val="Heading3"/>
      </w:pPr>
      <w:r>
        <w:t>**(c) Dissolution Event**</w:t>
      </w:r>
    </w:p>
    <w:p>
      <w:r>
        <w:t>If there is a Dissolution Event before the expiration or termination of this Safe, the Company will pay an amount equal to the Purchase Amount, unpaid and outstanding, to the Investor immediately prior to, or concurrently with, the consummation of the Dissolution Event.</w:t>
      </w:r>
    </w:p>
    <w:p/>
    <w:p>
      <w:r>
        <w:t>The Purchase Amount shall be paid out of the assets of the Company legally available for distribution, subject to the payment priorities set forth in Section 1(d) below.</w:t>
      </w:r>
    </w:p>
    <w:p/>
    <w:p>
      <w:pPr>
        <w:pStyle w:val="Heading3"/>
      </w:pPr>
      <w:r>
        <w:t>**(d) Liquidation and Dissolution Priority**</w:t>
      </w:r>
    </w:p>
    <w:p>
      <w:r>
        <w:t>In a Liquidity Event or a Dissolution Event, this Safe is intended to operate as a senior equity security. The payment of the Purchase Amount under Section 1(b)(1) or Section 1(c) shall be:</w:t>
      </w:r>
    </w:p>
    <w:p>
      <w:pPr>
        <w:pStyle w:val="ListNumber"/>
      </w:pPr>
      <w:r>
        <w:t>Subordinate to the payment of all outstanding indebtedness and outstanding liabilities of the Company to its creditors;</w:t>
      </w:r>
    </w:p>
    <w:p>
      <w:pPr>
        <w:pStyle w:val="ListNumber"/>
      </w:pPr>
      <w:r>
        <w:t>Subordinate to any payment obligations to holders of any outstanding Preferred Stock of the Company (if any);</w:t>
      </w:r>
    </w:p>
    <w:p>
      <w:pPr>
        <w:pStyle w:val="ListNumber"/>
      </w:pPr>
      <w:r>
        <w:t>**Pari Passu** (pro-rata) with the payment of the purchase amounts of all other outstanding Safes (including that certain Safe issued to Greenhouse Angels LLC on August 2, 2023, in the purchase amount of $250,000 (the “**Greenhouse Angels SAFE**”)); and</w:t>
      </w:r>
    </w:p>
    <w:p>
      <w:pPr>
        <w:pStyle w:val="ListNumber"/>
      </w:pPr>
      <w:r>
        <w:t>Senior to any distribution of assets or payments to the holders of the Company’s Common Stock.</w:t>
      </w:r>
    </w:p>
    <w:p/>
    <w:p>
      <w:r>
        <w:t>If the Company’s legally available assets are insufficient to permit payment in full of the Purchase Amount and the purchase amounts of all other pari passu Safes, then the entire assets of the Company legally available for distribution shall be distributed pro-rata among the Investor and such other Safe holders in proportion to the full purchase amounts that they would otherwise be entitled to receive.</w:t>
      </w:r>
    </w:p>
    <w:p/>
    <w:p>
      <w:pPr>
        <w:pStyle w:val="Heading3"/>
      </w:pPr>
      <w:r>
        <w:t>**(e) Termination**</w:t>
      </w:r>
    </w:p>
    <w:p>
      <w:r>
        <w:t>This Safe will expire and terminate (without any further action by any party) upon the earliest of:</w:t>
      </w:r>
    </w:p>
    <w:p>
      <w:pPr>
        <w:pStyle w:val="ListNumber"/>
      </w:pPr>
      <w:r>
        <w:t>The issuance of Safe Preferred Stock to the Investor pursuant to Section 1(a);</w:t>
      </w:r>
    </w:p>
    <w:p>
      <w:pPr>
        <w:pStyle w:val="ListNumber"/>
      </w:pPr>
      <w:r>
        <w:t>The payment of the Purchase Amount (or the pro-rata share thereof) to the Investor pursuant to Section 1(b)(1) or Section 1(c); or</w:t>
      </w:r>
    </w:p>
    <w:p>
      <w:pPr>
        <w:pStyle w:val="ListNumber"/>
      </w:pPr>
      <w:r>
        <w:t>The conversion of this Safe into Common Stock pursuant to Section 1(b)(2).</w:t>
      </w:r>
    </w:p>
    <w:p/>
    <w:p>
      <w:r>
        <w:t>---</w:t>
      </w:r>
    </w:p>
    <w:p/>
    <w:p>
      <w:pPr>
        <w:pStyle w:val="Heading2"/>
      </w:pPr>
      <w:r>
        <w:t>**2. DEFINITIONS**</w:t>
      </w:r>
    </w:p>
    <w:p/>
    <w:p>
      <w:pPr>
        <w:pStyle w:val="ListBullet"/>
      </w:pPr>
      <w:r>
        <w:t xml:space="preserve">  “**Cap Price**” means the price per share equal to the Valuation Cap divided by the Company Capitalization.</w:t>
      </w:r>
    </w:p>
    <w:p>
      <w:pPr>
        <w:pStyle w:val="ListBullet"/>
      </w:pPr>
      <w:r>
        <w:t xml:space="preserve">  “**Change of Control**” means:</w:t>
      </w:r>
    </w:p>
    <w:p>
      <w:pPr>
        <w:pStyle w:val="ListNumber"/>
      </w:pPr>
      <w:r>
        <w:t>A transaction or series of related transactions in which more than fifty percent (50%) of the Company’s voting power is transferred; or</w:t>
      </w:r>
    </w:p>
    <w:p>
      <w:pPr>
        <w:pStyle w:val="ListNumber"/>
      </w:pPr>
      <w:r>
        <w:t>A sale, lease, exclusive license, or other disposition of all or substantially all of the assets of the Company.</w:t>
      </w:r>
    </w:p>
    <w:p>
      <w:pPr>
        <w:pStyle w:val="ListBullet"/>
      </w:pPr>
      <w:r>
        <w:t xml:space="preserve">  “**Company Capitalization**” means the sum, as of immediately prior to the Equity Financing, of:</w:t>
      </w:r>
    </w:p>
    <w:p>
      <w:pPr>
        <w:pStyle w:val="ListNumber"/>
      </w:pPr>
      <w:r>
        <w:t>All shares of Capital Stock (expressed on an as-converted basis) issued and outstanding;</w:t>
      </w:r>
    </w:p>
    <w:p>
      <w:pPr>
        <w:pStyle w:val="ListNumber"/>
      </w:pPr>
      <w:r>
        <w:t>All outstanding options, warrants, and other convertible securities (other than the Safes and other converting convertible instruments), whether vested or unvested, and regardless of exercisability; and</w:t>
      </w:r>
    </w:p>
    <w:p>
      <w:pPr>
        <w:pStyle w:val="ListNumber"/>
      </w:pPr>
      <w:r>
        <w:t>All shares of Capital Stock issuable upon the conversion of this Safe and all other outstanding Safes (including the Greenhouse Angels SAFE).</w:t>
      </w:r>
    </w:p>
    <w:p/>
    <w:p>
      <w:r>
        <w:t>*For the avoidance of doubt, Company Capitalization shall explicitly exclude:*</w:t>
      </w:r>
    </w:p>
    <w:p>
      <w:pPr>
        <w:pStyle w:val="ListBullet"/>
      </w:pPr>
      <w:r>
        <w:t xml:space="preserve">  Any shares of Capital Stock reserved and unissued under any equity incentive plan, option pool, or similar plan of the Company that are not subject to outstanding options or awards as of immediately prior to the Equity Financing (the “**Unissued Option Pool**”).</w:t>
      </w:r>
    </w:p>
    <w:p>
      <w:pPr>
        <w:pStyle w:val="ListBullet"/>
      </w:pPr>
      <w:r>
        <w:t xml:space="preserve">  “**Conversion Price**” means the **lesser** of:</w:t>
      </w:r>
    </w:p>
    <w:p>
      <w:pPr>
        <w:pStyle w:val="ListNumber"/>
      </w:pPr>
      <w:r>
        <w:t>The **Cap Price**; and</w:t>
      </w:r>
    </w:p>
    <w:p>
      <w:pPr>
        <w:pStyle w:val="ListNumber"/>
      </w:pPr>
      <w:r>
        <w:t>The **Discount Price**.</w:t>
      </w:r>
    </w:p>
    <w:p>
      <w:pPr>
        <w:pStyle w:val="ListBullet"/>
      </w:pPr>
      <w:r>
        <w:t xml:space="preserve">  “**Discount Price**” means the price per share equal to eighty percent (80%) of the price per share paid by the cash purchasers of Preferred Stock in the Equity Financing (representing a **twenty percent (20%) Discount Rate**).</w:t>
      </w:r>
    </w:p>
    <w:p>
      <w:pPr>
        <w:pStyle w:val="ListBullet"/>
      </w:pPr>
      <w:r>
        <w:t xml:space="preserve">  “**Dissolution Event**” means a voluntary or involuntary liquidation, dissolution, or winding up of the Company, or any other termination of the Company’s corporate existence under Delaware law.</w:t>
      </w:r>
    </w:p>
    <w:p>
      <w:pPr>
        <w:pStyle w:val="ListBullet"/>
      </w:pPr>
      <w:r>
        <w:t xml:space="preserve">  “**Equity Financing**” means a bona fide transaction or series of transactions involving the issuance and sale of Preferred Stock of the Company at a fixed pre-money valuation with the principal purpose of raising capital, resulting in aggregate gross proceeds to the Company of at least **Two Million Dollars ($2,000,000)** (excluding the conversion of this Safe, other outstanding Safes, and any other outstanding convertible debt or instruments).</w:t>
      </w:r>
    </w:p>
    <w:p>
      <w:pPr>
        <w:pStyle w:val="ListBullet"/>
      </w:pPr>
      <w:r>
        <w:t xml:space="preserve">  “**Initial Public Offering**” or “**IPO**” means the closing of the Company’s first firm-commitment underwritten public offering of Common Stock pursuant to an effective registration statement under the Securities Act of 1933, as amended (the “**Securities Act**”), or a direct listing of the Company’s Common Stock on a national securities exchange.</w:t>
      </w:r>
    </w:p>
    <w:p>
      <w:pPr>
        <w:pStyle w:val="ListBullet"/>
      </w:pPr>
      <w:r>
        <w:t xml:space="preserve">  “**Liquidity Capitalization**” means the sum, as of immediately prior to the Liquidity Event, of:</w:t>
      </w:r>
    </w:p>
    <w:p>
      <w:pPr>
        <w:pStyle w:val="ListNumber"/>
      </w:pPr>
      <w:r>
        <w:t>All shares of Capital Stock (expressed on an as-converted basis) issued and outstanding; and</w:t>
      </w:r>
    </w:p>
    <w:p>
      <w:pPr>
        <w:pStyle w:val="ListNumber"/>
      </w:pPr>
      <w:r>
        <w:t>All outstanding options, warrants, and other convertible securities (other than the Safes and other converting convertible instruments), whether vested or unvested.</w:t>
      </w:r>
    </w:p>
    <w:p/>
    <w:p>
      <w:r>
        <w:t>*For the avoidance of doubt, Liquidity Capitalization shall explicitly exclude the Unissued Option Pool.*</w:t>
      </w:r>
    </w:p>
    <w:p>
      <w:pPr>
        <w:pStyle w:val="ListBullet"/>
      </w:pPr>
      <w:r>
        <w:t xml:space="preserve">  “**Liquidity Event**” means a Change of Control or an Initial Public Offering.</w:t>
      </w:r>
    </w:p>
    <w:p>
      <w:pPr>
        <w:pStyle w:val="ListBullet"/>
      </w:pPr>
      <w:r>
        <w:t xml:space="preserve">  “**Liquidity Price**” means the price per share equal to the Valuation Cap divided by the Liquidity Capitalization.</w:t>
      </w:r>
    </w:p>
    <w:p>
      <w:pPr>
        <w:pStyle w:val="ListBullet"/>
      </w:pPr>
      <w:r>
        <w:t xml:space="preserve">  “**Most Favored Nation**” or “**MFN**” provision means that if the Company issues any subsequent Safe or other convertible equity instrument (excluding any standard convertible debt or standard option grants under an approved equity incentive plan) to any investor after the Effective Date and prior to an Equity Financing, which subsequent instrument contains terms more favorable to the holder thereof than the terms of this Safe (including, without limitation, a lower valuation cap, a higher discount rate, or more favorable conversion mechanics) (each, a “**More Favorable Term**”), then:</w:t>
      </w:r>
    </w:p>
    <w:p>
      <w:pPr>
        <w:pStyle w:val="ListNumber"/>
      </w:pPr>
      <w:r>
        <w:t>The Company shall provide prompt written notice of such issuance to the Investor within five (5) business days of such issuance; and</w:t>
      </w:r>
    </w:p>
    <w:p>
      <w:pPr>
        <w:pStyle w:val="ListNumber"/>
      </w:pPr>
      <w:r>
        <w:t>The Investor shall have the right, in its sole discretion, to require the Company to amend and restate this Safe to incorporate such More Favorable Term(s) into this Safe, effective as of the date of issuance of such subsequent instrument.</w:t>
      </w:r>
    </w:p>
    <w:p/>
    <w:p>
      <w:r>
        <w:t>*For the avoidance of doubt, this MFN provision is forward-looking only and does not apply retroactively to the Greenhouse Angels SAFE.*</w:t>
      </w:r>
    </w:p>
    <w:p>
      <w:pPr>
        <w:pStyle w:val="ListBullet"/>
      </w:pPr>
      <w:r>
        <w:t xml:space="preserve">  “**Preferred Stock**” means the preferred stock of the Company.</w:t>
      </w:r>
    </w:p>
    <w:p>
      <w:pPr>
        <w:pStyle w:val="ListBullet"/>
      </w:pPr>
      <w:r>
        <w:t xml:space="preserve">  “**Safe Preferred Stock**” means the shares of a series of Preferred Stock issued to the Investor in an Equity Financing, having the identical rights, privileges, preferences, and restrictions as the shares of Preferred Stock issued to the cash purchasers in the Equity Financing, except that:</w:t>
      </w:r>
    </w:p>
    <w:p>
      <w:pPr>
        <w:pStyle w:val="ListNumber"/>
      </w:pPr>
      <w:r>
        <w:t>The liquidation preference per share of Safe Preferred Stock shall be equal to the Conversion Price (rather than the price per share paid by the cash purchasers); and</w:t>
      </w:r>
    </w:p>
    <w:p>
      <w:pPr>
        <w:pStyle w:val="ListNumber"/>
      </w:pPr>
      <w:r>
        <w:t>The dividend rights and conversion rights shall be adjusted accordingly to reflect such Conversion Price.</w:t>
      </w:r>
    </w:p>
    <w:p>
      <w:pPr>
        <w:pStyle w:val="ListBullet"/>
      </w:pPr>
      <w:r>
        <w:t xml:space="preserve">  “**Valuation Cap**” means **Ten Million Dollars ($10,000,000)** on a post-money basis.</w:t>
      </w:r>
    </w:p>
    <w:p/>
    <w:p>
      <w:r>
        <w:t>---</w:t>
      </w:r>
    </w:p>
    <w:p/>
    <w:p>
      <w:pPr>
        <w:pStyle w:val="Heading2"/>
      </w:pPr>
      <w:r>
        <w:t>**3. REPRESENTATIONS AND WARRANTIES OF THE COMPANY**</w:t>
      </w:r>
    </w:p>
    <w:p/>
    <w:p>
      <w:r>
        <w:t>The Company hereby represents and warrants to the Investor, as of the Effective Date, as follows:</w:t>
      </w:r>
    </w:p>
    <w:p/>
    <w:p>
      <w:pPr>
        <w:pStyle w:val="Heading3"/>
      </w:pPr>
      <w:r>
        <w:t>**(a) Organization, Good Standing, and Qualification**</w:t>
      </w:r>
    </w:p>
    <w:p>
      <w:r>
        <w:t>The Company is a corporation duly organized, validly existing, and in good standing under the laws of the State of Delaware. The Company has all requisite corporate power and authority to own and operate its properties and assets, and to carry on its business as currently conducted and as proposed to be conducted. The Company is duly qualified to transact business and is in good standing in each jurisdiction in which the failure to so qualify would have a material adverse effect on its business, assets, or financial condition.</w:t>
      </w:r>
    </w:p>
    <w:p/>
    <w:p>
      <w:pPr>
        <w:pStyle w:val="Heading3"/>
      </w:pPr>
      <w:r>
        <w:t>**(b) Corporate Power and Authorization**</w:t>
      </w:r>
    </w:p>
    <w:p>
      <w:r>
        <w:t>All corporate action on the part of the Company, its directors, and its stockholders necessary for the authorization, execution, delivery, and performance of this Safe has been taken. This Safe constitutes a valid and legally binding obligation of the Company, enforceable against the Company in accordance with its terms, except as limited by applicable bankruptcy, insolvency, reorganization, moratorium, or other laws of general application relating to or affecting the enforcement of creditors’ rights.</w:t>
      </w:r>
    </w:p>
    <w:p/>
    <w:p>
      <w:pPr>
        <w:pStyle w:val="Heading3"/>
      </w:pPr>
      <w:r>
        <w:t>**(c) Capitalization**</w:t>
      </w:r>
    </w:p>
    <w:p>
      <w:r>
        <w:t>The authorized capital stock of the Company consists of **15,000,000 shares of Common Stock**, par value $0.0001 per share, of which **9,000,000 shares** are issued and outstanding as of the Effective Date. All outstanding shares of Common Stock are held by the founders, Dr. Anisha Patel (4,500,000 shares) and Marcus Tan (4,500,000 shares), and are subject to a four-year vesting schedule with a one-year cliff, commencing March 14, 2023.</w:t>
      </w:r>
    </w:p>
    <w:p/>
    <w:p>
      <w:r>
        <w:t>Except as set forth in **Exhibit A** (the “**Capitalization Disclosure Schedule**”) attached hereto:</w:t>
      </w:r>
    </w:p>
    <w:p>
      <w:pPr>
        <w:pStyle w:val="ListNumber"/>
      </w:pPr>
      <w:r>
        <w:t>There are no outstanding options, warrants, or other rights to purchase or acquire any capital stock of the Company;</w:t>
      </w:r>
    </w:p>
    <w:p>
      <w:pPr>
        <w:pStyle w:val="ListNumber"/>
      </w:pPr>
      <w:r>
        <w:t>There are no outstanding convertible debt instruments, Safes, or other convertible securities of the Company; and</w:t>
      </w:r>
    </w:p>
    <w:p>
      <w:pPr>
        <w:pStyle w:val="ListNumber"/>
      </w:pPr>
      <w:r>
        <w:t>There are no written or oral commitments, promises, or agreements of any kind to issue any shares of capital stock, options, warrants, or other securities of the Company to any employee, consultant, or third party.</w:t>
      </w:r>
    </w:p>
    <w:p/>
    <w:p>
      <w:r>
        <w:t>The Capitalization Disclosure Schedule is complete and accurate as of the Effective Date.</w:t>
      </w:r>
    </w:p>
    <w:p/>
    <w:p>
      <w:pPr>
        <w:pStyle w:val="Heading3"/>
      </w:pPr>
      <w:r>
        <w:t>**(d) Intellectual Property and Open-Source Software**</w:t>
      </w:r>
    </w:p>
    <w:p>
      <w:r>
        <w:t>The Company owns, or possesses sufficient legal rights to, all intellectual property, patents, trademarks, service marks, trade names, copyrights, trade secrets, licenses, information, and proprietary processes and formulas (collectively, “**Intellectual Property**”) necessary for the conduct of its business as now conducted and as proposed to be conducted, without any known conflict with, or infringement of, the rights of others.</w:t>
      </w:r>
    </w:p>
    <w:p/>
    <w:p>
      <w:r>
        <w:t>Except as disclosed in **Exhibit B** (the “**IP and Open-Source Disclosure Schedule**”) attached hereto:</w:t>
      </w:r>
    </w:p>
    <w:p>
      <w:pPr>
        <w:pStyle w:val="ListNumber"/>
      </w:pPr>
      <w:r>
        <w:t>The Company has not incorporated any open-source software subject to copyleft licensing terms (including, without limitation, the GNU General Public License (GPL), GNU Affero General Public License (AGPL), or similar licenses) into its core proprietary image segmentation algorithm or any other proprietary software product of the Company in a manner that would require the disclosure, licensing, or distribution of the Company’s proprietary source code; and</w:t>
      </w:r>
    </w:p>
    <w:p>
      <w:pPr>
        <w:pStyle w:val="ListNumber"/>
      </w:pPr>
      <w:r>
        <w:t>The Company’s provisional patent application (USPTO No. 18/412,337) covering its proprietary image segmentation algorithm was filed on November 8, 2023, and the Company has timely filed a corresponding non-provisional patent application claiming priority to such provisional application prior to the statutory deadline of November 8, 2024.</w:t>
      </w:r>
    </w:p>
    <w:p/>
    <w:p>
      <w:pPr>
        <w:pStyle w:val="Heading3"/>
      </w:pPr>
      <w:r>
        <w:t>**(e) Data Privacy and Compliance**</w:t>
      </w:r>
    </w:p>
    <w:p>
      <w:r>
        <w:t>The Company is, and has been, in compliance in all material respects with all applicable federal, state, and local laws, regulations, and directives regarding data privacy, data protection, and the collection, processing, and storage of personal information or drone imagery data (including, without limitation, the California Consumer Privacy Act (CCPA)).</w:t>
      </w:r>
    </w:p>
    <w:p/>
    <w:p>
      <w:r>
        <w:t>Except as disclosed in **Exhibit C** (the “**Data Privacy Disclosure Schedule**”) attached hereto:</w:t>
      </w:r>
    </w:p>
    <w:p>
      <w:pPr>
        <w:pStyle w:val="ListNumber"/>
      </w:pPr>
      <w:r>
        <w:t>The Company has not received any written notice, complaint, or audit from any regulatory authority or third party alleging non-compliance with data privacy laws; and</w:t>
      </w:r>
    </w:p>
    <w:p>
      <w:pPr>
        <w:pStyle w:val="ListNumber"/>
      </w:pPr>
      <w:r>
        <w:t>The Company has implemented commercially reasonable technical and organizational measures to protect all personal and proprietary data collected from its pilot customers and partners.</w:t>
      </w:r>
    </w:p>
    <w:p/>
    <w:p>
      <w:r>
        <w:t>---</w:t>
      </w:r>
    </w:p>
    <w:p/>
    <w:p>
      <w:pPr>
        <w:pStyle w:val="Heading2"/>
      </w:pPr>
      <w:r>
        <w:t>**4. REPRESENTATIONS AND WARRANTIES OF THE INVESTOR**</w:t>
      </w:r>
    </w:p>
    <w:p/>
    <w:p>
      <w:r>
        <w:t>The Investor hereby represents and warrants to the Company, as of the Effective Date, as follows:</w:t>
      </w:r>
    </w:p>
    <w:p/>
    <w:p>
      <w:pPr>
        <w:pStyle w:val="Heading3"/>
      </w:pPr>
      <w:r>
        <w:t>**(a) Authorization**</w:t>
      </w:r>
    </w:p>
    <w:p>
      <w:r>
        <w:t>The Investor has all requisite power, authority, and capacity to execute and deliver this Safe and to perform its obligations hereunder. This Safe constitutes a valid and legally binding obligation of the Investor, enforceable against the Investor in accordance with its terms.</w:t>
      </w:r>
    </w:p>
    <w:p/>
    <w:p>
      <w:pPr>
        <w:pStyle w:val="Heading3"/>
      </w:pPr>
      <w:r>
        <w:t>**(b) Accredited Investor Status**</w:t>
      </w:r>
    </w:p>
    <w:p>
      <w:r>
        <w:t>The Investor is an “**accredited investor**” within the meaning of Rule 501(a) of Regulation D promulgated under the Securities Act. The Investor has such knowledge and experience in financial and business matters that it is capable of evaluating the merits and risks of its investment in this Safe and the underlying securities.</w:t>
      </w:r>
    </w:p>
    <w:p/>
    <w:p>
      <w:pPr>
        <w:pStyle w:val="Heading3"/>
      </w:pPr>
      <w:r>
        <w:t>**(c) Investment Intent**</w:t>
      </w:r>
    </w:p>
    <w:p>
      <w:r>
        <w:t>The Investor is acquiring this Safe and the underlying securities for its own account, for investment purposes only, and not with a view to, or for sale in connection with, any distribution or public offering thereof in violation of the Securities Act or any applicable state securities laws.</w:t>
      </w:r>
    </w:p>
    <w:p/>
    <w:p>
      <w:r>
        <w:t>---</w:t>
      </w:r>
    </w:p>
    <w:p/>
    <w:p>
      <w:pPr>
        <w:pStyle w:val="Heading2"/>
      </w:pPr>
      <w:r>
        <w:t>**5. MISCELLANEOUS PROVISIONS**</w:t>
      </w:r>
    </w:p>
    <w:p/>
    <w:p>
      <w:pPr>
        <w:pStyle w:val="Heading3"/>
      </w:pPr>
      <w:r>
        <w:t>**(a) Governing Law and Dispute Resolution**</w:t>
      </w:r>
    </w:p>
    <w:p>
      <w:r>
        <w:t>This Safe, and all claims or causes of action arising hereunder, shall be governed by, and construed in accordance with, the laws of the **State of Delaware**, without giving effect to any choice of law or conflict of law provisions.</w:t>
      </w:r>
    </w:p>
    <w:p/>
    <w:p>
      <w:r>
        <w:t>Any legal suit, action, or proceeding arising out of or relating to this Safe shall be instituted exclusively in the state or federal courts located in the **State of Delaware**, and each party irrevocably submits to the exclusive jurisdiction of such courts in any such suit, action, or proceeding.</w:t>
      </w:r>
    </w:p>
    <w:p/>
    <w:p>
      <w:pPr>
        <w:pStyle w:val="Heading3"/>
      </w:pPr>
      <w:r>
        <w:t>**(b) Transfer Restrictions and Securities Law Legends**</w:t>
      </w:r>
    </w:p>
    <w:p>
      <w:r>
        <w:t>This Safe and the underlying securities have not been registered under the Securities Act or any state securities laws and may not be offered, sold, pledged, or otherwise transferred except in compliance with the registration requirements of the Securities Act and applicable state securities laws, or pursuant to an available exemption therefrom.</w:t>
      </w:r>
    </w:p>
    <w:p/>
    <w:p>
      <w:r>
        <w:t>The Investor agrees that any certificate or book-entry representation of the securities issued hereunder shall bear a restrictive legend substantially in the following form:</w:t>
      </w:r>
    </w:p>
    <w:p/>
    <w:p>
      <w:r>
        <w:t>&gt; “THE SECURITIES REPRESENTED HEREBY HAVE NOT BEEN REGISTERED UNDER THE SECURITIES ACT OF 1933, AS AMENDED (THE ‘ACT’), OR UNDER THE SECURITIES LAWS OF ANY STATE. THESE SECURITIES HAVE BEEN ACQUIRED FOR INVESTMENT AND MAY NOT BE OFFERED, SOLD, PLEDGED, OR OTHERWISE TRANSFERRED IN THE ABSENCE OF AN EFFECTIVE REGISTRATION STATEMENT FOR THE SECURITIES UNDER THE ACT OR AN OPINION OF COUNSEL REASONABLY SATISFACTORY TO THE COMPANY THAT SUCH REGISTRATION IS NOT REQUIRED.”</w:t>
      </w:r>
    </w:p>
    <w:p/>
    <w:p>
      <w:pPr>
        <w:pStyle w:val="Heading3"/>
      </w:pPr>
      <w:r>
        <w:t>**(c) Amendments and Waivers**</w:t>
      </w:r>
    </w:p>
    <w:p>
      <w:r>
        <w:t>This Safe may not be amended, modified, or waived except by a written instrument executed by both the Company and the Investor.</w:t>
      </w:r>
    </w:p>
    <w:p/>
    <w:p>
      <w:pPr>
        <w:pStyle w:val="Heading3"/>
      </w:pPr>
      <w:r>
        <w:t>**(d) Notices**</w:t>
      </w:r>
    </w:p>
    <w:p>
      <w:r>
        <w:t>All notices and other communications given or made pursuant to this Safe shall be in writing and shall be deemed effectively given upon the earlier of actual receipt or:</w:t>
      </w:r>
    </w:p>
    <w:p>
      <w:pPr>
        <w:pStyle w:val="ListNumber"/>
      </w:pPr>
      <w:r>
        <w:t>Personal delivery to the party to be notified;</w:t>
      </w:r>
    </w:p>
    <w:p>
      <w:pPr>
        <w:pStyle w:val="ListNumber"/>
      </w:pPr>
      <w:r>
        <w:t>Electronic mail when sent; or</w:t>
      </w:r>
    </w:p>
    <w:p>
      <w:pPr>
        <w:pStyle w:val="ListNumber"/>
      </w:pPr>
      <w:r>
        <w:t>Three (3) business days after deposit with a nationally recognized overnight courier, with written verification of receipt.</w:t>
      </w:r>
    </w:p>
    <w:p/>
    <w:p>
      <w:r>
        <w:t>All communications shall be sent to the respective parties at their addresses set forth below:</w:t>
      </w:r>
    </w:p>
    <w:p/>
    <w:p>
      <w:pPr>
        <w:pStyle w:val="ListBullet"/>
      </w:pPr>
      <w:r>
        <w:t xml:space="preserve">  **If to the Company:**</w:t>
      </w:r>
    </w:p>
    <w:p>
      <w:r>
        <w:t>Brightloom AI, Inc.</w:t>
      </w:r>
    </w:p>
    <w:p>
      <w:r>
        <w:t>Attn: Dr. Anisha Patel, CEO</w:t>
      </w:r>
    </w:p>
    <w:p>
      <w:r>
        <w:t>2740 Olive Drive, Suite 104</w:t>
      </w:r>
    </w:p>
    <w:p>
      <w:r>
        <w:t>Davis, CA 95616</w:t>
      </w:r>
    </w:p>
    <w:p>
      <w:r>
        <w:t>Email: anisha.patel@brightloom.ai</w:t>
      </w:r>
    </w:p>
    <w:p/>
    <w:p>
      <w:pPr>
        <w:pStyle w:val="ListBullet"/>
      </w:pPr>
      <w:r>
        <w:t xml:space="preserve">  **If to the Investor:**</w:t>
      </w:r>
    </w:p>
    <w:p>
      <w:r>
        <w:t>Canopy Ventures Fund II, LP</w:t>
      </w:r>
    </w:p>
    <w:p>
      <w:r>
        <w:t>Attn: Jordan Kessler, Managing Partner</w:t>
      </w:r>
    </w:p>
    <w:p>
      <w:r>
        <w:t>450 Pacific Avenue, 12th Floor</w:t>
      </w:r>
    </w:p>
    <w:p>
      <w:r>
        <w:t>San Francisco, CA 94133</w:t>
      </w:r>
    </w:p>
    <w:p>
      <w:r>
        <w:t>Email: jkessler@canopyventures.com</w:t>
      </w:r>
    </w:p>
    <w:p/>
    <w:p>
      <w:pPr>
        <w:pStyle w:val="Heading3"/>
      </w:pPr>
      <w:r>
        <w:t>**(e) Wire Transfer Verification**</w:t>
      </w:r>
    </w:p>
    <w:p>
      <w:r>
        <w:t>To prevent wire fraud and ensure proper corporate treasury controls, the Investor’s legal counsel shall perform a verbal callback verification with the Company’s Chief Executive Officer prior to initiating the wire transfer of the Purchase Amount.</w:t>
      </w:r>
    </w:p>
    <w:p/>
    <w:p>
      <w:r>
        <w:t>---</w:t>
      </w:r>
    </w:p>
    <w:p/>
    <w:p>
      <w:r>
        <w:t>**IN WITNESS WHEREOF**, the parties have executed this Simple Agreement for Future Equity as of the Effective Date.</w:t>
      </w:r>
    </w:p>
    <w:p/>
    <w:p>
      <w:pPr>
        <w:pStyle w:val="Heading3"/>
      </w:pPr>
      <w:r>
        <w:t>**COMPANY:**</w:t>
      </w:r>
    </w:p>
    <w:p>
      <w:r>
        <w:t>**BRIGHTLOOM AI, INC.**</w:t>
      </w:r>
    </w:p>
    <w:p>
      <w:r>
        <w:t>A Delaware corporation</w:t>
      </w:r>
    </w:p>
    <w:p/>
    <w:p>
      <w:r>
        <w:t>By: \_\_\_\_\_\_\_\_\_\_\_\_\_\_\_\_\_\_\_\_\_\_\_\_\_\_\_\_\_\_\_\_\_\_\_\_</w:t>
      </w:r>
    </w:p>
    <w:p>
      <w:r>
        <w:t>Name: Dr. Anisha Patel</w:t>
      </w:r>
    </w:p>
    <w:p>
      <w:r>
        <w:t>Title: Chief Executive Officer</w:t>
      </w:r>
    </w:p>
    <w:p/>
    <w:p>
      <w:r>
        <w:t>---</w:t>
      </w:r>
    </w:p>
    <w:p/>
    <w:p>
      <w:pPr>
        <w:pStyle w:val="Heading3"/>
      </w:pPr>
      <w:r>
        <w:t>**INVESTOR:**</w:t>
      </w:r>
    </w:p>
    <w:p>
      <w:r>
        <w:t>**CANOPY VENTURES FUND II, LP**</w:t>
      </w:r>
    </w:p>
    <w:p>
      <w:r>
        <w:t>A Delaware limited partnership</w:t>
      </w:r>
    </w:p>
    <w:p/>
    <w:p>
      <w:r>
        <w:t>By: **Canopy Ventures Management LLC**</w:t>
      </w:r>
    </w:p>
    <w:p>
      <w:r>
        <w:t>Its General Partner</w:t>
      </w:r>
    </w:p>
    <w:p/>
    <w:p>
      <w:r>
        <w:t>By: \_\_\_\_\_\_\_\_\_\_\_\_\_\_\_\_\_\_\_\_\_\_\_\_\_\_\_\_\_\_\_\_\_\_\_\_</w:t>
      </w:r>
    </w:p>
    <w:p>
      <w:r>
        <w:t>Name: Jordan Kessler</w:t>
      </w:r>
    </w:p>
    <w:p>
      <w:r>
        <w:t>Title: Managing Partner</w:t>
      </w:r>
    </w:p>
    <w:p/>
    <w:p>
      <w:r>
        <w:t>---</w:t>
      </w:r>
    </w:p>
    <w:p/>
    <w:p>
      <w:pPr>
        <w:pStyle w:val="Heading2"/>
      </w:pPr>
      <w:r>
        <w:t>**EXHIBIT A**</w:t>
      </w:r>
    </w:p>
    <w:p/>
    <w:p>
      <w:pPr>
        <w:pStyle w:val="Heading3"/>
      </w:pPr>
      <w:r>
        <w:t>**CAPITALIZATION DISCLOSURE SCHEDULE**</w:t>
      </w:r>
    </w:p>
    <w:p/>
    <w:p>
      <w:r>
        <w:t>This Capitalization Disclosure Schedule is delivered by **Brightloom AI, Inc.** (the “**Company**”) in connection with the issuance of the Simple Agreement for Future Equity (the “**Safe**”) to **Canopy Ventures Fund II, LP** (the “**Investor**”) on February 14, 2025.</w:t>
      </w:r>
    </w:p>
    <w:p/>
    <w:p>
      <w:r>
        <w:t>The following disclosures qualify the representations and warranties of the Company set forth in Section 3(c) of the Safe:</w:t>
      </w:r>
    </w:p>
    <w:p/>
    <w:p>
      <w:pPr>
        <w:pStyle w:val="Heading3"/>
      </w:pPr>
      <w:r>
        <w:t>**1. Outstanding Common Stock**</w:t>
      </w:r>
    </w:p>
    <w:p>
      <w:r>
        <w:t>The Company has exactly **9,000,000 shares of Common Stock** issued and outstanding, held as follows:</w:t>
      </w:r>
    </w:p>
    <w:p>
      <w:pPr>
        <w:pStyle w:val="ListBullet"/>
      </w:pPr>
      <w:r>
        <w:t xml:space="preserve">  **Dr. Anisha Patel (CEO &amp; Co-Founder):** 4,500,000 shares of Common Stock.</w:t>
      </w:r>
    </w:p>
    <w:p>
      <w:pPr>
        <w:pStyle w:val="ListBullet"/>
      </w:pPr>
      <w:r>
        <w:t xml:space="preserve">  **Marcus Tan (CTO &amp; Co-Founder):** 4,500,000 shares of Common Stock.</w:t>
      </w:r>
    </w:p>
    <w:p/>
    <w:p>
      <w:r>
        <w:t>*Vesting Terms:* All 9,000,000 shares are subject to a four-year vesting schedule with a one-year cliff, commencing March 14, 2023. As of the Effective Date (February 14, 2025), exactly twenty-three (23) months have elapsed under the vesting schedule. Each founder has vested 47.92% of their shares (2,156,250 shares each, or 4,312,500 shares combined).</w:t>
      </w:r>
    </w:p>
    <w:p/>
    <w:p>
      <w:pPr>
        <w:pStyle w:val="Heading3"/>
      </w:pPr>
      <w:r>
        <w:t>**2. Outstanding Convertible Securities (Existing SAFEs)**</w:t>
      </w:r>
    </w:p>
    <w:p>
      <w:pPr>
        <w:pStyle w:val="ListBullet"/>
      </w:pPr>
      <w:r>
        <w:t xml:space="preserve">  **Greenhouse Angels LLC SAFE:**</w:t>
      </w:r>
    </w:p>
    <w:p>
      <w:pPr>
        <w:pStyle w:val="ListBullet"/>
      </w:pPr>
      <w:r>
        <w:t xml:space="preserve">  *Holder:* Greenhouse Angels LLC, a California limited liability company.</w:t>
      </w:r>
    </w:p>
    <w:p>
      <w:pPr>
        <w:pStyle w:val="ListBullet"/>
      </w:pPr>
      <w:r>
        <w:t xml:space="preserve">  *Date of Issuance:* August 2, 2023.</w:t>
      </w:r>
    </w:p>
    <w:p>
      <w:pPr>
        <w:pStyle w:val="ListBullet"/>
      </w:pPr>
      <w:r>
        <w:t xml:space="preserve">  *Purchase Amount:* Two Hundred Fifty Thousand Dollars ($250,000).</w:t>
      </w:r>
    </w:p>
    <w:p>
      <w:pPr>
        <w:pStyle w:val="ListBullet"/>
      </w:pPr>
      <w:r>
        <w:t xml:space="preserve">  *Post-Money Valuation Cap:* Six Million Dollars ($6,000,000).</w:t>
      </w:r>
    </w:p>
    <w:p>
      <w:pPr>
        <w:pStyle w:val="ListBullet"/>
      </w:pPr>
      <w:r>
        <w:t xml:space="preserve">  *Discount Rate:* None.</w:t>
      </w:r>
    </w:p>
    <w:p>
      <w:pPr>
        <w:pStyle w:val="ListBullet"/>
      </w:pPr>
      <w:r>
        <w:t xml:space="preserve">  *MFN Provision:* None.</w:t>
      </w:r>
    </w:p>
    <w:p>
      <w:pPr>
        <w:pStyle w:val="ListBullet"/>
      </w:pPr>
      <w:r>
        <w:t xml:space="preserve">  *Conversion Percentage at Cap:* Exactly **4.1667%** of the Company Capitalization ($250,000 / $6,000,000).</w:t>
      </w:r>
    </w:p>
    <w:p/>
    <w:p>
      <w:pPr>
        <w:pStyle w:val="Heading3"/>
      </w:pPr>
      <w:r>
        <w:t>**3. Undocumented Verbal Equity Commitments**</w:t>
      </w:r>
    </w:p>
    <w:p>
      <w:r>
        <w:t>The Company has made informal, non-binding verbal equity promises to two (2) key employees. These commitments are not currently documented in any written agreement, offer letter, or board resolution, and no equity incentive plan has been adopted by the Company as of the Effective Date. The details are as follows:</w:t>
      </w:r>
    </w:p>
    <w:p>
      <w:pPr>
        <w:pStyle w:val="ListBullet"/>
      </w:pPr>
      <w:r>
        <w:t xml:space="preserve">  **Raj Venkatesh (Lead ML Engineer):** Verbally promised **2.0%** of the Company’s fully diluted equity at or around the time of his hiring in January 2024.</w:t>
      </w:r>
    </w:p>
    <w:p>
      <w:pPr>
        <w:pStyle w:val="ListBullet"/>
      </w:pPr>
      <w:r>
        <w:t xml:space="preserve">  **Lena Vasquez (Head of Business Development):** Verbally promised **1.5%** of the Company’s fully diluted equity at or around the time of her hiring in April 2024.</w:t>
      </w:r>
    </w:p>
    <w:p>
      <w:pPr>
        <w:pStyle w:val="ListBullet"/>
      </w:pPr>
      <w:r>
        <w:t xml:space="preserve">  **Total Verbal Commitments:** **3.5%** of the Company’s fully diluted equity.</w:t>
      </w:r>
    </w:p>
    <w:p/>
    <w:p>
      <w:r>
        <w:t>*Note on Dilution and Option Pool:* Pursuant to Section 4 of the Side Letter executed concurrently herewith, the Company has covenanted to formalize these verbal commitments into written, board-approved restricted stock or option agreements within thirty (30) days post-closing. These grants shall be issued under the newly created 10% Equity Incentive Plan, thereby absorbing 3.5% of the pool and leaving 6.5% unallocated for future hires.</w:t>
      </w:r>
    </w:p>
    <w:p/>
    <w:p>
      <w:pPr>
        <w:pStyle w:val="Heading3"/>
      </w:pPr>
      <w:r>
        <w:t>**4. Canopy Ventures Fund II, LP SAFE (This Safe)**</w:t>
      </w:r>
    </w:p>
    <w:p>
      <w:pPr>
        <w:pStyle w:val="ListBullet"/>
      </w:pPr>
      <w:r>
        <w:t xml:space="preserve">  *Holder:* Canopy Ventures Fund II, LP, a Delaware limited partnership.</w:t>
      </w:r>
    </w:p>
    <w:p>
      <w:pPr>
        <w:pStyle w:val="ListBullet"/>
      </w:pPr>
      <w:r>
        <w:t xml:space="preserve">  *Purchase Amount:* One Million Five Hundred Thousand Dollars ($1,500,000).</w:t>
      </w:r>
    </w:p>
    <w:p>
      <w:pPr>
        <w:pStyle w:val="ListBullet"/>
      </w:pPr>
      <w:r>
        <w:t xml:space="preserve">  *Post-Money Valuation Cap:* Ten Million Dollars ($10,000,000).</w:t>
      </w:r>
    </w:p>
    <w:p>
      <w:pPr>
        <w:pStyle w:val="ListBullet"/>
      </w:pPr>
      <w:r>
        <w:t xml:space="preserve">  *Discount Rate:* 20%.</w:t>
      </w:r>
    </w:p>
    <w:p>
      <w:pPr>
        <w:pStyle w:val="ListBullet"/>
      </w:pPr>
      <w:r>
        <w:t xml:space="preserve">  *MFN Provision:* Yes (Economic terms only).</w:t>
      </w:r>
    </w:p>
    <w:p>
      <w:pPr>
        <w:pStyle w:val="ListBullet"/>
      </w:pPr>
      <w:r>
        <w:t xml:space="preserve">  *Conversion Percentage at Cap:* Exactly **15.0%** of the Company Capitalization ($1,500,000 / $10,000,000).</w:t>
      </w:r>
    </w:p>
    <w:p/>
    <w:p>
      <w:r>
        <w:t>---</w:t>
      </w:r>
    </w:p>
    <w:p/>
    <w:p>
      <w:pPr>
        <w:pStyle w:val="Heading2"/>
      </w:pPr>
      <w:r>
        <w:t>**EXHIBIT B**</w:t>
      </w:r>
    </w:p>
    <w:p/>
    <w:p>
      <w:pPr>
        <w:pStyle w:val="Heading3"/>
      </w:pPr>
      <w:r>
        <w:t>**IP AND OPEN-SOURCE DISCLOSURE SCHEDULE**</w:t>
      </w:r>
    </w:p>
    <w:p/>
    <w:p>
      <w:r>
        <w:t>This IP and Open-Source Disclosure Schedule is delivered by **Brightloom AI, Inc.** (the “**Company**”) in connection with the issuance of the Simple Agreement for Future Equity (the “**Safe**”) to **Canopy Ventures Fund II, LP** (the “**Investor**”) on February 14, 2025.</w:t>
      </w:r>
    </w:p>
    <w:p/>
    <w:p>
      <w:r>
        <w:t>The following disclosures qualify the representations and warranties of the Company set forth in Section 3(d) of the Safe:</w:t>
      </w:r>
    </w:p>
    <w:p/>
    <w:p>
      <w:pPr>
        <w:pStyle w:val="Heading3"/>
      </w:pPr>
      <w:r>
        <w:t>**1. Open-Source Software Components**</w:t>
      </w:r>
    </w:p>
    <w:p>
      <w:r>
        <w:t>The Company’s core product incorporates a modified ResNet architecture. The specific open-source components and their license types are detailed below:</w:t>
      </w:r>
    </w:p>
    <w:p/>
    <w:p>
      <w:r>
        <w:t>| Component Name | Source Repository / Author | License Type | Copyleft Risk / Mitigation |</w:t>
      </w:r>
    </w:p>
    <w:p>
      <w:r>
        <w:t>| :--- | :--- | :--- | :--- |</w:t>
      </w:r>
    </w:p>
    <w:p>
      <w:r>
        <w:t>| **ResNet-50 Core** | PyTorch torchvision repository | BSD 3-Clause | **None.** Permissive license allows proprietary modifications without copyleft obligations. |</w:t>
      </w:r>
    </w:p>
    <w:p>
      <w:r>
        <w:t>| **Modified Image Segmentation Wrapper** | Custom modifications by Marcus Tan | Proprietary | **None.** Developed entirely in-house; no copyleft code was merged. |</w:t>
      </w:r>
    </w:p>
    <w:p/>
    <w:p>
      <w:pPr>
        <w:pStyle w:val="Heading3"/>
      </w:pPr>
      <w:r>
        <w:t>**2. Patent Status**</w:t>
      </w:r>
    </w:p>
    <w:p>
      <w:pPr>
        <w:pStyle w:val="ListBullet"/>
      </w:pPr>
      <w:r>
        <w:t xml:space="preserve">  **Provisional Patent Application:** USPTO No. 18/412,337, titled “*System and Method for High-Resolution Drone Image Segmentation in Precision Agriculture*,” was filed on November 8, 2023.</w:t>
      </w:r>
    </w:p>
    <w:p>
      <w:pPr>
        <w:pStyle w:val="ListBullet"/>
      </w:pPr>
      <w:r>
        <w:t xml:space="preserve">  **Non-Provisional Patent Application:** The Company has timely filed a corresponding non-provisional patent application claiming priority to the provisional application with the USPTO on November 6, 2024 (prior to the statutory deadline of November 8, 2024). The USPTO filing receipt and proof of filing have been delivered to the Investor as a condition precedent to the closing of this Safe.</w:t>
      </w:r>
    </w:p>
    <w:p/>
    <w:p>
      <w:r>
        <w:t>---</w:t>
      </w:r>
    </w:p>
    <w:p/>
    <w:p>
      <w:pPr>
        <w:pStyle w:val="Heading2"/>
      </w:pPr>
      <w:r>
        <w:t>**EXHIBIT C**</w:t>
      </w:r>
    </w:p>
    <w:p/>
    <w:p>
      <w:pPr>
        <w:pStyle w:val="Heading3"/>
      </w:pPr>
      <w:r>
        <w:t>**DATA PRIVACY DISCLOSURE SCHEDULE**</w:t>
      </w:r>
    </w:p>
    <w:p/>
    <w:p>
      <w:r>
        <w:t>This Data Privacy Disclosure Schedule is delivered by **Brightloom AI, Inc.** (the “**Company**”) in connection with the issuance of the Simple Agreement for Future Equity (the “**Safe**”) to **Canopy Ventures Fund II, LP** (the “**Investor**”) on February 14, 2025.</w:t>
      </w:r>
    </w:p>
    <w:p/>
    <w:p>
      <w:r>
        <w:t>The following disclosures qualify the representations and warranties of the Company set forth in Section 3(e) of the Safe:</w:t>
      </w:r>
    </w:p>
    <w:p/>
    <w:p>
      <w:pPr>
        <w:pStyle w:val="Heading3"/>
      </w:pPr>
      <w:r>
        <w:t>**1. Absence of Formal Privacy Documentation**</w:t>
      </w:r>
    </w:p>
    <w:p>
      <w:r>
        <w:t>The Company is headquartered in Davis, California, and collects drone imagery data from pilot customers. As of the Effective Date, the Company has the following compliance gaps:</w:t>
      </w:r>
    </w:p>
    <w:p>
      <w:pPr>
        <w:pStyle w:val="ListBullet"/>
      </w:pPr>
      <w:r>
        <w:t xml:space="preserve">  **Privacy Policy:** The Company does not currently have a formal, published, CCPA-compliant privacy policy on its website.</w:t>
      </w:r>
    </w:p>
    <w:p>
      <w:pPr>
        <w:pStyle w:val="ListBullet"/>
      </w:pPr>
      <w:r>
        <w:t xml:space="preserve">  **Data Processing Agreements (DPAs):** The Company has not executed formal DPAs or data governance agreements with its active pilot customers, **AgriWest Cooperative** and **Sunnyside Farms LLC**.</w:t>
      </w:r>
    </w:p>
    <w:p/>
    <w:p>
      <w:pPr>
        <w:pStyle w:val="Heading3"/>
      </w:pPr>
      <w:r>
        <w:t>**2. Remediation Covenant**</w:t>
      </w:r>
    </w:p>
    <w:p>
      <w:r>
        <w:t>Pursuant to Section 5 of the Side Letter executed concurrently herewith, the Company has covenanted to:</w:t>
      </w:r>
    </w:p>
    <w:p>
      <w:pPr>
        <w:pStyle w:val="ListNumber"/>
      </w:pPr>
      <w:r>
        <w:t>Adopt a comprehensive, CCPA-compliant privacy policy;</w:t>
      </w:r>
    </w:p>
    <w:p>
      <w:pPr>
        <w:pStyle w:val="ListNumber"/>
      </w:pPr>
      <w:r>
        <w:t>Implement a formal data retention schedule; and</w:t>
      </w:r>
    </w:p>
    <w:p>
      <w:pPr>
        <w:pStyle w:val="ListNumber"/>
      </w:pPr>
      <w:r>
        <w:t>Execute standard-form DPAs with AgriWest Cooperative and Sunnyside Farms LLC,</w:t>
      </w:r>
    </w:p>
    <w:p/>
    <w:p>
      <w:r>
        <w:t>all within sixty (60) days post-closing. Progress reports shall be delivered to the Investor every thirty (30) days until full compliance is achieved.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