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SIDE LETTER AGREEMENT</w:t>
      </w:r>
    </w:p>
    <w:p/>
    <w:p>
      <w:r>
        <w:t>This Side Letter Agreement (this "**Side Letter**") is entered into as of February 14, 2025, by and between **Brightloom AI, Inc.**, a Delaware corporation (the "**Company**"), and **Canopy Ventures Fund II, LP**, a Delaware limited partnership (the "**Investor**").</w:t>
      </w:r>
    </w:p>
    <w:p/>
    <w:p>
      <w:pPr>
        <w:pStyle w:val="Heading2"/>
      </w:pPr>
      <w:r>
        <w:t>RECITALS</w:t>
      </w:r>
    </w:p>
    <w:p/>
    <w:p>
      <w:r>
        <w:t>**WHEREAS**, concurrently herewith, the Company and the Investor are entering into that certain Simple Agreement for Future Equity, dated as of February 14, 2025 (the "**SAFE**"), pursuant to which the Investor is purchasing the SAFE for an aggregate purchase amount of $1,500,000 (the "**Purchase Amount**"); and</w:t>
      </w:r>
    </w:p>
    <w:p/>
    <w:p>
      <w:r>
        <w:t>**WHEREAS**, in connection with the transactions contemplated by the SAFE, the Company and the Investor desire to enter into this Side Letter to grant the Investor certain pro rata, information, and other rights, and to set forth certain representations, warranties, and covenants of the Company.</w:t>
      </w:r>
    </w:p>
    <w:p/>
    <w:p>
      <w:r>
        <w:t>**NOW, THEREFORE**, in consideration of the mutual covenants and agreements contained herein, and for other good and valuable consideration, the receipt and sufficiency of which are hereby acknowledged, the parties hereto agree as follows:</w:t>
      </w:r>
    </w:p>
    <w:p/>
    <w:p>
      <w:r>
        <w:t>---</w:t>
      </w:r>
    </w:p>
    <w:p/>
    <w:p>
      <w:pPr>
        <w:pStyle w:val="Heading2"/>
      </w:pPr>
      <w:r>
        <w:t>SECTION 1. PRO RATA RIGHTS</w:t>
      </w:r>
    </w:p>
    <w:p/>
    <w:p>
      <w:pPr>
        <w:pStyle w:val="Heading3"/>
      </w:pPr>
      <w:r>
        <w:t>1.1 Grant of Pro Rata Right</w:t>
      </w:r>
    </w:p>
    <w:p>
      <w:r>
        <w:t>The Company hereby grants to the Investor the right to purchase its Pro Rata Share (as defined below) of any New Securities (as defined below) that the Company may, from time to time, propose to sell and issue after the date of this Side Letter, including in the next Equity Financing (as defined in the SAFE) or any subsequent equity financing of the Company.</w:t>
      </w:r>
    </w:p>
    <w:p/>
    <w:p>
      <w:pPr>
        <w:pStyle w:val="Heading3"/>
      </w:pPr>
      <w:r>
        <w:t>1.2 Calculation of Pro Rata Share</w:t>
      </w:r>
    </w:p>
    <w:p>
      <w:r>
        <w:t>For purposes of this Side Letter, the Investor’s "**Pro Rata Share**" is the percentage of the Company’s capital stock held by the Investor immediately prior to the applicable equity financing, calculated on an as-converted, fully diluted basis. This calculation shall include:</w:t>
      </w:r>
    </w:p>
    <w:p>
      <w:pPr>
        <w:pStyle w:val="ListNumber"/>
      </w:pPr>
      <w:r>
        <w:t>All shares of Common Stock outstanding;</w:t>
      </w:r>
    </w:p>
    <w:p>
      <w:pPr>
        <w:pStyle w:val="ListNumber"/>
      </w:pPr>
      <w:r>
        <w:t>All shares of Common Stock issuable upon the exercise of outstanding options, warrants, or other convertible securities;</w:t>
      </w:r>
    </w:p>
    <w:p>
      <w:pPr>
        <w:pStyle w:val="ListNumber"/>
      </w:pPr>
      <w:r>
        <w:t>All shares of Common Stock issuable upon the conversion of all outstanding SAFEs (including the SAFE and the existing SAFE issued to Greenhouse Angels LLC on August 2, 2023); and</w:t>
      </w:r>
    </w:p>
    <w:p>
      <w:pPr>
        <w:pStyle w:val="ListNumber"/>
      </w:pPr>
      <w:r>
        <w:t>All shares of Common Stock reserved and unissued under any equity incentive plan or option pool of the Company.</w:t>
      </w:r>
    </w:p>
    <w:p/>
    <w:p>
      <w:pPr>
        <w:pStyle w:val="Heading3"/>
      </w:pPr>
      <w:r>
        <w:t>1.3 Definition of New Securities</w:t>
      </w:r>
    </w:p>
    <w:p>
      <w:r>
        <w:t>"**New Securities**" means any shares of capital stock of the Company, including Common Stock and Preferred Stock, whether now authorized or hereafter, and rights, options, or warrants to purchase such shares of capital stock, and securities of any type whatsoever that are, or may become, convertible into or exchangeable for capital stock; *provided, however*, that "New Securities" does not include:</w:t>
      </w:r>
    </w:p>
    <w:p>
      <w:pPr>
        <w:pStyle w:val="ListNumber"/>
      </w:pPr>
      <w:r>
        <w:t>Shares of Common Stock or options issued to employees, officers, directors, consultants, or other service providers of the Company pursuant to any equity incentive plan approved by the Board of Directors of the Company (the "**Board**");</w:t>
      </w:r>
    </w:p>
    <w:p>
      <w:pPr>
        <w:pStyle w:val="ListNumber"/>
      </w:pPr>
      <w:r>
        <w:t>Shares of capital stock issued as a dividend or distribution on outstanding Preferred Stock or any stock split, stock dividend, or similar recapitalization;</w:t>
      </w:r>
    </w:p>
    <w:p>
      <w:pPr>
        <w:pStyle w:val="ListNumber"/>
      </w:pPr>
      <w:r>
        <w:t>Shares of capital stock issued pursuant to the conversion or exercise of any outstanding convertible securities, options, or warrants; or</w:t>
      </w:r>
    </w:p>
    <w:p>
      <w:pPr>
        <w:pStyle w:val="ListNumber"/>
      </w:pPr>
      <w:r>
        <w:t>Shares of capital stock issued in connection with a bona fide acquisition, merger, or joint venture approved by the Board.</w:t>
      </w:r>
    </w:p>
    <w:p/>
    <w:p>
      <w:pPr>
        <w:pStyle w:val="Heading3"/>
      </w:pPr>
      <w:r>
        <w:t>1.4 Exercise Mechanics</w:t>
      </w:r>
    </w:p>
    <w:p>
      <w:pPr>
        <w:pStyle w:val="ListNumber"/>
      </w:pPr>
      <w:r>
        <w:t>**Notice of Equity Financing**: The Company shall give the Investor written notice (the "**Financing Notice**") of its intention to issue New Securities at least twenty (20) days prior to the expected closing date of the equity financing. The Financing Notice shall describe the type, price, and terms of the New Securities, and shall specify the Investor’s Pro Rata Share and the corresponding dollar amount required to purchase such share.</w:t>
      </w:r>
    </w:p>
    <w:p>
      <w:pPr>
        <w:pStyle w:val="ListNumber"/>
      </w:pPr>
      <w:r>
        <w:t>**Election Period**: The Investor shall have fifteen (15) days from the date of receipt of the Financing Notice (the "**Election Period**") to elect, by written notice to the Company, to purchase up to its Pro Rata Share of the New Securities on the same terms and conditions as specified in the Financing Notice.</w:t>
      </w:r>
    </w:p>
    <w:p>
      <w:pPr>
        <w:pStyle w:val="ListNumber"/>
      </w:pPr>
      <w:r>
        <w:t>**Payment and Closing**: If the Investor elects to purchase its Pro Rata Share, the payment for and issuance of the New Securities shall occur concurrently with the closing of the equity financing.</w:t>
      </w:r>
    </w:p>
    <w:p>
      <w:pPr>
        <w:pStyle w:val="ListNumber"/>
      </w:pPr>
      <w:r>
        <w:t>**Consequences of Non-Exercise**: If the Investor fails to elect to purchase its full Pro Rata Share within the Election Period, the Investor shall be deemed to have waived its right to purchase that portion of the New Securities which it did not elect to purchase, and the Company shall have ninety (90) days thereafter to sell the remaining New Securities to other investors at a price and on terms no more favorable to such other investors than those specified in the Financing Notice.</w:t>
      </w:r>
    </w:p>
    <w:p/>
    <w:p>
      <w:r>
        <w:t>---</w:t>
      </w:r>
    </w:p>
    <w:p/>
    <w:p>
      <w:pPr>
        <w:pStyle w:val="Heading2"/>
      </w:pPr>
      <w:r>
        <w:t>SECTION 2. INFORMATION RIGHTS</w:t>
      </w:r>
    </w:p>
    <w:p/>
    <w:p>
      <w:pPr>
        <w:pStyle w:val="Heading3"/>
      </w:pPr>
      <w:r>
        <w:t>2.1 Quarterly Financial Statements</w:t>
      </w:r>
    </w:p>
    <w:p>
      <w:r>
        <w:t>The Company shall deliver to the Investor, within forty-five (45) days after the end of each fiscal quarter of the Company, unaudited quarterly financial statements, including an unaudited balance sheet, statement of operations, and statement of cash flows for such quarter, prepared in accordance with GAAP (except for the absence of footnotes and subject to normal year-end audit adjustments).</w:t>
      </w:r>
    </w:p>
    <w:p/>
    <w:p>
      <w:pPr>
        <w:pStyle w:val="Heading3"/>
      </w:pPr>
      <w:r>
        <w:t>2.2 Annual Financial Statements</w:t>
      </w:r>
    </w:p>
    <w:p>
      <w:r>
        <w:t>The Company shall deliver to the Investor, within ninety (90) days after the end of each fiscal year of the Company, annual financial statements, including a balance sheet, statement of operations, and statement of cash flows for such fiscal year. Such financial statements shall be audited by a recognized independent public accounting firm if available, or otherwise shall be unaudited and certified by the Chief Executive Officer of the Company.</w:t>
      </w:r>
    </w:p>
    <w:p/>
    <w:p>
      <w:pPr>
        <w:pStyle w:val="Heading3"/>
      </w:pPr>
      <w:r>
        <w:t>2.3 Prompt Notice of Material Adverse Events</w:t>
      </w:r>
    </w:p>
    <w:p>
      <w:r>
        <w:t>The Company shall provide prompt written notice (and in any event within five (5) business days) to the Investor of any event, development, or circumstance that has had, or would reasonably be expected to have, a material adverse effect on the business, assets, liabilities, financial condition, results of operations, or technology of the Company (a "**Material Adverse Event**"), including but not limited to:</w:t>
      </w:r>
    </w:p>
    <w:p>
      <w:pPr>
        <w:pStyle w:val="ListNumber"/>
      </w:pPr>
      <w:r>
        <w:t>Any material litigation, arbitration, or governmental investigation initiated against the Company;</w:t>
      </w:r>
    </w:p>
    <w:p>
      <w:pPr>
        <w:pStyle w:val="ListNumber"/>
      </w:pPr>
      <w:r>
        <w:t>Any material breach or termination of a key commercial contract (including the pilot contracts with AgriWest Cooperative and Sunnyside Farms LLC);</w:t>
      </w:r>
    </w:p>
    <w:p>
      <w:pPr>
        <w:pStyle w:val="ListNumber"/>
      </w:pPr>
      <w:r>
        <w:t>Any material infringement or challenge to the Company’s intellectual property rights; or</w:t>
      </w:r>
    </w:p>
    <w:p>
      <w:pPr>
        <w:pStyle w:val="ListNumber"/>
      </w:pPr>
      <w:r>
        <w:t>Any material cybersecurity breach or unauthorized access to the Company’s systems or customer data.</w:t>
      </w:r>
    </w:p>
    <w:p/>
    <w:p>
      <w:pPr>
        <w:pStyle w:val="Heading3"/>
      </w:pPr>
      <w:r>
        <w:t>2.4 Additional Information</w:t>
      </w:r>
    </w:p>
    <w:p>
      <w:r>
        <w:t>The Company shall deliver to the Investor:</w:t>
      </w:r>
    </w:p>
    <w:p>
      <w:pPr>
        <w:pStyle w:val="ListNumber"/>
      </w:pPr>
      <w:r>
        <w:t>**Monthly Burn Rate Reports**: Within fifteen (15) days after the end of each calendar month, a report detailing the Company’s cash balance, monthly burn rate, and projected runway.</w:t>
      </w:r>
    </w:p>
    <w:p>
      <w:pPr>
        <w:pStyle w:val="ListNumber"/>
      </w:pPr>
      <w:r>
        <w:t>**Key Hire Updates**: Prompt written notice of the hiring or termination of any key employee (including any Vice President level or above, or any lead engineer).</w:t>
      </w:r>
    </w:p>
    <w:p>
      <w:pPr>
        <w:pStyle w:val="ListNumber"/>
      </w:pPr>
      <w:r>
        <w:t>**Other Information**: Such other financial and operating data, reports, or information as the Investor may reasonably request from time to time.</w:t>
      </w:r>
    </w:p>
    <w:p/>
    <w:p>
      <w:r>
        <w:t>---</w:t>
      </w:r>
    </w:p>
    <w:p/>
    <w:p>
      <w:pPr>
        <w:pStyle w:val="Heading2"/>
      </w:pPr>
      <w:r>
        <w:t>SECTION 3. SIDE LETTER MOST FAVORED NATION (MFN) RIGHT</w:t>
      </w:r>
    </w:p>
    <w:p/>
    <w:p>
      <w:pPr>
        <w:pStyle w:val="Heading3"/>
      </w:pPr>
      <w:r>
        <w:t>3.1 Ancillary MFN Right</w:t>
      </w:r>
    </w:p>
    <w:p>
      <w:r>
        <w:t>If, after the date of this Side Letter and prior to the conversion of the SAFE in an Equity Financing, the Company enters into any side letter, amendment, or other agreement with any subsequent investor in connection with a SAFE or other convertible security (a "**Subsequent Side Letter**") that grants such subsequent investor any ancillary, information, pro rata, board representation, board observer, or other non-economic rights that are more favorable to such subsequent investor than the rights granted to the Investor under this Side Letter, then:</w:t>
      </w:r>
    </w:p>
    <w:p>
      <w:pPr>
        <w:pStyle w:val="ListNumber"/>
      </w:pPr>
      <w:r>
        <w:t>The Company shall promptly (and in any event within five (5) business days) notify the Investor in writing of the execution of such Subsequent Side Letter and provide a complete copy thereof; and</w:t>
      </w:r>
    </w:p>
    <w:p>
      <w:pPr>
        <w:pStyle w:val="ListNumber"/>
      </w:pPr>
      <w:r>
        <w:t>The Investor shall have the right, in its sole discretion, to elect to adopt any or all of such more favorable rights, in which case this Side Letter shall be deemed automatically amended to incorporate such rights.</w:t>
      </w:r>
    </w:p>
    <w:p/>
    <w:p>
      <w:pPr>
        <w:pStyle w:val="Heading3"/>
      </w:pPr>
      <w:r>
        <w:t>3.2 Forward-Looking Limitation</w:t>
      </w:r>
    </w:p>
    <w:p>
      <w:r>
        <w:t>For the avoidance of doubt, this Section 3 is forward-looking only and does not apply retroactively to that certain SAFE issued to Greenhouse Angels LLC on August 2, 2023, which does not contain any MFN or side letter rights.</w:t>
      </w:r>
    </w:p>
    <w:p/>
    <w:p>
      <w:r>
        <w:t>---</w:t>
      </w:r>
    </w:p>
    <w:p/>
    <w:p>
      <w:pPr>
        <w:pStyle w:val="Heading2"/>
      </w:pPr>
      <w:r>
        <w:t>SECTION 4. REPRESENTATIONS AND WARRANTIES OF THE COMPANY</w:t>
      </w:r>
    </w:p>
    <w:p/>
    <w:p>
      <w:r>
        <w:t>The Company hereby represents and warrants to the Investor as of the date hereof, except as set forth in the Disclosure Schedule attached hereto as **Exhibit A**:</w:t>
      </w:r>
    </w:p>
    <w:p/>
    <w:p>
      <w:pPr>
        <w:pStyle w:val="Heading3"/>
      </w:pPr>
      <w:r>
        <w:t>4.1 Intellectual Property and Open-Source Software</w:t>
      </w:r>
    </w:p>
    <w:p>
      <w:pPr>
        <w:pStyle w:val="ListNumber"/>
      </w:pPr>
      <w:r>
        <w:t>**Ownership**: The Company owns, or possesses sufficient legal rights to use, all Intellectual Property (as defined below) necessary for the conduct of its business as now conducted and as proposed to be conducted, without any known conflict with, or infringement of, the rights of others.</w:t>
      </w:r>
    </w:p>
    <w:p>
      <w:pPr>
        <w:pStyle w:val="ListNumber"/>
      </w:pPr>
      <w:r>
        <w:t>**No Copyleft Software**: The Company has not incorporated, integrated, bundled, or otherwise utilized any open-source software subject to "copyleft" or "reciprocal" license terms (including, without limitation, the GNU General Public License (GPL), GNU Affero General Public License (AGPL), or similar licenses) in a manner that requires, or conditions the use of such software on, the disclosure, licensing, or distribution of any proprietary source code or core algorithms of the Company (including the Company’s proprietary image segmentation algorithm).</w:t>
      </w:r>
    </w:p>
    <w:p>
      <w:pPr>
        <w:pStyle w:val="ListNumber"/>
      </w:pPr>
      <w:r>
        <w:t>**Open-Source Schedule**: A complete and accurate list of all open-source software components incorporated into the Company’s products, along with their respective license types, is set forth in **Schedule 4.1** of Exhibit A.</w:t>
      </w:r>
    </w:p>
    <w:p>
      <w:pPr>
        <w:pStyle w:val="ListNumber"/>
      </w:pPr>
      <w:r>
        <w:t>**Definition of Intellectual Property**: "**Intellectual Property**" means all patents, patent applications, trademarks, service marks, trade names, copyrights, trade secrets, licenses, domain names, mask works, information, proprietary rights, and processes.</w:t>
      </w:r>
    </w:p>
    <w:p/>
    <w:p>
      <w:pPr>
        <w:pStyle w:val="Heading3"/>
      </w:pPr>
      <w:r>
        <w:t>4.2 Data Privacy and Security</w:t>
      </w:r>
    </w:p>
    <w:p>
      <w:pPr>
        <w:pStyle w:val="ListNumber"/>
      </w:pPr>
      <w:r>
        <w:t>**Compliance**: Except as set forth in **Schedule 4.2** of Exhibit A, the Company is in compliance in all material respects with all applicable laws, regulations, and contractual obligations regarding data privacy, data protection, and cybersecurity, including the California Consumer Privacy Act (CCPA).</w:t>
      </w:r>
    </w:p>
    <w:p>
      <w:pPr>
        <w:pStyle w:val="ListNumber"/>
      </w:pPr>
      <w:r>
        <w:t>**No Breaches**: The Company has not experienced any material security breaches, unauthorized access, or unauthorized disclosure of personal data or customer data collected or processed by or on behalf of the Company.</w:t>
      </w:r>
    </w:p>
    <w:p/>
    <w:p>
      <w:r>
        <w:t>---</w:t>
      </w:r>
    </w:p>
    <w:p/>
    <w:p>
      <w:pPr>
        <w:pStyle w:val="Heading2"/>
      </w:pPr>
      <w:r>
        <w:t>SECTION 5. POST-CLOSING COVENANTS</w:t>
      </w:r>
    </w:p>
    <w:p/>
    <w:p>
      <w:r>
        <w:t>The Company hereby covenants and agrees to perform the following obligations post-closing:</w:t>
      </w:r>
    </w:p>
    <w:p/>
    <w:p>
      <w:pPr>
        <w:pStyle w:val="Heading3"/>
      </w:pPr>
      <w:r>
        <w:t>5.1 Data Privacy Compliance</w:t>
      </w:r>
    </w:p>
    <w:p>
      <w:r>
        <w:t>Within sixty (60) days following the date of this Side Letter, the Company shall:</w:t>
      </w:r>
    </w:p>
    <w:p>
      <w:pPr>
        <w:pStyle w:val="ListNumber"/>
      </w:pPr>
      <w:r>
        <w:t>Adopt and publish a comprehensive, legally compliant, and CCPA-compliant privacy policy on its website;</w:t>
      </w:r>
    </w:p>
    <w:p>
      <w:pPr>
        <w:pStyle w:val="ListNumber"/>
      </w:pPr>
      <w:r>
        <w:t>Implement a formal corporate data retention and security schedule; and</w:t>
      </w:r>
    </w:p>
    <w:p>
      <w:pPr>
        <w:pStyle w:val="ListNumber"/>
      </w:pPr>
      <w:r>
        <w:t>Execute standard-form Data Processing Agreements (DPAs) with all active pilot customers and partners, including AgriWest Cooperative and Sunnyside Farms LLC.</w:t>
      </w:r>
    </w:p>
    <w:p/>
    <w:p>
      <w:pPr>
        <w:pStyle w:val="Heading3"/>
      </w:pPr>
      <w:r>
        <w:t>5.2 Formalization of Verbal Equity Commitments</w:t>
      </w:r>
    </w:p>
    <w:p>
      <w:r>
        <w:t>Within thirty (30) days following the date of this Side Letter, the Company shall:</w:t>
      </w:r>
    </w:p>
    <w:p>
      <w:pPr>
        <w:pStyle w:val="ListNumber"/>
      </w:pPr>
      <w:r>
        <w:t>Adopt a formal, Board-approved Equity Incentive Plan reserving a number of shares of Common Stock equal to ten percent (10%) of the Company’s post-money capitalization (the "**10% Option Pool**"); and</w:t>
      </w:r>
    </w:p>
    <w:p>
      <w:pPr>
        <w:pStyle w:val="ListNumber"/>
      </w:pPr>
      <w:r>
        <w:t>Formalize the undocumented verbal equity commitments to Raj Venkatesh (2.0% of fully diluted equity) and Lena Vasquez (1.5% of fully diluted equity) into written, Board-approved restricted stock or option agreements. Crucially, these grants shall be issued under and carved out of the 10% Option Pool, thereby absorbing 3.5% of the pool and leaving 6.5% unallocated for future hires, ensuring no double-dilution of the founders or the Investor.</w:t>
      </w:r>
    </w:p>
    <w:p/>
    <w:p>
      <w:pPr>
        <w:pStyle w:val="Heading3"/>
      </w:pPr>
      <w:r>
        <w:t>5.3 Greenhouse SAFE Amendment</w:t>
      </w:r>
    </w:p>
    <w:p>
      <w:r>
        <w:t>Within thirty (30) days following the date of this Side Letter, the Company shall execute a bilateral written amendment to that certain SAFE issued to Greenhouse Angels LLC on August 2, 2023, to align its definition of "Company Capitalization" with the definition used in the SAFE (specifically, to include all outstanding options and warrants, whether vested or unvested, in the capitalization denominator), ensuring mathematical consistency across the Company’s capitalization table.</w:t>
      </w:r>
    </w:p>
    <w:p/>
    <w:p>
      <w:pPr>
        <w:pStyle w:val="Heading3"/>
      </w:pPr>
      <w:r>
        <w:t>5.4 Patent Priority and Filing</w:t>
      </w:r>
    </w:p>
    <w:p>
      <w:r>
        <w:t>The Company shall, within ten (10) days following the date of this Side Letter, deliver to the Investor proof of a timely filed non-provisional patent application and the official USPTO filing receipt claiming priority to provisional patent application USPTO No. 18/412,337 (filed November 8, 2023) covering the Company’s core image segmentation algorithm.</w:t>
      </w:r>
    </w:p>
    <w:p/>
    <w:p>
      <w:r>
        <w:t>---</w:t>
      </w:r>
    </w:p>
    <w:p/>
    <w:p>
      <w:pPr>
        <w:pStyle w:val="Heading2"/>
      </w:pPr>
      <w:r>
        <w:t>SECTION 6. MISCELLANEOUS</w:t>
      </w:r>
    </w:p>
    <w:p/>
    <w:p>
      <w:pPr>
        <w:pStyle w:val="Heading3"/>
      </w:pPr>
      <w:r>
        <w:t>6.1 Governing Law</w:t>
      </w:r>
    </w:p>
    <w:p>
      <w:r>
        <w:t>This Side Letter shall be governed by, and construed in accordance with, the laws of the State of Delaware, without regard to the conflicts of law provisions thereof.</w:t>
      </w:r>
    </w:p>
    <w:p/>
    <w:p>
      <w:pPr>
        <w:pStyle w:val="Heading3"/>
      </w:pPr>
      <w:r>
        <w:t>6.2 Dispute Resolution</w:t>
      </w:r>
    </w:p>
    <w:p>
      <w:r>
        <w:t>Any dispute, controversy, or claim arising out of or relating to this Side Letter shall be subject to the exclusive jurisdiction of the state and federal courts located in the State of Delaware, and each party hereby irrevocably submits to the personal jurisdiction of such courts.</w:t>
      </w:r>
    </w:p>
    <w:p/>
    <w:p>
      <w:pPr>
        <w:pStyle w:val="Heading3"/>
      </w:pPr>
      <w:r>
        <w:t>6.3 Entire Agreement</w:t>
      </w:r>
    </w:p>
    <w:p>
      <w:r>
        <w:t>This Side Letter, together with the SAFE, constitutes the entire agreement between the parties with respect to the subject matter hereof and supersedes all prior agreements, understandings, and negotiations, both written and oral, between the parties.</w:t>
      </w:r>
    </w:p>
    <w:p/>
    <w:p>
      <w:pPr>
        <w:pStyle w:val="Heading3"/>
      </w:pPr>
      <w:r>
        <w:t>6.4 Counterparts</w:t>
      </w:r>
    </w:p>
    <w:p>
      <w:r>
        <w:t>This Side Letter may be executed in any number of counterparts, each of which shall be deemed an original, but all of which together shall constitute one and the same instrument. Counterparts may be delivered via facsimile, electronic mail (including pdf), or other transmission method (including DocuSign), and any counterpart so delivered shall be deemed to have been duly and validly delivered and be valid and effective for all purposes.</w:t>
      </w:r>
    </w:p>
    <w:p/>
    <w:p>
      <w:r>
        <w:t>*(Signature Page Follows)*</w:t>
      </w:r>
    </w:p>
    <w:p/>
    <w:p>
      <w:r>
        <w:t>---</w:t>
      </w:r>
    </w:p>
    <w:p/>
    <w:p>
      <w:r>
        <w:t>**IN WITNESS WHEREOF**, the parties hereto have executed this Side Letter Agreement as of the date first written above.</w:t>
      </w:r>
    </w:p>
    <w:p/>
    <w:p>
      <w:pPr>
        <w:pStyle w:val="Heading3"/>
      </w:pPr>
      <w:r>
        <w:t>**COMPANY:**</w:t>
      </w:r>
    </w:p>
    <w:p>
      <w:r>
        <w:t>**BRIGHTLOOM AI, INC.**</w:t>
      </w:r>
    </w:p>
    <w:p/>
    <w:p>
      <w:r>
        <w:t>By: _____________________________________</w:t>
      </w:r>
    </w:p>
    <w:p>
      <w:r>
        <w:t>Name: Dr. Anisha Patel</w:t>
      </w:r>
    </w:p>
    <w:p>
      <w:r>
        <w:t>Title: Chief Executive Officer</w:t>
      </w:r>
    </w:p>
    <w:p/>
    <w:p>
      <w:r>
        <w:t>**Address for Notices:**</w:t>
      </w:r>
    </w:p>
    <w:p>
      <w:r>
        <w:t>2740 Olive Drive, Suite 104</w:t>
      </w:r>
    </w:p>
    <w:p>
      <w:r>
        <w:t>Davis, CA 95616</w:t>
      </w:r>
    </w:p>
    <w:p>
      <w:r>
        <w:t>Email: anisha.patel@brightloom.ai</w:t>
      </w:r>
    </w:p>
    <w:p/>
    <w:p>
      <w:r>
        <w:t>---</w:t>
      </w:r>
    </w:p>
    <w:p/>
    <w:p>
      <w:pPr>
        <w:pStyle w:val="Heading3"/>
      </w:pPr>
      <w:r>
        <w:t>**INVESTOR:**</w:t>
      </w:r>
    </w:p>
    <w:p>
      <w:r>
        <w:t>**CANOPY VENTURES FUND II, LP**</w:t>
      </w:r>
    </w:p>
    <w:p>
      <w:r>
        <w:t>By: Canopy Ventures GP II, LLC, its General Partner</w:t>
      </w:r>
    </w:p>
    <w:p/>
    <w:p>
      <w:r>
        <w:t>By: _____________________________________</w:t>
      </w:r>
    </w:p>
    <w:p>
      <w:r>
        <w:t>Name: Jordan Kessler</w:t>
      </w:r>
    </w:p>
    <w:p>
      <w:r>
        <w:t>Title: Managing Partner</w:t>
      </w:r>
    </w:p>
    <w:p/>
    <w:p>
      <w:r>
        <w:t>**Address for Notices:**</w:t>
      </w:r>
    </w:p>
    <w:p>
      <w:r>
        <w:t>450 Pacific Avenue, 12th Floor</w:t>
      </w:r>
    </w:p>
    <w:p>
      <w:r>
        <w:t>San Francisco, CA 94133</w:t>
      </w:r>
    </w:p>
    <w:p>
      <w:r>
        <w:t>Email: jkessler@canopyventures.com</w:t>
      </w:r>
    </w:p>
    <w:p/>
    <w:p>
      <w:r>
        <w:t>---</w:t>
      </w:r>
    </w:p>
    <w:p/>
    <w:p>
      <w:pPr>
        <w:pStyle w:val="Heading2"/>
      </w:pPr>
      <w:r>
        <w:t>**EXHIBIT A**</w:t>
      </w:r>
    </w:p>
    <w:p>
      <w:pPr>
        <w:pStyle w:val="Heading3"/>
      </w:pPr>
      <w:r>
        <w:t>**DISCLOSURE SCHEDULE**</w:t>
      </w:r>
    </w:p>
    <w:p/>
    <w:p>
      <w:r>
        <w:t>This Disclosure Schedule is made and given pursuant to Section 4 of the Side Letter Agreement dated as of February 14, 2025, by and between Brightloom AI, Inc. and Canopy Ventures Fund II, LP.</w:t>
      </w:r>
    </w:p>
    <w:p/>
    <w:p>
      <w:r>
        <w:t>---</w:t>
      </w:r>
    </w:p>
    <w:p/>
    <w:p>
      <w:pPr>
        <w:pStyle w:val="Heading3"/>
      </w:pPr>
      <w:r>
        <w:t>**Schedule 4.1: Open-Source Software Components**</w:t>
      </w:r>
    </w:p>
    <w:p/>
    <w:p>
      <w:r>
        <w:t>| Component Name | Source Repository / Author | Version | License Type | Copyleft Risk (Yes/No) |</w:t>
      </w:r>
    </w:p>
    <w:p>
      <w:r>
        <w:t>| :--- | :--- | :--- | :--- | :--- |</w:t>
      </w:r>
    </w:p>
    <w:p>
      <w:r>
        <w:t>| Modified ResNet | PyTorch torchvision repository | v0.15.0 | BSD 3-Clause | No |</w:t>
      </w:r>
    </w:p>
    <w:p>
      <w:r>
        <w:t>| NumPy | NumPy Developers | v1.24.0 | BSD 3-Clause | No |</w:t>
      </w:r>
    </w:p>
    <w:p>
      <w:r>
        <w:t>| OpenCV | OpenCV Team | v4.7.0 | Apache 2.0 | No |</w:t>
      </w:r>
    </w:p>
    <w:p/>
    <w:p>
      <w:r>
        <w:t>*Note: The Company’s CTO, Marcus Tan, has verified that the modified ResNet architecture utilized in the core product is based on the standard PyTorch torchvision implementation, which is licensed under the permissive BSD 3-Clause license. No GPL, AGPL, or other copyleft-licensed code has been incorporated into the core image segmentation algorithm.*</w:t>
      </w:r>
    </w:p>
    <w:p/>
    <w:p>
      <w:r>
        <w:t>---</w:t>
      </w:r>
    </w:p>
    <w:p/>
    <w:p>
      <w:pPr>
        <w:pStyle w:val="Heading3"/>
      </w:pPr>
      <w:r>
        <w:t>**Schedule 4.2: Data Privacy and Security Exceptions**</w:t>
      </w:r>
    </w:p>
    <w:p/>
    <w:p>
      <w:pPr>
        <w:pStyle w:val="ListNumber"/>
      </w:pPr>
      <w:r>
        <w:t>**Absence of Formal Privacy Policy**: The Company does not currently have a published, CCPA-compliant privacy policy on its website.</w:t>
      </w:r>
    </w:p>
    <w:p>
      <w:pPr>
        <w:pStyle w:val="ListNumber"/>
      </w:pPr>
      <w:r>
        <w:t>**Absence of Formal DPAs**: The Company has not executed formal Data Processing Agreements (DPAs) with its active pilot customers, AgriWest Cooperative and Sunnyside Farms LLC, despite collecting drone imagery data that may capture identifiable individuals or private property.</w:t>
      </w:r>
    </w:p>
    <w:p>
      <w:pPr>
        <w:pStyle w:val="ListNumber"/>
      </w:pPr>
      <w:r>
        <w:t>**Absence of Data Retention Schedule**: The Company does not currently maintain a formal corporate data retention and security schedule.</w:t>
      </w:r>
    </w:p>
    <w:p/>
    <w:p>
      <w:r>
        <w:t>*Note: These compliance gaps are scheduled to be fully remediated within sixty (60) days post-closing pursuant to the covenant set forth in Section 5.1 of this Side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