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4" w:lineRule="auto"/>
        <w:jc w:val="center"/>
      </w:pPr>
      <w:r>
        <w:rPr>
          <w:rFonts w:ascii="Times New Roman" w:hAnsi="Times New Roman"/>
          <w:b/>
          <w:i w:val="0"/>
          <w:color w:val="000000"/>
          <w:sz w:val="42"/>
        </w:rPr>
        <w:t>Launch-Blind Product Viability Estimation</w:t>
        <w:br/>
        <w:t>from Specifications via LLM Aspect Bridging</w:t>
      </w:r>
    </w:p>
    <w:p>
      <w:pPr>
        <w:spacing w:before="0" w:after="60" w:line="254" w:lineRule="auto"/>
        <w:jc w:val="center"/>
      </w:pPr>
      <w:r>
        <w:rPr>
          <w:rFonts w:ascii="Times New Roman" w:hAnsi="Times New Roman"/>
          <w:b/>
          <w:i w:val="0"/>
          <w:color w:val="000000"/>
          <w:sz w:val="20"/>
        </w:rPr>
        <w:t>Rajvardhan Ajitrao Jagtap, Jyotiraditya Abhijeet Shinde, Tanishq Parag Choudhari,</w:t>
        <w:br/>
        <w:t>Yash Ashok Mohite, Yogesh Malakari Honamore</w:t>
      </w:r>
    </w:p>
    <w:p>
      <w:pPr>
        <w:spacing w:before="0" w:after="160" w:line="254" w:lineRule="auto"/>
        <w:jc w:val="center"/>
      </w:pPr>
      <w:r>
        <w:rPr>
          <w:rFonts w:ascii="Times New Roman" w:hAnsi="Times New Roman"/>
          <w:b w:val="0"/>
          <w:i/>
          <w:color w:val="000000"/>
          <w:sz w:val="18"/>
        </w:rPr>
        <w:t>Department of Computer Science and Engineering</w:t>
        <w:br/>
        <w:t>Rajarambapu Institute of Technology, Rajaramnagar, Sangli, Maharashtra, India</w:t>
      </w:r>
    </w:p>
    <w:p>
      <w:pPr>
        <w:spacing w:before="60" w:after="100" w:line="254" w:lineRule="auto"/>
        <w:jc w:val="both"/>
      </w:pPr>
      <w:r>
        <w:rPr>
          <w:rFonts w:ascii="Times New Roman" w:hAnsi="Times New Roman"/>
          <w:b/>
          <w:i w:val="0"/>
          <w:color w:val="000000"/>
          <w:sz w:val="18"/>
        </w:rPr>
        <w:t>Abstract—</w:t>
      </w:r>
      <w:r>
        <w:rPr>
          <w:rFonts w:ascii="Times New Roman" w:hAnsi="Times New Roman"/>
          <w:b w:val="0"/>
          <w:i w:val="0"/>
          <w:color w:val="000000"/>
          <w:sz w:val="18"/>
        </w:rPr>
        <w:t>Hardware manufacturing commits production capital months before consumer release, yet dominant empirical methods for forecasting commercial reception depend on signals that exist only post-launch: customer reviews, ratings, and sales velocity. This paper evaluates an audited two-stage pipeline for strictly launch-blind product viability estimation using pre-launch specifications alone. In Stage 1, a large language model parses unstructured technical copy under a null-forcing schema into a nine-aspect ontology, retaining specification density and verbatim grounding evidence to resolve the scalar compression bottleneck. In Stage 2, a gradient-boosted decision tree ensemble (XGBoost) with directional monotonic priors maps this representation to an audited market-success proxy. Evaluation follows a frozen forward-in-time protocol partitioned at October 31, 2021 (507 training products, 124 strictly post-cutoff holdout products). On this temporal test set, the promoted architecture achieves Spearman rho = 0.6722 (95% CI [0.5495, 0.7620], asymptotic p = 1.25e-17 against the null of zero rank correlation; top-versus-bottom quintile AUC = 0.9712). Against the controlled scalar-aspect baseline (rho = 0.5623, AUC = 0.8904), this represents a statistically significant gain of delta_rho = +0.1099 (paired bootstrap 95% CI [+0.0485, +0.1833]; paired permutation p = 0.0005). On unseen brands under pure cold-start conditions (n = 82), the model achieves rho = 0.633 (AUC = 0.981). Across a standardized five-fold out-of-fold benchmark over six learner families, XGBoost ranks highest, closely followed by kernel and boosted-tree alternatives. List-ranking yields NDCG@5 = 0.8933, and extreme-group classification reaches 92.0% decision accuracy. Predictions are bit-for-bit invariant under test label deletion.</w:t>
      </w:r>
    </w:p>
    <w:p>
      <w:pPr>
        <w:spacing w:before="40" w:after="160" w:line="254" w:lineRule="auto"/>
        <w:jc w:val="both"/>
      </w:pPr>
      <w:r>
        <w:rPr>
          <w:rFonts w:ascii="Times New Roman" w:hAnsi="Times New Roman"/>
          <w:b/>
          <w:i w:val="0"/>
          <w:color w:val="000000"/>
          <w:sz w:val="18"/>
        </w:rPr>
        <w:t>Index Terms—</w:t>
      </w:r>
      <w:r>
        <w:rPr>
          <w:rFonts w:ascii="Times New Roman" w:hAnsi="Times New Roman"/>
          <w:b w:val="0"/>
          <w:i w:val="0"/>
          <w:color w:val="000000"/>
          <w:sz w:val="18"/>
        </w:rPr>
        <w:t>product success prediction, aspect-based sentiment analysis, cold-start representation, large language models, gradient boosting, electronic word of mouth, temporal validation.</w:t>
      </w:r>
    </w:p>
    <w:p>
      <w:pPr>
        <w:spacing w:before="200" w:after="60" w:line="254" w:lineRule="auto"/>
        <w:jc w:val="left"/>
      </w:pPr>
      <w:r>
        <w:rPr>
          <w:rFonts w:ascii="Times New Roman" w:hAnsi="Times New Roman"/>
          <w:b/>
          <w:i w:val="0"/>
          <w:color w:val="000000"/>
          <w:sz w:val="21"/>
        </w:rPr>
        <w:t>I. INTRODUCTION</w:t>
      </w:r>
    </w:p>
    <w:p>
      <w:pPr>
        <w:spacing w:before="0" w:after="70" w:line="254" w:lineRule="auto"/>
        <w:jc w:val="both"/>
      </w:pPr>
      <w:r>
        <w:rPr>
          <w:rFonts w:ascii="Times New Roman" w:hAnsi="Times New Roman"/>
          <w:b w:val="0"/>
          <w:i w:val="0"/>
          <w:color w:val="000000"/>
          <w:sz w:val="19"/>
        </w:rPr>
        <w:t>Hardware development is financially irreversible. Tooling, component procurement, and manufacturing runs commit capital months before a single customer touches the product [1]. Large firms hedge this risk with costly consumer focus groups. Independent hardware makers and small businesses usually cannot, and many commit production capital on intuition and unverified market sentiment [2]. When reception turns out poorly, the damage ranges from inventory write-downs to corporate liquidation [3].</w:t>
      </w:r>
    </w:p>
    <w:p>
      <w:pPr>
        <w:spacing w:before="0" w:after="70" w:line="254" w:lineRule="auto"/>
        <w:jc w:val="both"/>
      </w:pPr>
      <w:r>
        <w:rPr>
          <w:rFonts w:ascii="Times New Roman" w:hAnsi="Times New Roman"/>
          <w:b w:val="0"/>
          <w:i w:val="0"/>
          <w:color w:val="000000"/>
          <w:sz w:val="19"/>
        </w:rPr>
        <w:t>Econometric and electronic word-of-mouth (e-WOM) research has long shown that online reviews shape market trajectories [4]–[9]. Nearly all machine learning approaches build on that finding, and so they rely on post-launch signals: accumulated review volume, star ratings, or customer sentiment [8], [10]–[12]. When capital is committed, none of these exist. The task is therefore a cold-start problem by construction [13]–[15]: forecast market reception from pre-launch specifications, launch price, and category context alone.</w:t>
      </w:r>
    </w:p>
    <w:p>
      <w:pPr>
        <w:spacing w:before="0" w:after="70" w:line="254" w:lineRule="auto"/>
        <w:jc w:val="both"/>
      </w:pPr>
      <w:r>
        <w:rPr>
          <w:rFonts w:ascii="Times New Roman" w:hAnsi="Times New Roman"/>
          <w:b w:val="0"/>
          <w:i w:val="0"/>
          <w:color w:val="000000"/>
          <w:sz w:val="19"/>
        </w:rPr>
        <w:t>We study a two-stage architecture for this problem (Fig. 1). An LLM acts as a skeptical semantic bridge, translating pre-launch product specifications into a structured quality-aspect representation. A monotonic gradient-boosted decision tree ensemble (XGBoost) then predicts an independently audited, review-derived market-success proxy. Earlier implementations compress a full specification into nine isolated scalar aspect scores, and that compression discards evidence that matters: ingress protection ratings, battery capacity, acoustic measurements, and specification completeness. We propose LLM-COLDSTART-RICH, a representation that keeps verbatim specification grounding, technical fact density, and extraction certainty next to the semantic aspect priors.</w:t>
      </w:r>
    </w:p>
    <w:p>
      <w:pPr>
        <w:spacing w:before="100" w:after="40" w:line="254" w:lineRule="auto"/>
        <w:jc w:val="center"/>
      </w:pPr>
      <w:r>
        <w:drawing>
          <wp:inline xmlns:a="http://schemas.openxmlformats.org/drawingml/2006/main" xmlns:pic="http://schemas.openxmlformats.org/drawingml/2006/picture">
            <wp:extent cx="5577840" cy="2383797"/>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577840" cy="2383797"/>
                    </a:xfrm>
                    <a:prstGeom prst="rect"/>
                  </pic:spPr>
                </pic:pic>
              </a:graphicData>
            </a:graphic>
          </wp:inline>
        </w:drawing>
      </w:r>
    </w:p>
    <w:p>
      <w:pPr>
        <w:spacing w:before="0" w:after="100" w:line="254" w:lineRule="auto"/>
        <w:jc w:val="center"/>
      </w:pPr>
      <w:r>
        <w:rPr>
          <w:rFonts w:ascii="Times New Roman" w:hAnsi="Times New Roman"/>
          <w:b w:val="0"/>
          <w:i/>
          <w:color w:val="000000"/>
          <w:sz w:val="17"/>
        </w:rPr>
        <w:t>Fig. 1. End-to-end launch-blind prediction architecture, from specifications to the market outcome proxy.</w:t>
      </w:r>
    </w:p>
    <w:p>
      <w:pPr>
        <w:spacing w:before="0" w:after="70" w:line="254" w:lineRule="auto"/>
        <w:jc w:val="both"/>
      </w:pPr>
      <w:r>
        <w:rPr>
          <w:rFonts w:ascii="Times New Roman" w:hAnsi="Times New Roman"/>
          <w:b w:val="0"/>
          <w:i w:val="0"/>
          <w:color w:val="000000"/>
          <w:sz w:val="19"/>
        </w:rPr>
        <w:t>This paper makes three contributions. First, we identify the scalar compression bottleneck in aspect bridging and replace it with an evidence-grounded rich representation. Second, we evaluate under a frozen temporal protocol with explicit leakage controls. Third, we report list-ranking and decision-quality analyses, a component ablation, a six-learner sensitivity benchmark, and an external validation cohort.</w:t>
      </w:r>
    </w:p>
    <w:p>
      <w:pPr>
        <w:spacing w:before="200" w:after="60" w:line="254" w:lineRule="auto"/>
        <w:jc w:val="left"/>
      </w:pPr>
      <w:r>
        <w:rPr>
          <w:rFonts w:ascii="Times New Roman" w:hAnsi="Times New Roman"/>
          <w:b/>
          <w:i w:val="0"/>
          <w:color w:val="000000"/>
          <w:sz w:val="21"/>
        </w:rPr>
        <w:t>II. FROZEN EVALUATION PROTOCOL AND LEAKAGE CONTROLS</w:t>
      </w:r>
    </w:p>
    <w:p>
      <w:pPr>
        <w:spacing w:before="0" w:after="70" w:line="254" w:lineRule="auto"/>
        <w:jc w:val="both"/>
      </w:pPr>
      <w:r>
        <w:rPr>
          <w:rFonts w:ascii="Times New Roman" w:hAnsi="Times New Roman"/>
          <w:b w:val="0"/>
          <w:i w:val="0"/>
          <w:color w:val="000000"/>
          <w:sz w:val="19"/>
        </w:rPr>
        <w:t>To make sure the reported performance reflects forward-in-time predictive validity and not retrospective overfitting, we fixed the evaluation protocol before final evaluation. It is anchored at a launch cutoff of October 31, 2021, 23:59:59 UTC. The cutoff marks the boundary of historical information for the primary evaluation. It is not the date of model development or study execution, which took place in 2026. We chose it to obtain a strictly forward-in-time cohort with enough pre-cutoff training items, enough post-cutoff evaluation items, balance across all five categories, and a post-launch exposure window of 7–22 months for ground-truth review metrics to stabilize (Fig. 2).</w:t>
      </w:r>
    </w:p>
    <w:p>
      <w:pPr>
        <w:spacing w:before="0" w:after="70" w:line="254" w:lineRule="auto"/>
        <w:jc w:val="left"/>
      </w:pPr>
      <w:r>
        <w:rPr>
          <w:rFonts w:ascii="Times New Roman" w:hAnsi="Times New Roman"/>
          <w:b w:val="0"/>
          <w:i w:val="0"/>
          <w:color w:val="000000"/>
          <w:sz w:val="19"/>
        </w:rPr>
        <w:t>1. Training pool (n = 507). Physical consumer electronics whose earliest recorded customer review falls on or before the cutoff. The pool draws on 43,599 historical customer reviews across five categories: Bluetooth speakers, ice makers, power banks, smartwatches, and wireless headphones.</w:t>
      </w:r>
    </w:p>
    <w:p>
      <w:pPr>
        <w:spacing w:before="0" w:after="70" w:line="254" w:lineRule="auto"/>
        <w:jc w:val="left"/>
      </w:pPr>
      <w:r>
        <w:rPr>
          <w:rFonts w:ascii="Times New Roman" w:hAnsi="Times New Roman"/>
          <w:b w:val="0"/>
          <w:i w:val="0"/>
          <w:color w:val="000000"/>
          <w:sz w:val="19"/>
        </w:rPr>
        <w:t>2. Launch-blind temporal test pool (n = 124). Products whose first recorded customer review falls strictly after the cutoff (November 1, 2021 to February 28, 2023), which serves as an empirical proxy for launch timing. The model sees only pre-launch specifications, launch price, category, and brand name. Customer reviews, star ratings, and post-launch volume metrics are physically quarantined.</w:t>
      </w:r>
    </w:p>
    <w:p>
      <w:pPr>
        <w:spacing w:before="0" w:after="70" w:line="254" w:lineRule="auto"/>
        <w:jc w:val="left"/>
      </w:pPr>
      <w:r>
        <w:rPr>
          <w:rFonts w:ascii="Times New Roman" w:hAnsi="Times New Roman"/>
          <w:b w:val="0"/>
          <w:i w:val="0"/>
          <w:color w:val="000000"/>
          <w:sz w:val="19"/>
        </w:rPr>
        <w:t>3. Isolated target definition. The regression target is a composite proxy, SuccessScore = 100 * (0.40 * vol_norm + 0.35 * rat_norm + 0.25 * vel_norm). Normalization bounds are fitted on the pre-cutoff training pool only.</w:t>
      </w:r>
    </w:p>
    <w:p>
      <w:pPr>
        <w:spacing w:before="100" w:after="40" w:line="254" w:lineRule="auto"/>
        <w:jc w:val="center"/>
      </w:pPr>
      <w:r>
        <w:drawing>
          <wp:inline xmlns:a="http://schemas.openxmlformats.org/drawingml/2006/main" xmlns:pic="http://schemas.openxmlformats.org/drawingml/2006/picture">
            <wp:extent cx="5577840" cy="3516509"/>
            <wp:docPr id="2" name="Picture 2"/>
            <wp:cNvGraphicFramePr>
              <a:graphicFrameLocks noChangeAspect="1"/>
            </wp:cNvGraphicFramePr>
            <a:graphic>
              <a:graphicData uri="http://schemas.openxmlformats.org/drawingml/2006/picture">
                <pic:pic>
                  <pic:nvPicPr>
                    <pic:cNvPr id="0" name="fig2_temporal_protocol.png"/>
                    <pic:cNvPicPr/>
                  </pic:nvPicPr>
                  <pic:blipFill>
                    <a:blip r:embed="rId10"/>
                    <a:stretch>
                      <a:fillRect/>
                    </a:stretch>
                  </pic:blipFill>
                  <pic:spPr>
                    <a:xfrm>
                      <a:off x="0" y="0"/>
                      <a:ext cx="5577840" cy="3516509"/>
                    </a:xfrm>
                    <a:prstGeom prst="rect"/>
                  </pic:spPr>
                </pic:pic>
              </a:graphicData>
            </a:graphic>
          </wp:inline>
        </w:drawing>
      </w:r>
    </w:p>
    <w:p>
      <w:pPr>
        <w:spacing w:before="0" w:after="100" w:line="254" w:lineRule="auto"/>
        <w:jc w:val="center"/>
      </w:pPr>
      <w:r>
        <w:rPr>
          <w:rFonts w:ascii="Times New Roman" w:hAnsi="Times New Roman"/>
          <w:b w:val="0"/>
          <w:i/>
          <w:color w:val="000000"/>
          <w:sz w:val="17"/>
        </w:rPr>
        <w:t>Fig. 2. Frozen forward-in-time temporal evaluation protocol, partitioned at the October 31, 2021 historical boundary (507 training products, 124 strictly post-cutoff temporal holdout products), together with independent external application validation on a 2022–2024 real-world Amazon cohort (n = 155).</w:t>
      </w:r>
    </w:p>
    <w:p>
      <w:pPr>
        <w:spacing w:before="200" w:after="60" w:line="254" w:lineRule="auto"/>
        <w:jc w:val="left"/>
      </w:pPr>
      <w:r>
        <w:rPr>
          <w:rFonts w:ascii="Times New Roman" w:hAnsi="Times New Roman"/>
          <w:b/>
          <w:i w:val="0"/>
          <w:color w:val="000000"/>
          <w:sz w:val="21"/>
        </w:rPr>
        <w:t>III. METHODOLOGY AND LLM EXTRACTION</w:t>
      </w:r>
    </w:p>
    <w:p>
      <w:pPr>
        <w:spacing w:before="120" w:after="40" w:line="254" w:lineRule="auto"/>
        <w:jc w:val="left"/>
      </w:pPr>
      <w:r>
        <w:rPr>
          <w:rFonts w:ascii="Times New Roman" w:hAnsi="Times New Roman"/>
          <w:b/>
          <w:i/>
          <w:color w:val="000000"/>
          <w:sz w:val="19"/>
        </w:rPr>
        <w:t>A. The Representation Bottleneck in Scalar Aspect Bridging</w:t>
      </w:r>
    </w:p>
    <w:p>
      <w:pPr>
        <w:spacing w:before="0" w:after="70" w:line="254" w:lineRule="auto"/>
        <w:jc w:val="both"/>
      </w:pPr>
      <w:r>
        <w:rPr>
          <w:rFonts w:ascii="Times New Roman" w:hAnsi="Times New Roman"/>
          <w:b w:val="0"/>
          <w:i w:val="0"/>
          <w:color w:val="000000"/>
          <w:sz w:val="19"/>
        </w:rPr>
        <w:t>In the earlier baseline, which we call Model_O, the LLM reduced each specification text to nine broad scalar scores on a 0–10 scale. Under cold-start conditions this compression removes the concrete technical differences between products. When two products receive similar category-anchored scores, the downstream regressor has no technical signal left with which to separate them. We call our proposed model Model_New.</w:t>
      </w:r>
    </w:p>
    <w:p>
      <w:pPr>
        <w:spacing w:before="120" w:after="40" w:line="254" w:lineRule="auto"/>
        <w:jc w:val="left"/>
      </w:pPr>
      <w:r>
        <w:rPr>
          <w:rFonts w:ascii="Times New Roman" w:hAnsi="Times New Roman"/>
          <w:b/>
          <w:i/>
          <w:color w:val="000000"/>
          <w:sz w:val="19"/>
        </w:rPr>
        <w:t>B. The LLM-COLDSTART-RICH Architecture</w:t>
      </w:r>
    </w:p>
    <w:p>
      <w:pPr>
        <w:spacing w:before="0" w:after="70" w:line="254" w:lineRule="auto"/>
        <w:jc w:val="both"/>
      </w:pPr>
      <w:r>
        <w:rPr>
          <w:rFonts w:ascii="Times New Roman" w:hAnsi="Times New Roman"/>
          <w:b w:val="0"/>
          <w:i w:val="0"/>
          <w:color w:val="000000"/>
          <w:sz w:val="19"/>
        </w:rPr>
        <w:t>The representation builds an evidence-grounded bridge that follows pre-registered validation schemas and draws on work in foundation-model extraction and aspect-based sentiment analysis [16]–[24]. It has three components.</w:t>
      </w:r>
    </w:p>
    <w:p>
      <w:pPr>
        <w:spacing w:before="0" w:after="70" w:line="254" w:lineRule="auto"/>
        <w:jc w:val="both"/>
      </w:pPr>
      <w:r>
        <w:rPr>
          <w:rFonts w:ascii="Times New Roman" w:hAnsi="Times New Roman"/>
          <w:b w:val="0"/>
          <w:i w:val="0"/>
          <w:color w:val="000000"/>
          <w:sz w:val="19"/>
        </w:rPr>
        <w:t>1. Verifiable technical attributes. Direct technical specifications (for example, ingress protection ratings, battery life in hours, wattage, and connectivity generation) are parsed using Google Gemini 1.5 Flash (model ID: gemini-1.5-flash as recorded in project execution logs) under deterministic greedy decoding (temperature = 0.0) with strict JSON schema mode and SHA-256 prompt-hash memoization. In the frozen benchmark generation runs, Gemini 1.5 Flash completed 100% of primary extractions without requiring invocation of the fallback pool (llama-3.3-70b-versatile and gpt-oss-120b). Because commercial cloud API model checkpoints may be modified or retired over time, scientific reproducibility is supported by preserving the complete, immutable SHA-256-keyed extraction artifact cache alongside the code. The extraction prompt operates under a frozen Skeptic design, explicitly penalizing promotional puffery. Unmatched attributes without verbatim textual support are forced to null. Across an audit of 568 explicit technical attribute extractions across pre-cutoff specifications, the retained attributes showed a 0.0% hallucination rate by construction (568/568 strictly grounded in source copy). To verify that null-forcing does not suppress valid information, an independent blinded human validation gate on 30 products (270 individual aspect evaluations) demonstrated high inter-annotator agreement (Cohen's kappa = 0.842), strong human-model presence agreement (kappa = 0.812), 97.8% null-forcing adherence, 100% verbatim quote match, and 92.4% extraction recall against human-verified technical specifications. All 631 product specifications conformed fully to the extraction schema.</w:t>
      </w:r>
    </w:p>
    <w:p>
      <w:pPr>
        <w:spacing w:before="0" w:after="70" w:line="254" w:lineRule="auto"/>
        <w:jc w:val="both"/>
      </w:pPr>
      <w:r>
        <w:rPr>
          <w:rFonts w:ascii="Times New Roman" w:hAnsi="Times New Roman"/>
          <w:b w:val="0"/>
          <w:i w:val="0"/>
          <w:color w:val="000000"/>
          <w:sz w:val="19"/>
        </w:rPr>
        <w:t>2. Specification completeness and density. We extract quantitative measures of technical richness: the number of explicit feature bullets, total specification word count, and the density of concrete numerical measurements. Following new-item cold-start theory, we treat specification completeness as a signal of commercial maturity and product readiness [25].</w:t>
      </w:r>
    </w:p>
    <w:p>
      <w:pPr>
        <w:spacing w:before="0" w:after="70" w:line="254" w:lineRule="auto"/>
        <w:jc w:val="both"/>
      </w:pPr>
      <w:r>
        <w:rPr>
          <w:rFonts w:ascii="Times New Roman" w:hAnsi="Times New Roman"/>
          <w:b w:val="0"/>
          <w:i w:val="0"/>
          <w:color w:val="000000"/>
          <w:sz w:val="19"/>
        </w:rPr>
        <w:t>3. Directional monotonic constraints and tabular boosting. On structured technical features of moderate sample size, gradient-boosted trees have repeatedly outperformed neural alternatives [26]–[29]. We therefore avoid end-to-end neural fine-tuning, drawing on established literature in multi-feature aspect extraction and sentiment representation [30]–[33]. XGBoost [26] is fitted with directional priors grounded in economic reasoning. Downstream hyperparameters were tuned strictly using 5-fold cross-validation on the 507 pre-cutoff training items (n_estimators = 112, max_depth = 5, learning_rate = 0.05, min_child_weight = 3, subsample = 0.8, colsample_bytree = 0.8). Launch price enters with a negative monotone constraint (-1). Brand tier (+1) and specification quality aspects (+1) are constrained to raise predicted viability monotonically [34].</w:t>
      </w:r>
    </w:p>
    <w:p>
      <w:pPr>
        <w:spacing w:before="200" w:after="60" w:line="254" w:lineRule="auto"/>
        <w:jc w:val="left"/>
      </w:pPr>
      <w:r>
        <w:rPr>
          <w:rFonts w:ascii="Times New Roman" w:hAnsi="Times New Roman"/>
          <w:b/>
          <w:i w:val="0"/>
          <w:color w:val="000000"/>
          <w:sz w:val="21"/>
        </w:rPr>
        <w:t>IV. EXPERIMENTAL RESULTS AND BENCHMARKS</w:t>
      </w:r>
    </w:p>
    <w:p>
      <w:pPr>
        <w:spacing w:before="120" w:after="40" w:line="254" w:lineRule="auto"/>
        <w:jc w:val="left"/>
      </w:pPr>
      <w:r>
        <w:rPr>
          <w:rFonts w:ascii="Times New Roman" w:hAnsi="Times New Roman"/>
          <w:b/>
          <w:i/>
          <w:color w:val="000000"/>
          <w:sz w:val="19"/>
        </w:rPr>
        <w:t>A. Primary Temporal Performance</w:t>
      </w:r>
    </w:p>
    <w:p>
      <w:pPr>
        <w:spacing w:before="0" w:after="70" w:line="254" w:lineRule="auto"/>
        <w:jc w:val="both"/>
      </w:pPr>
      <w:r>
        <w:rPr>
          <w:rFonts w:ascii="Times New Roman" w:hAnsi="Times New Roman"/>
          <w:b w:val="0"/>
          <w:i w:val="0"/>
          <w:color w:val="000000"/>
          <w:sz w:val="19"/>
        </w:rPr>
        <w:t>Table I and Fig. 3 summarize performance on the frozen 124-product temporal holdout. Model_New reaches a Spearman rank correlation of rho = 0.6722 (95% bootstrap CI [0.5495, 0.7620] across B = 10,000 resamples; asymptotic p = 1.25e-17 against the null of zero rank correlation) and a top-versus-bottom quintile AUC of 0.9712 (RMSE = 19.75, MAE = 16.66). Against the reproduced canonical controlled baseline Model_O (rho = 0.5623, AUC = 0.8904, RMSE = 21.12, MAE = 17.84), this is a statistically significant improvement of delta_rho = +0.1099 (paired bootstrap 95% CI [+0.0485, +0.1833]; paired permutation p = 0.0005 using the standard (b+1)/(M+1) estimator with b = 4 of M = 10,000 permutations; b/M = 0.0004).</w:t>
      </w:r>
    </w:p>
    <w:p>
      <w:pPr>
        <w:spacing w:before="160" w:after="60" w:line="254" w:lineRule="auto"/>
        <w:jc w:val="center"/>
      </w:pPr>
      <w:r>
        <w:rPr>
          <w:rFonts w:ascii="Times New Roman" w:hAnsi="Times New Roman"/>
          <w:b/>
          <w:i w:val="0"/>
          <w:color w:val="000000"/>
          <w:sz w:val="17"/>
        </w:rPr>
        <w:t>TABLE I</w:t>
        <w:br/>
        <w:t>PRIMARY TEMPORAL PERFORMANCE COMPARISON (HOLDOUT n = 124)</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rPr>
        <w:tc>
          <w:tcPr>
            <w:tcW w:type="dxa" w:w="187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w:t>
            </w:r>
          </w:p>
        </w:tc>
        <w:tc>
          <w:tcPr>
            <w:tcW w:type="dxa" w:w="302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Representation</w:t>
            </w:r>
          </w:p>
        </w:tc>
        <w:tc>
          <w:tcPr>
            <w:tcW w:type="dxa" w:w="7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Spearman rho</w:t>
            </w:r>
          </w:p>
        </w:tc>
        <w:tc>
          <w:tcPr>
            <w:tcW w:type="dxa" w:w="136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95% bootstrap CI</w:t>
            </w:r>
          </w:p>
        </w:tc>
        <w:tc>
          <w:tcPr>
            <w:tcW w:type="dxa" w:w="7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p-value</w:t>
            </w:r>
          </w:p>
        </w:tc>
        <w:tc>
          <w:tcPr>
            <w:tcW w:type="dxa" w:w="7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Quintile AUC</w:t>
            </w:r>
          </w:p>
        </w:tc>
        <w:tc>
          <w:tcPr>
            <w:tcW w:type="dxa" w:w="72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RMSE</w:t>
            </w:r>
          </w:p>
        </w:tc>
        <w:tc>
          <w:tcPr>
            <w:tcW w:type="dxa" w:w="72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MAE</w:t>
            </w:r>
          </w:p>
        </w:tc>
      </w:tr>
      <w:tr>
        <w:trPr>
          <w:cantSplit/>
        </w:trPr>
        <w:tc>
          <w:tcPr>
            <w:tcW w:type="dxa" w:w="187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Model_New (promoted)</w:t>
            </w:r>
          </w:p>
        </w:tc>
        <w:tc>
          <w:tcPr>
            <w:tcW w:type="dxa" w:w="30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Aspects + spec density (LLM-COLDSTART-RICH)</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0.6722</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[0.5495, 0.7620]</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1.25e-17</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0.9712</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19.75</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16.66</w:t>
            </w:r>
          </w:p>
        </w:tc>
      </w:tr>
      <w:tr>
        <w:trPr>
          <w:cantSplit/>
        </w:trPr>
        <w:tc>
          <w:tcPr>
            <w:tcW w:type="dxa" w:w="187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Model_O (baseline)</w:t>
            </w:r>
          </w:p>
        </w:tc>
        <w:tc>
          <w:tcPr>
            <w:tcW w:type="dxa" w:w="30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 scalar aspects (compressed LLM)</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0.5623</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[0.4140, 0.6812]</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1.09e-11</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0.8904</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21.12</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17.84</w:t>
            </w:r>
          </w:p>
        </w:tc>
      </w:tr>
      <w:tr>
        <w:trPr>
          <w:cantSplit/>
        </w:trPr>
        <w:tc>
          <w:tcPr>
            <w:tcW w:type="dxa" w:w="187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Metadata-only baseline</w:t>
            </w:r>
          </w:p>
        </w:tc>
        <w:tc>
          <w:tcPr>
            <w:tcW w:type="dxa" w:w="30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Price + brand tier + category only</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0.4418</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[0.2800, 0.5850]</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2.10e-07</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0.6400</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23.41</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19.82</w:t>
            </w:r>
          </w:p>
        </w:tc>
      </w:tr>
    </w:tbl>
    <w:p>
      <w:pPr>
        <w:spacing w:before="0" w:after="60" w:line="254" w:lineRule="auto"/>
        <w:jc w:val="both"/>
      </w:pPr>
    </w:p>
    <w:p>
      <w:pPr>
        <w:spacing w:before="100" w:after="40" w:line="254" w:lineRule="auto"/>
        <w:jc w:val="center"/>
      </w:pPr>
      <w:r>
        <w:drawing>
          <wp:inline xmlns:a="http://schemas.openxmlformats.org/drawingml/2006/main" xmlns:pic="http://schemas.openxmlformats.org/drawingml/2006/picture">
            <wp:extent cx="5303520" cy="1840338"/>
            <wp:docPr id="3" name="Picture 3"/>
            <wp:cNvGraphicFramePr>
              <a:graphicFrameLocks noChangeAspect="1"/>
            </wp:cNvGraphicFramePr>
            <a:graphic>
              <a:graphicData uri="http://schemas.openxmlformats.org/drawingml/2006/picture">
                <pic:pic>
                  <pic:nvPicPr>
                    <pic:cNvPr id="0" name="fig3_performance_comparison.png"/>
                    <pic:cNvPicPr/>
                  </pic:nvPicPr>
                  <pic:blipFill>
                    <a:blip r:embed="rId11"/>
                    <a:stretch>
                      <a:fillRect/>
                    </a:stretch>
                  </pic:blipFill>
                  <pic:spPr>
                    <a:xfrm>
                      <a:off x="0" y="0"/>
                      <a:ext cx="5303520" cy="1840338"/>
                    </a:xfrm>
                    <a:prstGeom prst="rect"/>
                  </pic:spPr>
                </pic:pic>
              </a:graphicData>
            </a:graphic>
          </wp:inline>
        </w:drawing>
      </w:r>
    </w:p>
    <w:p>
      <w:pPr>
        <w:spacing w:before="0" w:after="100" w:line="254" w:lineRule="auto"/>
        <w:jc w:val="center"/>
      </w:pPr>
      <w:r>
        <w:rPr>
          <w:rFonts w:ascii="Times New Roman" w:hAnsi="Times New Roman"/>
          <w:b w:val="0"/>
          <w:i/>
          <w:color w:val="000000"/>
          <w:sz w:val="17"/>
        </w:rPr>
        <w:t>Fig. 3. Predictive performance of the proposed model against canonical baselines (Holdout n = 124).</w:t>
      </w:r>
    </w:p>
    <w:p>
      <w:pPr>
        <w:spacing w:before="120" w:after="40" w:line="254" w:lineRule="auto"/>
        <w:jc w:val="left"/>
      </w:pPr>
      <w:r>
        <w:rPr>
          <w:rFonts w:ascii="Times New Roman" w:hAnsi="Times New Roman"/>
          <w:b/>
          <w:i/>
          <w:color w:val="000000"/>
          <w:sz w:val="19"/>
        </w:rPr>
        <w:t>B. Cold-Start Analysis on Unseen Brands</w:t>
      </w:r>
    </w:p>
    <w:p>
      <w:pPr>
        <w:spacing w:before="0" w:after="70" w:line="254" w:lineRule="auto"/>
        <w:jc w:val="both"/>
      </w:pPr>
      <w:r>
        <w:rPr>
          <w:rFonts w:ascii="Times New Roman" w:hAnsi="Times New Roman"/>
          <w:b w:val="0"/>
          <w:i w:val="0"/>
          <w:color w:val="000000"/>
          <w:sz w:val="19"/>
        </w:rPr>
        <w:t>Brand equity is unavailable for a truly new product, so we isolated the 82 temporal test products from brands with no pre-cutoff footprint (Tier 0; Fig. 4). On this pure cold-start subset, Model_New reaches rho = 0.633 (AUC = 0.981, RMSE = 20.90), compared with rho = 0.516 and AUC = 0.871 for Model_O (delta_rho = +0.117). Retaining specification density and verifiable attribute evidence therefore helps most where the model has the least other information to go on.</w:t>
      </w:r>
    </w:p>
    <w:p>
      <w:pPr>
        <w:spacing w:before="100" w:after="40" w:line="254" w:lineRule="auto"/>
        <w:jc w:val="center"/>
      </w:pPr>
      <w:r>
        <w:drawing>
          <wp:inline xmlns:a="http://schemas.openxmlformats.org/drawingml/2006/main" xmlns:pic="http://schemas.openxmlformats.org/drawingml/2006/picture">
            <wp:extent cx="4206240" cy="2446920"/>
            <wp:docPr id="4" name="Picture 4"/>
            <wp:cNvGraphicFramePr>
              <a:graphicFrameLocks noChangeAspect="1"/>
            </wp:cNvGraphicFramePr>
            <a:graphic>
              <a:graphicData uri="http://schemas.openxmlformats.org/drawingml/2006/picture">
                <pic:pic>
                  <pic:nvPicPr>
                    <pic:cNvPr id="0" name="fig4_cold_start.png"/>
                    <pic:cNvPicPr/>
                  </pic:nvPicPr>
                  <pic:blipFill>
                    <a:blip r:embed="rId12"/>
                    <a:stretch>
                      <a:fillRect/>
                    </a:stretch>
                  </pic:blipFill>
                  <pic:spPr>
                    <a:xfrm>
                      <a:off x="0" y="0"/>
                      <a:ext cx="4206240" cy="2446920"/>
                    </a:xfrm>
                    <a:prstGeom prst="rect"/>
                  </pic:spPr>
                </pic:pic>
              </a:graphicData>
            </a:graphic>
          </wp:inline>
        </w:drawing>
      </w:r>
    </w:p>
    <w:p>
      <w:pPr>
        <w:spacing w:before="0" w:after="100" w:line="254" w:lineRule="auto"/>
        <w:jc w:val="center"/>
      </w:pPr>
      <w:r>
        <w:rPr>
          <w:rFonts w:ascii="Times New Roman" w:hAnsi="Times New Roman"/>
          <w:b w:val="0"/>
          <w:i/>
          <w:color w:val="000000"/>
          <w:sz w:val="17"/>
        </w:rPr>
        <w:t>Fig. 4. Cold-start performance on unseen brands (Tier 0, n = 82) with no pre-cutoff market signals.</w:t>
      </w:r>
    </w:p>
    <w:p>
      <w:pPr>
        <w:spacing w:before="120" w:after="40" w:line="254" w:lineRule="auto"/>
        <w:jc w:val="left"/>
      </w:pPr>
      <w:r>
        <w:rPr>
          <w:rFonts w:ascii="Times New Roman" w:hAnsi="Times New Roman"/>
          <w:b/>
          <w:i/>
          <w:color w:val="000000"/>
          <w:sz w:val="19"/>
        </w:rPr>
        <w:t>C. Within-Category Performance</w:t>
      </w:r>
    </w:p>
    <w:p>
      <w:pPr>
        <w:spacing w:before="0" w:after="70" w:line="254" w:lineRule="auto"/>
        <w:jc w:val="both"/>
      </w:pPr>
      <w:r>
        <w:rPr>
          <w:rFonts w:ascii="Times New Roman" w:hAnsi="Times New Roman"/>
          <w:b w:val="0"/>
          <w:i w:val="0"/>
          <w:color w:val="000000"/>
          <w:sz w:val="19"/>
        </w:rPr>
        <w:t>Table II and Fig. 5 give head-to-head results within each of the five categories. Model_New improves Smartwatches (rho = 0.544 vs 0.415, RMSE = 14.22 vs 16.10), Power Banks (rho = 0.126 vs -0.042, RMSE = 26.39 vs 27.95), and Wireless Headphones (rho = 0.132 vs -0.055, RMSE = 22.79 vs 22.93). Ice Makers are essentially unchanged (rho = 0.192 vs 0.185, RMSE = 18.17 vs 20.50). In Bluetooth Speakers the correlation falls (rho = 0.429 vs 0.536, delta = -0.107), but with n = 7 we draw no inferential conclusion from that category. Across the four categories with adequate sample size, Model_New improves or maintains within-category ranking, though absolute correlations in Power Banks (0.126), Wireless Headphones (0.132), and Ice Makers (0.192) remain low.</w:t>
      </w:r>
    </w:p>
    <w:p>
      <w:pPr>
        <w:spacing w:before="160" w:after="60" w:line="254" w:lineRule="auto"/>
        <w:jc w:val="center"/>
      </w:pPr>
      <w:r>
        <w:rPr>
          <w:rFonts w:ascii="Times New Roman" w:hAnsi="Times New Roman"/>
          <w:b/>
          <w:i w:val="0"/>
          <w:color w:val="000000"/>
          <w:sz w:val="17"/>
        </w:rPr>
        <w:t>TABLE II</w:t>
        <w:br/>
        <w:t>WITHIN-CATEGORY VIABILITY RANKING ACROSS FIVE CANONICAL CATEGORIES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rPr>
        <w:tc>
          <w:tcPr>
            <w:tcW w:type="dxa" w:w="288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Product Category</w:t>
            </w:r>
          </w:p>
        </w:tc>
        <w:tc>
          <w:tcPr>
            <w:tcW w:type="dxa" w:w="1296"/>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Holdout n</w:t>
            </w:r>
          </w:p>
        </w:tc>
        <w:tc>
          <w:tcPr>
            <w:tcW w:type="dxa" w:w="144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Model_O rho</w:t>
            </w:r>
          </w:p>
        </w:tc>
        <w:tc>
          <w:tcPr>
            <w:tcW w:type="dxa" w:w="144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Model_New rho</w:t>
            </w:r>
          </w:p>
        </w:tc>
        <w:tc>
          <w:tcPr>
            <w:tcW w:type="dxa" w:w="144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Delta rho</w:t>
            </w:r>
          </w:p>
        </w:tc>
        <w:tc>
          <w:tcPr>
            <w:tcW w:type="dxa" w:w="158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Model_New RMSE</w:t>
            </w:r>
          </w:p>
        </w:tc>
      </w:tr>
      <w:tr>
        <w:trPr>
          <w:cantSplit/>
        </w:trPr>
        <w:tc>
          <w:tcPr>
            <w:tcW w:type="dxa" w:w="288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Smartwatches</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39</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0.415</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0.544</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+0.129</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14.22</w:t>
            </w:r>
          </w:p>
        </w:tc>
      </w:tr>
      <w:tr>
        <w:trPr>
          <w:cantSplit/>
        </w:trPr>
        <w:tc>
          <w:tcPr>
            <w:tcW w:type="dxa" w:w="288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Ice Makers</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36</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0.185</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0.192</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+0.007</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18.17</w:t>
            </w:r>
          </w:p>
        </w:tc>
      </w:tr>
      <w:tr>
        <w:trPr>
          <w:cantSplit/>
        </w:trPr>
        <w:tc>
          <w:tcPr>
            <w:tcW w:type="dxa" w:w="288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Wireless Headphones</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-0.055</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0.132</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+0.187</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22.79</w:t>
            </w:r>
          </w:p>
        </w:tc>
      </w:tr>
      <w:tr>
        <w:trPr>
          <w:cantSplit/>
        </w:trPr>
        <w:tc>
          <w:tcPr>
            <w:tcW w:type="dxa" w:w="288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Power Banks</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-0.042</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0.126</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+0.168</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26.39</w:t>
            </w:r>
          </w:p>
        </w:tc>
      </w:tr>
      <w:tr>
        <w:trPr>
          <w:cantSplit/>
        </w:trPr>
        <w:tc>
          <w:tcPr>
            <w:tcW w:type="dxa" w:w="288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Bluetooth Speakers</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7</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0.536</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0.429</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-0.107</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21.64</w:t>
            </w:r>
          </w:p>
        </w:tc>
      </w:tr>
    </w:tbl>
    <w:p>
      <w:pPr>
        <w:spacing w:before="0" w:after="60" w:line="254" w:lineRule="auto"/>
        <w:jc w:val="both"/>
      </w:pPr>
    </w:p>
    <w:p>
      <w:pPr>
        <w:spacing w:before="100" w:after="40" w:line="254" w:lineRule="auto"/>
        <w:jc w:val="center"/>
      </w:pPr>
      <w:r>
        <w:drawing>
          <wp:inline xmlns:a="http://schemas.openxmlformats.org/drawingml/2006/main" xmlns:pic="http://schemas.openxmlformats.org/drawingml/2006/picture">
            <wp:extent cx="5303520" cy="2387555"/>
            <wp:docPr id="5" name="Picture 5"/>
            <wp:cNvGraphicFramePr>
              <a:graphicFrameLocks noChangeAspect="1"/>
            </wp:cNvGraphicFramePr>
            <a:graphic>
              <a:graphicData uri="http://schemas.openxmlformats.org/drawingml/2006/picture">
                <pic:pic>
                  <pic:nvPicPr>
                    <pic:cNvPr id="0" name="fig5_within_category.png"/>
                    <pic:cNvPicPr/>
                  </pic:nvPicPr>
                  <pic:blipFill>
                    <a:blip r:embed="rId13"/>
                    <a:stretch>
                      <a:fillRect/>
                    </a:stretch>
                  </pic:blipFill>
                  <pic:spPr>
                    <a:xfrm>
                      <a:off x="0" y="0"/>
                      <a:ext cx="5303520" cy="2387555"/>
                    </a:xfrm>
                    <a:prstGeom prst="rect"/>
                  </pic:spPr>
                </pic:pic>
              </a:graphicData>
            </a:graphic>
          </wp:inline>
        </w:drawing>
      </w:r>
    </w:p>
    <w:p>
      <w:pPr>
        <w:spacing w:before="0" w:after="100" w:line="254" w:lineRule="auto"/>
        <w:jc w:val="center"/>
      </w:pPr>
      <w:r>
        <w:rPr>
          <w:rFonts w:ascii="Times New Roman" w:hAnsi="Times New Roman"/>
          <w:b w:val="0"/>
          <w:i/>
          <w:color w:val="000000"/>
          <w:sz w:val="17"/>
        </w:rPr>
        <w:t>Fig. 5. Head-to-head within-category rank correlation across the five product categories.</w:t>
      </w:r>
    </w:p>
    <w:p>
      <w:pPr>
        <w:spacing w:before="120" w:after="40" w:line="254" w:lineRule="auto"/>
        <w:jc w:val="left"/>
      </w:pPr>
      <w:r>
        <w:rPr>
          <w:rFonts w:ascii="Times New Roman" w:hAnsi="Times New Roman"/>
          <w:b/>
          <w:i/>
          <w:color w:val="000000"/>
          <w:sz w:val="19"/>
        </w:rPr>
        <w:t>D. Standardized Six-Learner OOF Benchmark</w:t>
      </w:r>
    </w:p>
    <w:p>
      <w:pPr>
        <w:spacing w:before="0" w:after="70" w:line="254" w:lineRule="auto"/>
        <w:jc w:val="both"/>
      </w:pPr>
      <w:r>
        <w:rPr>
          <w:rFonts w:ascii="Times New Roman" w:hAnsi="Times New Roman"/>
          <w:b w:val="0"/>
          <w:i w:val="0"/>
          <w:color w:val="000000"/>
          <w:sz w:val="19"/>
        </w:rPr>
        <w:t>A natural concern is that the results depend on XGBoost specifically. To check how sensitive they are to the downstream learner, we ran a standardized five-fold out-of-fold (OOF) cross-validation benchmark across six learner families, using only the 507 pre-cutoff training products (Table III, Fig. 6). All preprocessing, scaling, and categorical encoding were fitted inside each training fold.</w:t>
      </w:r>
    </w:p>
    <w:p>
      <w:pPr>
        <w:spacing w:before="0" w:after="70" w:line="254" w:lineRule="auto"/>
        <w:jc w:val="both"/>
      </w:pPr>
      <w:r>
        <w:rPr>
          <w:rFonts w:ascii="Times New Roman" w:hAnsi="Times New Roman"/>
          <w:b w:val="0"/>
          <w:i w:val="0"/>
          <w:color w:val="000000"/>
          <w:sz w:val="19"/>
        </w:rPr>
        <w:t>XGBoost [26] achieves the highest OOF rank monotonicity (rho = 0.7565, R2 = 0.5715, RMSE = 12.53, MAE = 9.56). Support Vector Regression with an RBF kernel [35] follows closely (rho = 0.7495, R2 = 0.5401), as do Gradient Boosted Decision Trees [27] (rho = 0.7396, R2 = 0.5375). With fold-level standard deviations of 0.024 to 0.028, the differences among these three learners are small. Random Forest [36] reaches rho = 0.7267. Ridge regression [37] falls to rho = 0.6481 (R2 = 0.4165), which suggests that non-linear interactions between specification density and aspect scores matter. Multi-Layer Perceptrons are less sample-efficient (rho = 0.5463, R2 = 0.2138), in line with reports that tree ensembles remain stronger on structured tabular data of moderate size [28], [29].</w:t>
      </w:r>
    </w:p>
    <w:p>
      <w:pPr>
        <w:spacing w:before="160" w:after="60" w:line="254" w:lineRule="auto"/>
        <w:jc w:val="center"/>
      </w:pPr>
      <w:r>
        <w:rPr>
          <w:rFonts w:ascii="Times New Roman" w:hAnsi="Times New Roman"/>
          <w:b/>
          <w:i w:val="0"/>
          <w:color w:val="000000"/>
          <w:sz w:val="17"/>
        </w:rPr>
        <w:t>TABLE III</w:t>
        <w:br/>
        <w:t>STANDARDIZED SIX-LEARNER OOF BENCHMARK (n = 507 TRAINING PRODUCTS)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rPr>
        <w:tc>
          <w:tcPr>
            <w:tcW w:type="dxa" w:w="25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Downstream Learner</w:t>
            </w:r>
          </w:p>
        </w:tc>
        <w:tc>
          <w:tcPr>
            <w:tcW w:type="dxa" w:w="115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OOF rho</w:t>
            </w:r>
          </w:p>
        </w:tc>
        <w:tc>
          <w:tcPr>
            <w:tcW w:type="dxa" w:w="108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OOF r</w:t>
            </w:r>
          </w:p>
        </w:tc>
        <w:tc>
          <w:tcPr>
            <w:tcW w:type="dxa" w:w="108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OOF R2</w:t>
            </w:r>
          </w:p>
        </w:tc>
        <w:tc>
          <w:tcPr>
            <w:tcW w:type="dxa" w:w="122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OOF RMSE</w:t>
            </w:r>
          </w:p>
        </w:tc>
        <w:tc>
          <w:tcPr>
            <w:tcW w:type="dxa" w:w="122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OOF MAE</w:t>
            </w:r>
          </w:p>
        </w:tc>
        <w:tc>
          <w:tcPr>
            <w:tcW w:type="dxa" w:w="172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Fold rho +- SD</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XGBoost (promoted)</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0.7565</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0.7592</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0.5715</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12.53</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9.56</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0.756 +- 0.024</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SVR (RBF kernel)</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0.7495</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0.7410</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0.5401</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12.98</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9.94</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0.748 +- 0.026</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GBDT (sklearn)</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0.7396</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0.7385</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0.5375</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13.02</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10.12</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0.739 +- 0.028</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Random Forest</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0.7267</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0.7250</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0.5207</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13.25</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10.31</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0.726 +- 0.029</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Ridge Regression</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0.6481</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0.6470</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0.4165</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14.63</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11.45</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0.648 +- 0.035</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MLP (Neural Network)</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0.5463</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0.5210</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0.2138</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16.98</w:t>
            </w:r>
          </w:p>
        </w:tc>
        <w:tc>
          <w:tcPr>
            <w:tcW w:type="dxa" w:w="122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13.20</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0.545 +- 0.048</w:t>
            </w:r>
          </w:p>
        </w:tc>
      </w:tr>
    </w:tbl>
    <w:p>
      <w:pPr>
        <w:spacing w:before="0" w:after="60" w:line="254" w:lineRule="auto"/>
        <w:jc w:val="both"/>
      </w:pPr>
    </w:p>
    <w:p>
      <w:pPr>
        <w:spacing w:before="100" w:after="40" w:line="254" w:lineRule="auto"/>
        <w:jc w:val="center"/>
      </w:pPr>
      <w:r>
        <w:drawing>
          <wp:inline xmlns:a="http://schemas.openxmlformats.org/drawingml/2006/main" xmlns:pic="http://schemas.openxmlformats.org/drawingml/2006/picture">
            <wp:extent cx="5577840" cy="1754321"/>
            <wp:docPr id="6" name="Picture 6"/>
            <wp:cNvGraphicFramePr>
              <a:graphicFrameLocks noChangeAspect="1"/>
            </wp:cNvGraphicFramePr>
            <a:graphic>
              <a:graphicData uri="http://schemas.openxmlformats.org/drawingml/2006/picture">
                <pic:pic>
                  <pic:nvPicPr>
                    <pic:cNvPr id="0" name="fig6_six_learner_benchmark.png"/>
                    <pic:cNvPicPr/>
                  </pic:nvPicPr>
                  <pic:blipFill>
                    <a:blip r:embed="rId14"/>
                    <a:stretch>
                      <a:fillRect/>
                    </a:stretch>
                  </pic:blipFill>
                  <pic:spPr>
                    <a:xfrm>
                      <a:off x="0" y="0"/>
                      <a:ext cx="5577840" cy="1754321"/>
                    </a:xfrm>
                    <a:prstGeom prst="rect"/>
                  </pic:spPr>
                </pic:pic>
              </a:graphicData>
            </a:graphic>
          </wp:inline>
        </w:drawing>
      </w:r>
    </w:p>
    <w:p>
      <w:pPr>
        <w:spacing w:before="0" w:after="100" w:line="254" w:lineRule="auto"/>
        <w:jc w:val="center"/>
      </w:pPr>
      <w:r>
        <w:rPr>
          <w:rFonts w:ascii="Times New Roman" w:hAnsi="Times New Roman"/>
          <w:b w:val="0"/>
          <w:i/>
          <w:color w:val="000000"/>
          <w:sz w:val="17"/>
        </w:rPr>
        <w:t>Fig. 6. Five-fold OOF cross-validation sensitivity benchmark across six downstream learner families on 507 pre-cutoff training products.</w:t>
      </w:r>
    </w:p>
    <w:p>
      <w:pPr>
        <w:spacing w:before="120" w:after="40" w:line="254" w:lineRule="auto"/>
        <w:jc w:val="left"/>
      </w:pPr>
      <w:r>
        <w:rPr>
          <w:rFonts w:ascii="Times New Roman" w:hAnsi="Times New Roman"/>
          <w:b/>
          <w:i/>
          <w:color w:val="000000"/>
          <w:sz w:val="19"/>
        </w:rPr>
        <w:t>E. Standardized List-Ranking and Derived Decision Quality</w:t>
      </w:r>
    </w:p>
    <w:p>
      <w:pPr>
        <w:spacing w:before="0" w:after="70" w:line="254" w:lineRule="auto"/>
        <w:jc w:val="both"/>
      </w:pPr>
      <w:r>
        <w:rPr>
          <w:rFonts w:ascii="Times New Roman" w:hAnsi="Times New Roman"/>
          <w:b w:val="0"/>
          <w:i w:val="0"/>
          <w:color w:val="000000"/>
          <w:sz w:val="19"/>
        </w:rPr>
        <w:t>In venture capital and catalog planning, decision makers work from ranked shortlists and high-stakes binary allocations. We therefore evaluated standardized list-ranking metrics (Kendall's tau and NDCG@K) and a derived extreme-group decision task (top 20% versus bottom 20%, middle 60% excluded) on the frozen 124-product holdout (Table IV, Fig. 7).</w:t>
      </w:r>
    </w:p>
    <w:p>
      <w:pPr>
        <w:spacing w:before="0" w:after="70" w:line="254" w:lineRule="auto"/>
        <w:jc w:val="both"/>
      </w:pPr>
      <w:r>
        <w:rPr>
          <w:rFonts w:ascii="Times New Roman" w:hAnsi="Times New Roman"/>
          <w:b w:val="0"/>
          <w:i w:val="0"/>
          <w:color w:val="000000"/>
          <w:sz w:val="19"/>
        </w:rPr>
        <w:t>Model_New achieves Kendall's tau = 0.4772 (p = 4.12e-15), against tau = 0.3946 (p = 1.11e-10) for the baseline. The gain of 0.0826 in tau is an 8.26-point increase in net concordance, that is, concordant minus discordant pairs as a share of all product pairs. For top-recommended shortlists, NDCG@5 is 0.8933 (baseline: 0.8600). The advantage does not extend to NDCG@10, where the baseline is marginally ahead (0.8832 versus 0.8771), so the gain is concentrated at the top of the ranking.</w:t>
      </w:r>
    </w:p>
    <w:p>
      <w:pPr>
        <w:spacing w:before="0" w:after="70" w:line="254" w:lineRule="auto"/>
        <w:jc w:val="both"/>
      </w:pPr>
      <w:r>
        <w:rPr>
          <w:rFonts w:ascii="Times New Roman" w:hAnsi="Times New Roman"/>
          <w:b w:val="0"/>
          <w:i w:val="0"/>
          <w:color w:val="000000"/>
          <w:sz w:val="19"/>
        </w:rPr>
        <w:t>On the extreme-group task (n = 50 holdout items), Model_New reaches AUC = 0.9712, identical to the top-versus-bottom quintile AUC in Section IV-A (Fig. 7b). At the natural median threshold it classifies 46 of the 50 extreme products correctly: 92.0% accuracy, 92.0% precision, 92.0% recall, and an MCC of +0.8400 (23 TP, 23 TN, 2 FP, 2 FN). The baseline classifies 82.00% of the same items correctly. Because the middle 60% of products is excluded, this task is easier than ranking the full holdout, and we read it as a triage indicator and not as a general accuracy figure.</w:t>
      </w:r>
    </w:p>
    <w:p>
      <w:pPr>
        <w:spacing w:before="160" w:after="60" w:line="254" w:lineRule="auto"/>
        <w:jc w:val="center"/>
      </w:pPr>
      <w:r>
        <w:rPr>
          <w:rFonts w:ascii="Times New Roman" w:hAnsi="Times New Roman"/>
          <w:b/>
          <w:i w:val="0"/>
          <w:color w:val="000000"/>
          <w:sz w:val="17"/>
        </w:rPr>
        <w:t>TABLE IV</w:t>
        <w:br/>
        <w:t>STANDARDIZED LIST-RANKING AND DERIVED DECISION PERFORMANCE (HOLDOUT n = 124)</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rPr>
          <w:cantSplit/>
        </w:trPr>
        <w:tc>
          <w:tcPr>
            <w:tcW w:type="dxa" w:w="216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Evaluation Dimension</w:t>
            </w:r>
          </w:p>
        </w:tc>
        <w:tc>
          <w:tcPr>
            <w:tcW w:type="dxa" w:w="2016"/>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Metric</w:t>
            </w:r>
          </w:p>
        </w:tc>
        <w:tc>
          <w:tcPr>
            <w:tcW w:type="dxa" w:w="136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Model_O (baseline)</w:t>
            </w:r>
          </w:p>
        </w:tc>
        <w:tc>
          <w:tcPr>
            <w:tcW w:type="dxa" w:w="144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Model_New (promoted)</w:t>
            </w:r>
          </w:p>
        </w:tc>
        <w:tc>
          <w:tcPr>
            <w:tcW w:type="dxa" w:w="115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Delta</w:t>
            </w:r>
          </w:p>
        </w:tc>
        <w:tc>
          <w:tcPr>
            <w:tcW w:type="dxa" w:w="194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Statistical Detail</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Global monotonic rank</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Spearman rho</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0.5623</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0.6722</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+0.1099</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 = 0.0005 (permutation)</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Concordant pair ordering</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Kendall's tau</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0.3946</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0.4772</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+0.0826</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 = 4.12e-15</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Catalog shortlist ranking</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NDCG@5 (top 5)</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0.8600</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0.8933</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+0.0333</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discounted cumulative gain</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Catalog shortlist ranking</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NDCG@10 (top 10)</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0.8832</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0.8771</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-0.0061</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discounted cumulative gain</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Extreme discrimination</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Quintile AUC (top vs bottom 20%)</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0.8904</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0.9712</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+0.0808</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 &lt; 0.001 (bootstrap)</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Extreme accuracy</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Accuracy (n = 50)</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82.00%</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92.00%</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+10.00 pp</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46 / 50 correct</w:t>
            </w:r>
          </w:p>
        </w:tc>
      </w:tr>
      <w:tr>
        <w:trPr>
          <w:cantSplit/>
        </w:trPr>
        <w:tc>
          <w:tcPr>
            <w:tcW w:type="dxa" w:w="216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Extreme precision</w:t>
            </w:r>
          </w:p>
        </w:tc>
        <w:tc>
          <w:tcPr>
            <w:tcW w:type="dxa" w:w="201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Precision (top 20% flag)</w:t>
            </w:r>
          </w:p>
        </w:tc>
        <w:tc>
          <w:tcPr>
            <w:tcW w:type="dxa" w:w="136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80.00%</w:t>
            </w:r>
          </w:p>
        </w:tc>
        <w:tc>
          <w:tcPr>
            <w:tcW w:type="dxa" w:w="144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92.00%</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+12.00 pp</w:t>
            </w:r>
          </w:p>
        </w:tc>
        <w:tc>
          <w:tcPr>
            <w:tcW w:type="dxa" w:w="194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 / 25 true hits</w:t>
            </w:r>
          </w:p>
        </w:tc>
      </w:tr>
    </w:tbl>
    <w:p>
      <w:pPr>
        <w:spacing w:before="0" w:after="60" w:line="254" w:lineRule="auto"/>
        <w:jc w:val="both"/>
      </w:pPr>
    </w:p>
    <w:p>
      <w:pPr>
        <w:spacing w:before="100" w:after="40" w:line="254" w:lineRule="auto"/>
        <w:jc w:val="center"/>
      </w:pPr>
      <w:r>
        <w:drawing>
          <wp:inline xmlns:a="http://schemas.openxmlformats.org/drawingml/2006/main" xmlns:pic="http://schemas.openxmlformats.org/drawingml/2006/picture">
            <wp:extent cx="5577840" cy="1908208"/>
            <wp:docPr id="7" name="Picture 7"/>
            <wp:cNvGraphicFramePr>
              <a:graphicFrameLocks noChangeAspect="1"/>
            </wp:cNvGraphicFramePr>
            <a:graphic>
              <a:graphicData uri="http://schemas.openxmlformats.org/drawingml/2006/picture">
                <pic:pic>
                  <pic:nvPicPr>
                    <pic:cNvPr id="0" name="fig7_ranking_decision_quality.png"/>
                    <pic:cNvPicPr/>
                  </pic:nvPicPr>
                  <pic:blipFill>
                    <a:blip r:embed="rId15"/>
                    <a:stretch>
                      <a:fillRect/>
                    </a:stretch>
                  </pic:blipFill>
                  <pic:spPr>
                    <a:xfrm>
                      <a:off x="0" y="0"/>
                      <a:ext cx="5577840" cy="1908208"/>
                    </a:xfrm>
                    <a:prstGeom prst="rect"/>
                  </pic:spPr>
                </pic:pic>
              </a:graphicData>
            </a:graphic>
          </wp:inline>
        </w:drawing>
      </w:r>
    </w:p>
    <w:p>
      <w:pPr>
        <w:spacing w:before="0" w:after="100" w:line="254" w:lineRule="auto"/>
        <w:jc w:val="center"/>
      </w:pPr>
      <w:r>
        <w:rPr>
          <w:rFonts w:ascii="Times New Roman" w:hAnsi="Times New Roman"/>
          <w:b w:val="0"/>
          <w:i/>
          <w:color w:val="000000"/>
          <w:sz w:val="17"/>
        </w:rPr>
        <w:t>Fig. 7. Standardized list-ranking quality (NDCG@K, Kendall's tau) and derived extreme-group ROC discrimination on the frozen temporal holdout (n = 124).</w:t>
      </w:r>
    </w:p>
    <w:p>
      <w:pPr>
        <w:spacing w:before="200" w:after="60" w:line="254" w:lineRule="auto"/>
        <w:jc w:val="left"/>
      </w:pPr>
      <w:r>
        <w:rPr>
          <w:rFonts w:ascii="Times New Roman" w:hAnsi="Times New Roman"/>
          <w:b/>
          <w:i w:val="0"/>
          <w:color w:val="000000"/>
          <w:sz w:val="21"/>
        </w:rPr>
        <w:t>V. ABLATION, ROBUSTNESS, INTERPRETABILITY, AND EFFICIENCY</w:t>
      </w:r>
    </w:p>
    <w:p>
      <w:pPr>
        <w:spacing w:before="120" w:after="40" w:line="254" w:lineRule="auto"/>
        <w:jc w:val="left"/>
      </w:pPr>
      <w:r>
        <w:rPr>
          <w:rFonts w:ascii="Times New Roman" w:hAnsi="Times New Roman"/>
          <w:b/>
          <w:i/>
          <w:color w:val="000000"/>
          <w:sz w:val="19"/>
        </w:rPr>
        <w:t>A. Controlled Component Ablation</w:t>
      </w:r>
    </w:p>
    <w:p>
      <w:pPr>
        <w:spacing w:before="0" w:after="70" w:line="254" w:lineRule="auto"/>
        <w:jc w:val="both"/>
      </w:pPr>
      <w:r>
        <w:rPr>
          <w:rFonts w:ascii="Times New Roman" w:hAnsi="Times New Roman"/>
          <w:b w:val="0"/>
          <w:i w:val="0"/>
          <w:color w:val="000000"/>
          <w:sz w:val="19"/>
        </w:rPr>
        <w:t>A controlled ablation over seven configurations (Table V, Fig. 8) quantifies what each component contributes. The 24-dimensional feature vector breaks down into 9 aspect scores, 9 aspect mention rates, 3 specification density metrics, 1 launch price, 1 brand tier, and 1 product category indicator. Removing the LLM semantic aspects (A1: removing all 18 aspect scores and mention rates, leaving 6 metadata and density features) causes the largest single drop (delta_rho = -0.0880, rho = 0.5842). Removing the specification density attributes (bullet counts, word count, number density) lowers rho by 0.0321 (to 0.6401), and removing brand tier lowers it by 0.0337 (to 0.6385). Metadata alone (price, brand tier, category) gives only rho = 0.4418 (delta_rho = -0.2304), so launch-time viability cannot be inferred from commercial metadata alone.</w:t>
      </w:r>
    </w:p>
    <w:p>
      <w:pPr>
        <w:spacing w:before="0" w:after="70" w:line="254" w:lineRule="auto"/>
        <w:jc w:val="both"/>
      </w:pPr>
      <w:r>
        <w:rPr>
          <w:rFonts w:ascii="Times New Roman" w:hAnsi="Times New Roman"/>
          <w:b w:val="0"/>
          <w:i w:val="0"/>
          <w:color w:val="000000"/>
          <w:sz w:val="19"/>
        </w:rPr>
        <w:t>One result deserves a comment. The configuration with no LLM aspects at all (A1, rho = 0.5842) already exceeds the scalar-aspect baseline (Model_O, rho = 0.5623). A share of the improvement over Model_O therefore comes from the specification-density features, which are extracted without the LLM.</w:t>
      </w:r>
    </w:p>
    <w:p>
      <w:pPr>
        <w:spacing w:before="160" w:after="60" w:line="254" w:lineRule="auto"/>
        <w:jc w:val="center"/>
      </w:pPr>
      <w:r>
        <w:rPr>
          <w:rFonts w:ascii="Times New Roman" w:hAnsi="Times New Roman"/>
          <w:b/>
          <w:i w:val="0"/>
          <w:color w:val="000000"/>
          <w:sz w:val="17"/>
        </w:rPr>
        <w:t>TABLE V</w:t>
        <w:br/>
        <w:t>CONTROLLED COMPONENT FEATURE ABLATION (HOLDOUT n = 124)</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rPr>
        <w:tc>
          <w:tcPr>
            <w:tcW w:type="dxa" w:w="72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Config</w:t>
            </w:r>
          </w:p>
        </w:tc>
        <w:tc>
          <w:tcPr>
            <w:tcW w:type="dxa" w:w="216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Ablation Description</w:t>
            </w:r>
          </w:p>
        </w:tc>
        <w:tc>
          <w:tcPr>
            <w:tcW w:type="dxa" w:w="288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Features Included</w:t>
            </w:r>
          </w:p>
        </w:tc>
        <w:tc>
          <w:tcPr>
            <w:tcW w:type="dxa" w:w="72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Features (n)</w:t>
            </w:r>
          </w:p>
        </w:tc>
        <w:tc>
          <w:tcPr>
            <w:tcW w:type="dxa" w:w="936"/>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Spearman rho</w:t>
            </w:r>
          </w:p>
        </w:tc>
        <w:tc>
          <w:tcPr>
            <w:tcW w:type="dxa" w:w="108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Delta vs Full</w:t>
            </w:r>
          </w:p>
        </w:tc>
        <w:tc>
          <w:tcPr>
            <w:tcW w:type="dxa" w:w="7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RMSE</w:t>
            </w:r>
          </w:p>
        </w:tc>
        <w:tc>
          <w:tcPr>
            <w:tcW w:type="dxa" w:w="7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MAE</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A3</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Full Model_New (promoted)</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All 24 features (aspects + density + metadata)</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24</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0.6722</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Reference</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19.75</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16.66</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A7</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w/o launch unit price</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All features except price</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0.6654</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-0.0068</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19.82</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16.71</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A6</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w/o category indicator</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All features except category</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0.6512</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-0.0210</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20.08</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16.94</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A2</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w/o specification density</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All features except bullet/word/num metrics</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0.6401</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-0.0321</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20.31</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17.12</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A5</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w/o brand footprint tier</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All features except brand tier</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0.6385</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-0.0337</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20.25</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17.08</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A1</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w/o LLM semantic aspects</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Metadata + spec density (no aspect scores/mentions)</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6</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0.5842</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-0.0880</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21.05</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17.65</w:t>
            </w:r>
          </w:p>
        </w:tc>
      </w:tr>
      <w:tr>
        <w:trPr>
          <w:cantSplit/>
        </w:trPr>
        <w:tc>
          <w:tcPr>
            <w:tcW w:type="dxa" w:w="720"/>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A0</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Metadata-only control</w:t>
            </w:r>
          </w:p>
        </w:tc>
        <w:tc>
          <w:tcPr>
            <w:tcW w:type="dxa" w:w="28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Price + brand tier + category only</w:t>
            </w:r>
          </w:p>
        </w:tc>
        <w:tc>
          <w:tcPr>
            <w:tcW w:type="dxa" w:w="72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3</w:t>
            </w:r>
          </w:p>
        </w:tc>
        <w:tc>
          <w:tcPr>
            <w:tcW w:type="dxa" w:w="93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0.4418</w:t>
            </w:r>
          </w:p>
        </w:tc>
        <w:tc>
          <w:tcPr>
            <w:tcW w:type="dxa" w:w="108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-0.2304</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23.41</w:t>
            </w:r>
          </w:p>
        </w:tc>
        <w:tc>
          <w:tcPr>
            <w:tcW w:type="dxa" w:w="79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19.82</w:t>
            </w:r>
          </w:p>
        </w:tc>
      </w:tr>
    </w:tbl>
    <w:p>
      <w:pPr>
        <w:spacing w:before="0" w:after="60" w:line="254" w:lineRule="auto"/>
        <w:jc w:val="both"/>
      </w:pPr>
    </w:p>
    <w:p>
      <w:pPr>
        <w:spacing w:before="100" w:after="40" w:line="254" w:lineRule="auto"/>
        <w:jc w:val="center"/>
      </w:pPr>
      <w:r>
        <w:drawing>
          <wp:inline xmlns:a="http://schemas.openxmlformats.org/drawingml/2006/main" xmlns:pic="http://schemas.openxmlformats.org/drawingml/2006/picture">
            <wp:extent cx="5120640" cy="2194560"/>
            <wp:docPr id="8" name="Picture 8"/>
            <wp:cNvGraphicFramePr>
              <a:graphicFrameLocks noChangeAspect="1"/>
            </wp:cNvGraphicFramePr>
            <a:graphic>
              <a:graphicData uri="http://schemas.openxmlformats.org/drawingml/2006/picture">
                <pic:pic>
                  <pic:nvPicPr>
                    <pic:cNvPr id="0" name="fig8_ablation.png"/>
                    <pic:cNvPicPr/>
                  </pic:nvPicPr>
                  <pic:blipFill>
                    <a:blip r:embed="rId16"/>
                    <a:stretch>
                      <a:fillRect/>
                    </a:stretch>
                  </pic:blipFill>
                  <pic:spPr>
                    <a:xfrm>
                      <a:off x="0" y="0"/>
                      <a:ext cx="5120640" cy="2194560"/>
                    </a:xfrm>
                    <a:prstGeom prst="rect"/>
                  </pic:spPr>
                </pic:pic>
              </a:graphicData>
            </a:graphic>
          </wp:inline>
        </w:drawing>
      </w:r>
    </w:p>
    <w:p>
      <w:pPr>
        <w:spacing w:before="0" w:after="100" w:line="254" w:lineRule="auto"/>
        <w:jc w:val="center"/>
      </w:pPr>
      <w:r>
        <w:rPr>
          <w:rFonts w:ascii="Times New Roman" w:hAnsi="Times New Roman"/>
          <w:b w:val="0"/>
          <w:i/>
          <w:color w:val="000000"/>
          <w:sz w:val="17"/>
        </w:rPr>
        <w:t>Fig. 8. Controlled component ablation study of feature contributions (Holdout n = 124).</w:t>
      </w:r>
    </w:p>
    <w:p>
      <w:pPr>
        <w:spacing w:before="120" w:after="40" w:line="254" w:lineRule="auto"/>
        <w:jc w:val="left"/>
      </w:pPr>
      <w:r>
        <w:rPr>
          <w:rFonts w:ascii="Times New Roman" w:hAnsi="Times New Roman"/>
          <w:b/>
          <w:i/>
          <w:color w:val="000000"/>
          <w:sz w:val="19"/>
        </w:rPr>
        <w:t>B. Seed Stability and Byte-for-Byte Integrity</w:t>
      </w:r>
    </w:p>
    <w:p>
      <w:pPr>
        <w:spacing w:before="0" w:after="70" w:line="254" w:lineRule="auto"/>
        <w:jc w:val="both"/>
      </w:pPr>
      <w:r>
        <w:rPr>
          <w:rFonts w:ascii="Times New Roman" w:hAnsi="Times New Roman"/>
          <w:b w:val="0"/>
          <w:i w:val="0"/>
          <w:color w:val="000000"/>
          <w:sz w:val="19"/>
        </w:rPr>
        <w:t>Across five random seeds (42, 123, 456, 789, 999), Model_New outperforms the baseline consistently (mean rho = 0.6332 +- 0.0331 versus 0.5828 +- 0.0249). The seed-averaged gap (about 0.05) is smaller than the +0.1099 gap of the headline run, so the direction of the effect is stable while its size varies with the seed. The automated leakage test suite passes all 10 criteria (TEST-01: label inaccessibility; TEST-02: zero test ID fitting leakage; TEST-03: strict October 31, 2021 temporal partitioning; TEST-04: training-only normalization bounds; TEST-05: training-only category profiles; TEST-06: training-only brand footprint tiering; TEST-07: CV-only hyperparameter tuning; TEST-08: frozen extraction prompts; TEST-09: isolated test evaluation loading; and TEST-10: byte-for-byte SHA-256 prediction invariance under complete label deletion). In an independent integrity test, we ran prediction once with test ground truth present and once with it deleted. The two runs produced bit-for-bit identical output hashes (SHA-256: 3f75df2ebaf508eb...), which shows that predictions do not depend on test labels. Fig. 9 plots predicted against observed scores on the holdout.</w:t>
      </w:r>
    </w:p>
    <w:p>
      <w:pPr>
        <w:spacing w:before="100" w:after="40" w:line="254" w:lineRule="auto"/>
        <w:jc w:val="center"/>
      </w:pPr>
      <w:r>
        <w:drawing>
          <wp:inline xmlns:a="http://schemas.openxmlformats.org/drawingml/2006/main" xmlns:pic="http://schemas.openxmlformats.org/drawingml/2006/picture">
            <wp:extent cx="4023360" cy="3040501"/>
            <wp:docPr id="9" name="Picture 9"/>
            <wp:cNvGraphicFramePr>
              <a:graphicFrameLocks noChangeAspect="1"/>
            </wp:cNvGraphicFramePr>
            <a:graphic>
              <a:graphicData uri="http://schemas.openxmlformats.org/drawingml/2006/picture">
                <pic:pic>
                  <pic:nvPicPr>
                    <pic:cNvPr id="0" name="fig9_scatter.png"/>
                    <pic:cNvPicPr/>
                  </pic:nvPicPr>
                  <pic:blipFill>
                    <a:blip r:embed="rId17"/>
                    <a:stretch>
                      <a:fillRect/>
                    </a:stretch>
                  </pic:blipFill>
                  <pic:spPr>
                    <a:xfrm>
                      <a:off x="0" y="0"/>
                      <a:ext cx="4023360" cy="3040501"/>
                    </a:xfrm>
                    <a:prstGeom prst="rect"/>
                  </pic:spPr>
                </pic:pic>
              </a:graphicData>
            </a:graphic>
          </wp:inline>
        </w:drawing>
      </w:r>
    </w:p>
    <w:p>
      <w:pPr>
        <w:spacing w:before="0" w:after="100" w:line="254" w:lineRule="auto"/>
        <w:jc w:val="center"/>
      </w:pPr>
      <w:r>
        <w:rPr>
          <w:rFonts w:ascii="Times New Roman" w:hAnsi="Times New Roman"/>
          <w:b w:val="0"/>
          <w:i/>
          <w:color w:val="000000"/>
          <w:sz w:val="17"/>
        </w:rPr>
        <w:t>Fig. 9. Scatter of predicted viability against the actual market outcome proxy (Holdout n = 124).</w:t>
      </w:r>
    </w:p>
    <w:p>
      <w:pPr>
        <w:spacing w:before="120" w:after="40" w:line="254" w:lineRule="auto"/>
        <w:jc w:val="left"/>
      </w:pPr>
      <w:r>
        <w:rPr>
          <w:rFonts w:ascii="Times New Roman" w:hAnsi="Times New Roman"/>
          <w:b/>
          <w:i/>
          <w:color w:val="000000"/>
          <w:sz w:val="19"/>
        </w:rPr>
        <w:t>C. Feature Attribution and Monotonic Domain Regularization</w:t>
      </w:r>
    </w:p>
    <w:p>
      <w:pPr>
        <w:spacing w:before="0" w:after="70" w:line="254" w:lineRule="auto"/>
        <w:jc w:val="both"/>
      </w:pPr>
      <w:r>
        <w:rPr>
          <w:rFonts w:ascii="Times New Roman" w:hAnsi="Times New Roman"/>
          <w:b w:val="0"/>
          <w:i w:val="0"/>
          <w:color w:val="000000"/>
          <w:sz w:val="19"/>
        </w:rPr>
        <w:t>To keep predictions consistent with product economics and not with spurious training artifacts, the XGBoost estimator applies exact monotonic constraints during tree construction. Launch price is constrained negatively (-1): with all specifications held fixed, a higher price cannot raise predicted viability. Brand tier and all nine aspect ratings are constrained positively (+1). Split-gain analysis attributes over 42% of total split improvement to technical specification density and build quality, which suggests that engineering content carries much of the predictive weight.</w:t>
      </w:r>
    </w:p>
    <w:p>
      <w:pPr>
        <w:spacing w:before="120" w:after="40" w:line="254" w:lineRule="auto"/>
        <w:jc w:val="left"/>
      </w:pPr>
      <w:r>
        <w:rPr>
          <w:rFonts w:ascii="Times New Roman" w:hAnsi="Times New Roman"/>
          <w:b/>
          <w:i/>
          <w:color w:val="000000"/>
          <w:sz w:val="19"/>
        </w:rPr>
        <w:t>D. Computational Efficiency and Operational Latency</w:t>
      </w:r>
    </w:p>
    <w:p>
      <w:pPr>
        <w:spacing w:before="0" w:after="70" w:line="254" w:lineRule="auto"/>
        <w:jc w:val="both"/>
      </w:pPr>
      <w:r>
        <w:rPr>
          <w:rFonts w:ascii="Times New Roman" w:hAnsi="Times New Roman"/>
          <w:b w:val="0"/>
          <w:i w:val="0"/>
          <w:color w:val="000000"/>
          <w:sz w:val="19"/>
        </w:rPr>
        <w:t>In decision-support settings, inference latency determines usability (Table VI). On commodity x86_64 hardware, downstream scoring with Model_New takes 0.0395 milliseconds per product, a throughput above 25,000 items per second, with a model artifact of 297 KB. Offline LLM aspect extraction takes 1.4–2.2 s per specification. Because extraction is decoupled from scoring, an interactive dashboard can re-estimate predictions instantly as a user moves a parameter slider.</w:t>
      </w:r>
    </w:p>
    <w:p>
      <w:pPr>
        <w:spacing w:before="160" w:after="60" w:line="254" w:lineRule="auto"/>
        <w:jc w:val="center"/>
      </w:pPr>
      <w:r>
        <w:rPr>
          <w:rFonts w:ascii="Times New Roman" w:hAnsi="Times New Roman"/>
          <w:b/>
          <w:i w:val="0"/>
          <w:color w:val="000000"/>
          <w:sz w:val="17"/>
        </w:rPr>
        <w:t>TABLE VI</w:t>
        <w:br/>
        <w:t>OPERATIONAL AND COMPUTATIONAL EFFICIENCY PROFILE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rPr>
        <w:tc>
          <w:tcPr>
            <w:tcW w:type="dxa" w:w="25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Pipeline Component</w:t>
            </w:r>
          </w:p>
        </w:tc>
        <w:tc>
          <w:tcPr>
            <w:tcW w:type="dxa" w:w="216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Implementation</w:t>
            </w:r>
          </w:p>
        </w:tc>
        <w:tc>
          <w:tcPr>
            <w:tcW w:type="dxa" w:w="158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Inference Latency</w:t>
            </w:r>
          </w:p>
        </w:tc>
        <w:tc>
          <w:tcPr>
            <w:tcW w:type="dxa" w:w="1584"/>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Throughput</w:t>
            </w:r>
          </w:p>
        </w:tc>
        <w:tc>
          <w:tcPr>
            <w:tcW w:type="dxa" w:w="2160"/>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Storage / Memory Footprint</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Downstream tabular inference</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XGBoost (hist tree)</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0.0395 ms / item</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&gt; 25,000 items/sec</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297 KB (model JSON)</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Specification density parser</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Python / regex tokenizer</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0.12 ms / item</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&gt; 8,000 items/sec</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In-memory (&lt; 1 MB)</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LLM aspect extraction</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JSON schema (9 aspects)</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1.4–2.2 s / item</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 30 items/min</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3.5 KB (prompt/schema)</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Downstream model training</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XGBoost (n = 507 products)</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0.093 seconds</w:t>
            </w:r>
          </w:p>
        </w:tc>
        <w:tc>
          <w:tcPr>
            <w:tcW w:type="dxa" w:w="1584"/>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Single training run</w:t>
            </w:r>
          </w:p>
        </w:tc>
        <w:tc>
          <w:tcPr>
            <w:tcW w:type="dxa" w:w="2160"/>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297 KB</w:t>
            </w:r>
          </w:p>
        </w:tc>
      </w:tr>
    </w:tbl>
    <w:p>
      <w:pPr>
        <w:spacing w:before="0" w:after="60" w:line="254" w:lineRule="auto"/>
        <w:jc w:val="both"/>
      </w:pPr>
    </w:p>
    <w:p>
      <w:pPr>
        <w:spacing w:before="200" w:after="60" w:line="254" w:lineRule="auto"/>
        <w:jc w:val="left"/>
      </w:pPr>
      <w:r>
        <w:rPr>
          <w:rFonts w:ascii="Times New Roman" w:hAnsi="Times New Roman"/>
          <w:b/>
          <w:i w:val="0"/>
          <w:color w:val="000000"/>
          <w:sz w:val="21"/>
        </w:rPr>
        <w:t>VI. EXTERNAL APPLICATION VALIDATION</w:t>
      </w:r>
    </w:p>
    <w:p>
      <w:pPr>
        <w:spacing w:before="0" w:after="70" w:line="254" w:lineRule="auto"/>
        <w:jc w:val="both"/>
      </w:pPr>
      <w:r>
        <w:rPr>
          <w:rFonts w:ascii="Times New Roman" w:hAnsi="Times New Roman"/>
          <w:b w:val="0"/>
          <w:i w:val="0"/>
          <w:color w:val="000000"/>
          <w:sz w:val="19"/>
        </w:rPr>
        <w:t>To test transfer beyond the frozen historical holdout, the synchronized application inference engine was run on an independent external cohort of 155 Amazon products launched between 2022 and 2024 across the five canonical categories (Table VII). This cohort is physically distinct from the primary 507/124 partition. On the 150 products with accumulated market validation, the model reaches rho = 0.501 (95% CI [0.362, 0.617]), with rho = 0.6120 on the high-density specification subset (95% CI [0.504, 0.702], Quintile AUC = 0.884), and an extreme-group Quintile AUC of 0.873 (MAE = 15.87 pts). This is lower than the temporal-holdout value of rho = 0.6722. Established brands (n = 129) reach rho = 0.454, while startup and new-entrant brands (n = 21) reach rho = 0.686 (Quintile AUC = 0.940), although the confidence interval for the smaller group is wide ([0.352, 0.865]). The five prospective pre-launch SKUs have no post-launch labels and are excluded from the metrics. The representation therefore carries over to post-2022 products without a collapse in performance.</w:t>
      </w:r>
    </w:p>
    <w:p>
      <w:pPr>
        <w:spacing w:before="160" w:after="60" w:line="254" w:lineRule="auto"/>
        <w:jc w:val="center"/>
      </w:pPr>
      <w:r>
        <w:rPr>
          <w:rFonts w:ascii="Times New Roman" w:hAnsi="Times New Roman"/>
          <w:b/>
          <w:i w:val="0"/>
          <w:color w:val="000000"/>
          <w:sz w:val="17"/>
        </w:rPr>
        <w:t>TABLE VII</w:t>
        <w:br/>
        <w:t>EXTERNAL REAL-WORLD APPLICATION EVALUATION (2022–2024 AMAZON COHORT, n = 155)</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rPr>
        <w:tc>
          <w:tcPr>
            <w:tcW w:type="dxa" w:w="259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Cohort Partition</w:t>
            </w:r>
          </w:p>
        </w:tc>
        <w:tc>
          <w:tcPr>
            <w:tcW w:type="dxa" w:w="100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Sample Size (n)</w:t>
            </w:r>
          </w:p>
        </w:tc>
        <w:tc>
          <w:tcPr>
            <w:tcW w:type="dxa" w:w="100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Spearman rho</w:t>
            </w:r>
          </w:p>
        </w:tc>
        <w:tc>
          <w:tcPr>
            <w:tcW w:type="dxa" w:w="1728"/>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95% Confidence Interval</w:t>
            </w:r>
          </w:p>
        </w:tc>
        <w:tc>
          <w:tcPr>
            <w:tcW w:type="dxa" w:w="1152"/>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Quintile AUC</w:t>
            </w:r>
          </w:p>
        </w:tc>
        <w:tc>
          <w:tcPr>
            <w:tcW w:type="dxa" w:w="1296"/>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RMSE</w:t>
            </w:r>
          </w:p>
        </w:tc>
        <w:tc>
          <w:tcPr>
            <w:tcW w:type="dxa" w:w="1296"/>
            <w:shd w:fill="F1F5F9"/>
            <w:tcMar>
              <w:top w:w="35" w:type="dxa"/>
              <w:bottom w:w="35" w:type="dxa"/>
              <w:left w:w="45" w:type="dxa"/>
              <w:right w:w="45" w:type="dxa"/>
            </w:tcMar>
          </w:tcPr>
          <w:p>
            <w:pPr>
              <w:spacing w:before="50" w:after="50" w:line="254" w:lineRule="auto"/>
              <w:jc w:val="center"/>
            </w:pPr>
            <w:r>
              <w:rPr>
                <w:rFonts w:ascii="Times New Roman" w:hAnsi="Times New Roman"/>
                <w:b/>
                <w:i w:val="0"/>
                <w:color w:val="000000"/>
                <w:sz w:val="15"/>
              </w:rPr>
              <w:t>MAE</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Full evaluation set</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150</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0.501</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[0.362, 0.617]</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0.873</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19.83</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15.87</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High-density specification subset</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94</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0.6120</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[0.504, 0.702]</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0.884</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19.10</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14.82</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Established brands</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129</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0.454</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[0.301, 0.582]</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0.852</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19.92</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15.91</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Startup / new-entrant brands</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21</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0.686</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[0.352, 0.865]</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0.940</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19.26</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15.62</w:t>
            </w:r>
          </w:p>
        </w:tc>
      </w:tr>
      <w:tr>
        <w:trPr>
          <w:cantSplit/>
        </w:trPr>
        <w:tc>
          <w:tcPr>
            <w:tcW w:type="dxa" w:w="2592"/>
            <w:tcMar>
              <w:top w:w="35" w:type="dxa"/>
              <w:bottom w:w="35" w:type="dxa"/>
              <w:left w:w="45" w:type="dxa"/>
              <w:right w:w="45" w:type="dxa"/>
            </w:tcMar>
          </w:tcPr>
          <w:p>
            <w:pPr>
              <w:spacing w:before="30" w:after="30" w:line="254" w:lineRule="auto"/>
              <w:jc w:val="left"/>
            </w:pPr>
            <w:r>
              <w:rPr>
                <w:rFonts w:ascii="Times New Roman" w:hAnsi="Times New Roman"/>
                <w:b w:val="0"/>
                <w:i w:val="0"/>
                <w:color w:val="000000"/>
                <w:sz w:val="15"/>
              </w:rPr>
              <w:t>Prospective pre-launch SKUs</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5</w:t>
            </w:r>
          </w:p>
        </w:tc>
        <w:tc>
          <w:tcPr>
            <w:tcW w:type="dxa" w:w="100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N/A</w:t>
            </w:r>
          </w:p>
        </w:tc>
        <w:tc>
          <w:tcPr>
            <w:tcW w:type="dxa" w:w="1728"/>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N/A (no post-launch labels)</w:t>
            </w:r>
          </w:p>
        </w:tc>
        <w:tc>
          <w:tcPr>
            <w:tcW w:type="dxa" w:w="1152"/>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N/A</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N/A</w:t>
            </w:r>
          </w:p>
        </w:tc>
        <w:tc>
          <w:tcPr>
            <w:tcW w:type="dxa" w:w="1296"/>
            <w:tcMar>
              <w:top w:w="35" w:type="dxa"/>
              <w:bottom w:w="35" w:type="dxa"/>
              <w:left w:w="45" w:type="dxa"/>
              <w:right w:w="45" w:type="dxa"/>
            </w:tcMar>
          </w:tcPr>
          <w:p>
            <w:pPr>
              <w:spacing w:before="30" w:after="30" w:line="254" w:lineRule="auto"/>
              <w:jc w:val="center"/>
            </w:pPr>
            <w:r>
              <w:rPr>
                <w:rFonts w:ascii="Times New Roman" w:hAnsi="Times New Roman"/>
                <w:b w:val="0"/>
                <w:i w:val="0"/>
                <w:color w:val="000000"/>
                <w:sz w:val="15"/>
              </w:rPr>
              <w:t>N/A</w:t>
            </w:r>
          </w:p>
        </w:tc>
      </w:tr>
    </w:tbl>
    <w:p>
      <w:pPr>
        <w:spacing w:before="0" w:after="60" w:line="254" w:lineRule="auto"/>
        <w:jc w:val="both"/>
      </w:pPr>
    </w:p>
    <w:p>
      <w:pPr>
        <w:spacing w:before="200" w:after="60" w:line="254" w:lineRule="auto"/>
        <w:jc w:val="left"/>
      </w:pPr>
      <w:r>
        <w:rPr>
          <w:rFonts w:ascii="Times New Roman" w:hAnsi="Times New Roman"/>
          <w:b/>
          <w:i w:val="0"/>
          <w:color w:val="000000"/>
          <w:sz w:val="21"/>
        </w:rPr>
        <w:t>VII. DISCUSSION, ETHICAL CONSIDERATIONS, AND LIMITATIONS</w:t>
      </w:r>
    </w:p>
    <w:p>
      <w:pPr>
        <w:spacing w:before="0" w:after="70" w:line="254" w:lineRule="auto"/>
        <w:jc w:val="both"/>
      </w:pPr>
      <w:r>
        <w:rPr>
          <w:rFonts w:ascii="Times New Roman" w:hAnsi="Times New Roman"/>
          <w:b w:val="0"/>
          <w:i w:val="0"/>
          <w:color w:val="000000"/>
          <w:sz w:val="19"/>
        </w:rPr>
        <w:t>The target predicted by this system is a review-derived market-success proxy. It is not unit sales, revenue, or profit. Consumer satisfaction and review velocity correlate with commercial viability in e-commerce markets [5], [6], [9], but paid advertising, distributor relationships, and supply chain logistics also affect aggregate sales volume, and our model does not represent them. Public review platforms are also affected by review spam and promotional manipulation [38]–[40]. They carry survivorship bias as well: products with fewer than five reviews were excluded during corpus curation. Our predictions should therefore be read as expected consumer satisfaction and engagement, conditional on the product reaching baseline market visibility. A single frozen split, five product categories, and a 124-product holdout also limit statistical power, and the extraction stage depends on the specific LLM used.</w:t>
      </w:r>
    </w:p>
    <w:p>
      <w:pPr>
        <w:spacing w:before="0" w:after="70" w:line="254" w:lineRule="auto"/>
        <w:jc w:val="both"/>
      </w:pPr>
      <w:r>
        <w:rPr>
          <w:rFonts w:ascii="Times New Roman" w:hAnsi="Times New Roman"/>
          <w:b w:val="0"/>
          <w:i w:val="0"/>
          <w:color w:val="000000"/>
          <w:sz w:val="19"/>
        </w:rPr>
        <w:t>Note on the temporal cutoff. The October 31, 2021 boundary is a dataset cutoff and not the date of study execution (2026). We selected it to build a strictly forward-in-time cohort with enough pre-cutoff training products and post-cutoff evaluation products. An empirical audit of candidate boundaries shows why later cutoffs cannot serve as the primary research benchmark. The underlying physical product corpus was harvested through September 2023, and products in the 124-product temporal holdout had their first recorded reviews between November 2021 and February 2023 to ensure 7–22 months of post-launch signal stabilization. Shifting the cutoff forward to December 31, 2022 leaves only the 3 products launched in January–February 2023 (n = 3, causing severe sample starvation and category collapse), while any cutoff in late 2023–2026 yields n = 0 post-cutoff products in the harvested historical corpus. We therefore keep the 2021 cutoff with its 124-product holdout as the primary frozen temporal benchmark, and use the 2022–2024 external cohort as an independent post-cutoff validation.</w:t>
      </w:r>
    </w:p>
    <w:p>
      <w:pPr>
        <w:spacing w:before="200" w:after="60" w:line="254" w:lineRule="auto"/>
        <w:jc w:val="left"/>
      </w:pPr>
      <w:r>
        <w:rPr>
          <w:rFonts w:ascii="Times New Roman" w:hAnsi="Times New Roman"/>
          <w:b/>
          <w:i w:val="0"/>
          <w:color w:val="000000"/>
          <w:sz w:val="21"/>
        </w:rPr>
        <w:t>VIII. CONCLUSION</w:t>
      </w:r>
    </w:p>
    <w:p>
      <w:pPr>
        <w:spacing w:before="0" w:after="70" w:line="254" w:lineRule="auto"/>
        <w:jc w:val="both"/>
      </w:pPr>
      <w:r>
        <w:rPr>
          <w:rFonts w:ascii="Times New Roman" w:hAnsi="Times New Roman"/>
          <w:b w:val="0"/>
          <w:i w:val="0"/>
          <w:color w:val="000000"/>
          <w:sz w:val="19"/>
        </w:rPr>
        <w:t>Augmenting LLM aspect bridging with evidence-grounded cold-start representations reduces the semantic compression bottleneck in launch-blind product success prediction. On a frozen temporal holdout of 124 physical products, the promoted architecture reaches rho = 0.672 and AUC = 0.971, a statistically significant improvement over the scalar-aspect baseline (delta_rho = +0.110, p = 0.0005). The target definition, temporal partition, and downstream learner were left unchanged. In the six-learner benchmark XGBoost ranks first, with SVR and gradient-boosted trees close behind, and the list-ranking and extreme-group analyses show reliable ordering at the top of the shortlist and 92.0% decision accuracy on the extreme-group task. Under pure cold-start conditions, rank correlation on unseen brands is rho = 0.633. The research package, the synchronized application inference engine, and the audit records will be released upon acceptance.</w:t>
      </w:r>
    </w:p>
    <w:p>
      <w:pPr>
        <w:spacing w:before="200" w:after="60" w:line="254" w:lineRule="auto"/>
        <w:jc w:val="left"/>
      </w:pPr>
      <w:r>
        <w:rPr>
          <w:rFonts w:ascii="Times New Roman" w:hAnsi="Times New Roman"/>
          <w:b/>
          <w:i w:val="0"/>
          <w:color w:val="000000"/>
          <w:sz w:val="21"/>
        </w:rPr>
        <w:t>DATA AND CODE AVAILABILITY</w:t>
      </w:r>
    </w:p>
    <w:p>
      <w:pPr>
        <w:spacing w:before="0" w:after="70" w:line="254" w:lineRule="auto"/>
        <w:jc w:val="both"/>
      </w:pPr>
      <w:r>
        <w:rPr>
          <w:rFonts w:ascii="Times New Roman" w:hAnsi="Times New Roman"/>
          <w:b w:val="0"/>
          <w:i w:val="0"/>
          <w:color w:val="000000"/>
          <w:sz w:val="19"/>
        </w:rPr>
        <w:t>The complete research package—including trained model checkpoints, feature manifests, evaluation scripts, automated leakage test suites, and the complete SHA-256-keyed offline extraction artifact cache—will be released in an open-access public repository with a persistent Zenodo DOI upon acceptance of the manuscript. During peer review, a complete, anonymized verification archive is provided to editors and reviewers upon request.</w:t>
      </w:r>
    </w:p>
    <w:p>
      <w:pPr>
        <w:spacing w:before="200" w:after="60" w:line="254" w:lineRule="auto"/>
        <w:jc w:val="left"/>
      </w:pPr>
      <w:r>
        <w:rPr>
          <w:rFonts w:ascii="Times New Roman" w:hAnsi="Times New Roman"/>
          <w:b/>
          <w:i w:val="0"/>
          <w:color w:val="000000"/>
          <w:sz w:val="21"/>
        </w:rPr>
        <w:t>AUTHOR CONTRIBUTIONS (CRediT STATEMENT)</w:t>
      </w:r>
    </w:p>
    <w:p>
      <w:pPr>
        <w:spacing w:before="0" w:after="70" w:line="254" w:lineRule="auto"/>
        <w:jc w:val="both"/>
      </w:pPr>
      <w:r>
        <w:rPr>
          <w:rFonts w:ascii="Times New Roman" w:hAnsi="Times New Roman"/>
          <w:b w:val="0"/>
          <w:i w:val="0"/>
          <w:color w:val="000000"/>
          <w:sz w:val="19"/>
        </w:rPr>
        <w:t>Rajvardhan Ajitrao Jagtap: Conceptualization, Methodology, Software, Formal Analysis, Writing – Original Draft. Jyotiraditya Abhijeet Shinde: Software, Data Curation, Validation, Investigation. Tanishq Parag Choudhari: Methodology, Formal Analysis, Visualization, Writing – Review &amp; Editing. Yash Ashok Mohite: Validation, Software, Data Curation. Yogesh Malakari Honamore: Supervision, Project Administration, Resources, Writing – Review &amp; Editing. All co-authors have reviewed and confirmed their assigned roles prior to submission.</w:t>
      </w:r>
    </w:p>
    <w:p>
      <w:pPr>
        <w:spacing w:before="200" w:after="60" w:line="254" w:lineRule="auto"/>
        <w:jc w:val="left"/>
      </w:pPr>
      <w:r>
        <w:rPr>
          <w:rFonts w:ascii="Times New Roman" w:hAnsi="Times New Roman"/>
          <w:b/>
          <w:i w:val="0"/>
          <w:color w:val="000000"/>
          <w:sz w:val="21"/>
        </w:rPr>
        <w:t>FUNDING AND COMPETING INTERESTS</w:t>
      </w:r>
    </w:p>
    <w:p>
      <w:pPr>
        <w:spacing w:before="0" w:after="70" w:line="254" w:lineRule="auto"/>
        <w:jc w:val="both"/>
      </w:pPr>
      <w:r>
        <w:rPr>
          <w:rFonts w:ascii="Times New Roman" w:hAnsi="Times New Roman"/>
          <w:b w:val="0"/>
          <w:i w:val="0"/>
          <w:color w:val="000000"/>
          <w:sz w:val="19"/>
        </w:rPr>
        <w:t>Funding: This research received no external grant or commercial funding.</w:t>
        <w:br/>
        <w:t>Competing Interests: The authors declare that they have no financial or commercial conflicts of interest that could influence the findings reported in this paper.</w:t>
      </w:r>
    </w:p>
    <w:p>
      <w:pPr>
        <w:spacing w:before="200" w:after="60" w:line="254" w:lineRule="auto"/>
        <w:jc w:val="left"/>
      </w:pPr>
      <w:r>
        <w:rPr>
          <w:rFonts w:ascii="Times New Roman" w:hAnsi="Times New Roman"/>
          <w:b/>
          <w:i w:val="0"/>
          <w:color w:val="000000"/>
          <w:sz w:val="21"/>
        </w:rPr>
        <w:t>ETHICS AND PLATFORM COMPLIANCE</w:t>
      </w:r>
    </w:p>
    <w:p>
      <w:pPr>
        <w:spacing w:before="0" w:after="70" w:line="254" w:lineRule="auto"/>
        <w:jc w:val="both"/>
      </w:pPr>
      <w:r>
        <w:rPr>
          <w:rFonts w:ascii="Times New Roman" w:hAnsi="Times New Roman"/>
          <w:b w:val="0"/>
          <w:i w:val="0"/>
          <w:color w:val="000000"/>
          <w:sz w:val="19"/>
        </w:rPr>
        <w:t>Public consumer reviews were obtained from established academic e-commerce research corpora curated for scientific study. All user account identifiers and personal metadata were removed during corpus ingestion, and empirical analyses operated exclusively on anonymized, public product copy without access to private personal data.</w:t>
      </w:r>
    </w:p>
    <w:p>
      <w:pPr>
        <w:spacing w:before="200" w:after="60" w:line="254" w:lineRule="auto"/>
        <w:jc w:val="left"/>
      </w:pPr>
      <w:r>
        <w:rPr>
          <w:rFonts w:ascii="Times New Roman" w:hAnsi="Times New Roman"/>
          <w:b/>
          <w:i w:val="0"/>
          <w:color w:val="000000"/>
          <w:sz w:val="21"/>
        </w:rPr>
        <w:t>DECLARATION OF GENERATIVE AI IN SCIENTIFIC WRITING</w:t>
      </w:r>
    </w:p>
    <w:p>
      <w:pPr>
        <w:spacing w:before="0" w:after="70" w:line="254" w:lineRule="auto"/>
        <w:jc w:val="both"/>
      </w:pPr>
      <w:r>
        <w:rPr>
          <w:rFonts w:ascii="Times New Roman" w:hAnsi="Times New Roman"/>
          <w:b w:val="0"/>
          <w:i w:val="0"/>
          <w:color w:val="000000"/>
          <w:sz w:val="19"/>
        </w:rPr>
        <w:t>Generative AI models served two distinct functions in this work. Algorithmically, Google Gemini 1.5 Flash was integrated into the experimental pipeline as an automated aspect-extraction and attribute-parsing engine under deterministic greedy decoding. In addition, during manuscript preparation and codebase maintenance, the authors utilized large language model assistants (including Anthropic Claude and Google Antigravity coding agents) for substantive manuscript drafting, structural editing, LaTeX and document formatting, and script refactoring. Following these automated and assistive procedures, all authors critically examined, audited, and verified all quantitative findings, tables, figures, and substantive claims, and take full institutional responsibility for the integrity and factual content of the published work.</w:t>
      </w:r>
    </w:p>
    <w:p>
      <w:pPr>
        <w:spacing w:before="200" w:after="60" w:line="254" w:lineRule="auto"/>
        <w:jc w:val="left"/>
      </w:pPr>
      <w:r>
        <w:rPr>
          <w:rFonts w:ascii="Times New Roman" w:hAnsi="Times New Roman"/>
          <w:b/>
          <w:i w:val="0"/>
          <w:color w:val="000000"/>
          <w:sz w:val="21"/>
        </w:rPr>
        <w:t>REFERENCES</w:t>
      </w:r>
    </w:p>
    <w:p>
      <w:pPr>
        <w:spacing w:before="20" w:after="30" w:line="254" w:lineRule="auto"/>
        <w:ind w:left="317" w:hanging="317"/>
        <w:jc w:val="left"/>
      </w:pPr>
      <w:r>
        <w:rPr>
          <w:rFonts w:ascii="Times New Roman" w:hAnsi="Times New Roman"/>
          <w:b/>
          <w:i w:val="0"/>
          <w:color w:val="000000"/>
          <w:sz w:val="18"/>
        </w:rPr>
        <w:t xml:space="preserve">[1] </w:t>
      </w:r>
      <w:r>
        <w:rPr>
          <w:rFonts w:ascii="Times New Roman" w:hAnsi="Times New Roman"/>
          <w:b w:val="0"/>
          <w:i w:val="0"/>
          <w:color w:val="000000"/>
          <w:sz w:val="18"/>
        </w:rPr>
        <w:t>K. T. Ulrich and S. D. Eppinger, Product Design and Development, 5th ed. New York, NY, USA: McGraw-Hill, 2012.</w:t>
      </w:r>
    </w:p>
    <w:p>
      <w:pPr>
        <w:spacing w:before="20" w:after="30" w:line="254" w:lineRule="auto"/>
        <w:ind w:left="317" w:hanging="317"/>
        <w:jc w:val="left"/>
      </w:pPr>
      <w:r>
        <w:rPr>
          <w:rFonts w:ascii="Times New Roman" w:hAnsi="Times New Roman"/>
          <w:b/>
          <w:i w:val="0"/>
          <w:color w:val="000000"/>
          <w:sz w:val="18"/>
        </w:rPr>
        <w:t xml:space="preserve">[2] </w:t>
      </w:r>
      <w:r>
        <w:rPr>
          <w:rFonts w:ascii="Times New Roman" w:hAnsi="Times New Roman"/>
          <w:b w:val="0"/>
          <w:i w:val="0"/>
          <w:color w:val="000000"/>
          <w:sz w:val="18"/>
        </w:rPr>
        <w:t>T. Åstebro, "The return to independent invention: Evidence of unrealistic optimism, risk seeking or skewness loving?" The Economic Journal, vol. 113, no. 484, pp. 226–239, 2003.</w:t>
      </w:r>
    </w:p>
    <w:p>
      <w:pPr>
        <w:spacing w:before="20" w:after="30" w:line="254" w:lineRule="auto"/>
        <w:ind w:left="317" w:hanging="317"/>
        <w:jc w:val="left"/>
      </w:pPr>
      <w:r>
        <w:rPr>
          <w:rFonts w:ascii="Times New Roman" w:hAnsi="Times New Roman"/>
          <w:b/>
          <w:i w:val="0"/>
          <w:color w:val="000000"/>
          <w:sz w:val="18"/>
        </w:rPr>
        <w:t xml:space="preserve">[3] </w:t>
      </w:r>
      <w:r>
        <w:rPr>
          <w:rFonts w:ascii="Times New Roman" w:hAnsi="Times New Roman"/>
          <w:b w:val="0"/>
          <w:i w:val="0"/>
          <w:color w:val="000000"/>
          <w:sz w:val="18"/>
        </w:rPr>
        <w:t>K. B. Hendricks and V. R. Singhal, "The effect of supply chain glitches on shareholder wealth," Journal of Operations Management, vol. 21, no. 5, pp. 501–522, 2003.</w:t>
      </w:r>
    </w:p>
    <w:p>
      <w:pPr>
        <w:spacing w:before="20" w:after="30" w:line="254" w:lineRule="auto"/>
        <w:ind w:left="317" w:hanging="317"/>
        <w:jc w:val="left"/>
      </w:pPr>
      <w:r>
        <w:rPr>
          <w:rFonts w:ascii="Times New Roman" w:hAnsi="Times New Roman"/>
          <w:b/>
          <w:i w:val="0"/>
          <w:color w:val="000000"/>
          <w:sz w:val="18"/>
        </w:rPr>
        <w:t xml:space="preserve">[4] </w:t>
      </w:r>
      <w:r>
        <w:rPr>
          <w:rFonts w:ascii="Times New Roman" w:hAnsi="Times New Roman"/>
          <w:b w:val="0"/>
          <w:i w:val="0"/>
          <w:color w:val="000000"/>
          <w:sz w:val="18"/>
        </w:rPr>
        <w:t>N. Archak, A. Ghose, and P. G. Ipeirotis, "Deriving the pricing power of product features by mining consumer reviews," Management Science, vol. 57, no. 8, pp. 1485–1509, 2011.</w:t>
      </w:r>
    </w:p>
    <w:p>
      <w:pPr>
        <w:spacing w:before="20" w:after="30" w:line="254" w:lineRule="auto"/>
        <w:ind w:left="317" w:hanging="317"/>
        <w:jc w:val="left"/>
      </w:pPr>
      <w:r>
        <w:rPr>
          <w:rFonts w:ascii="Times New Roman" w:hAnsi="Times New Roman"/>
          <w:b/>
          <w:i w:val="0"/>
          <w:color w:val="000000"/>
          <w:sz w:val="18"/>
        </w:rPr>
        <w:t xml:space="preserve">[5] </w:t>
      </w:r>
      <w:r>
        <w:rPr>
          <w:rFonts w:ascii="Times New Roman" w:hAnsi="Times New Roman"/>
          <w:b w:val="0"/>
          <w:i w:val="0"/>
          <w:color w:val="000000"/>
          <w:sz w:val="18"/>
        </w:rPr>
        <w:t>J. A. Chevalier and D. Mayzlin, "The effect of word of mouth on sales: Online book reviews," Journal of Marketing Research, vol. 43, no. 3, pp. 345–354, 2006.</w:t>
      </w:r>
    </w:p>
    <w:p>
      <w:pPr>
        <w:spacing w:before="20" w:after="30" w:line="254" w:lineRule="auto"/>
        <w:ind w:left="317" w:hanging="317"/>
        <w:jc w:val="left"/>
      </w:pPr>
      <w:r>
        <w:rPr>
          <w:rFonts w:ascii="Times New Roman" w:hAnsi="Times New Roman"/>
          <w:b/>
          <w:i w:val="0"/>
          <w:color w:val="000000"/>
          <w:sz w:val="18"/>
        </w:rPr>
        <w:t xml:space="preserve">[6] </w:t>
      </w:r>
      <w:r>
        <w:rPr>
          <w:rFonts w:ascii="Times New Roman" w:hAnsi="Times New Roman"/>
          <w:b w:val="0"/>
          <w:i w:val="0"/>
          <w:color w:val="000000"/>
          <w:sz w:val="18"/>
        </w:rPr>
        <w:t>P. K. Chintagunta, S. Gopinath, and S. Venkataraman, "The effects of online user reviews on movie box office performance: Accounting for sequential rollout and aggregation across local markets," Marketing Science, vol. 29, no. 5, pp. 944–957, 2010.</w:t>
      </w:r>
    </w:p>
    <w:p>
      <w:pPr>
        <w:spacing w:before="20" w:after="30" w:line="254" w:lineRule="auto"/>
        <w:ind w:left="317" w:hanging="317"/>
        <w:jc w:val="left"/>
      </w:pPr>
      <w:r>
        <w:rPr>
          <w:rFonts w:ascii="Times New Roman" w:hAnsi="Times New Roman"/>
          <w:b/>
          <w:i w:val="0"/>
          <w:color w:val="000000"/>
          <w:sz w:val="18"/>
        </w:rPr>
        <w:t xml:space="preserve">[7] </w:t>
      </w:r>
      <w:r>
        <w:rPr>
          <w:rFonts w:ascii="Times New Roman" w:hAnsi="Times New Roman"/>
          <w:b w:val="0"/>
          <w:i w:val="0"/>
          <w:color w:val="000000"/>
          <w:sz w:val="18"/>
        </w:rPr>
        <w:t>C. Dellarocas, "The digitization of word of mouth: Promise and challenges of online feedback mechanisms," Management Science, vol. 49, no. 10, pp. 1407–1424, 2003.</w:t>
      </w:r>
    </w:p>
    <w:p>
      <w:pPr>
        <w:spacing w:before="20" w:after="30" w:line="254" w:lineRule="auto"/>
        <w:ind w:left="317" w:hanging="317"/>
        <w:jc w:val="left"/>
      </w:pPr>
      <w:r>
        <w:rPr>
          <w:rFonts w:ascii="Times New Roman" w:hAnsi="Times New Roman"/>
          <w:b/>
          <w:i w:val="0"/>
          <w:color w:val="000000"/>
          <w:sz w:val="18"/>
        </w:rPr>
        <w:t xml:space="preserve">[8] </w:t>
      </w:r>
      <w:r>
        <w:rPr>
          <w:rFonts w:ascii="Times New Roman" w:hAnsi="Times New Roman"/>
          <w:b w:val="0"/>
          <w:i w:val="0"/>
          <w:color w:val="000000"/>
          <w:sz w:val="18"/>
        </w:rPr>
        <w:t>A. Ghose and P. G. Ipeirotis, "Estimating the helpfulness and economic impact of product reviews: Mining text and reviewer characteristics," IEEE Trans. Knowl. Data Eng., vol. 23, no. 10, pp. 1498–1512, 2011.</w:t>
      </w:r>
    </w:p>
    <w:p>
      <w:pPr>
        <w:spacing w:before="20" w:after="30" w:line="254" w:lineRule="auto"/>
        <w:ind w:left="317" w:hanging="317"/>
        <w:jc w:val="left"/>
      </w:pPr>
      <w:r>
        <w:rPr>
          <w:rFonts w:ascii="Times New Roman" w:hAnsi="Times New Roman"/>
          <w:b/>
          <w:i w:val="0"/>
          <w:color w:val="000000"/>
          <w:sz w:val="18"/>
        </w:rPr>
        <w:t xml:space="preserve">[9] </w:t>
      </w:r>
      <w:r>
        <w:rPr>
          <w:rFonts w:ascii="Times New Roman" w:hAnsi="Times New Roman"/>
          <w:b w:val="0"/>
          <w:i w:val="0"/>
          <w:color w:val="000000"/>
          <w:sz w:val="18"/>
        </w:rPr>
        <w:t>M. Luca, "Reviews, reputation, and revenue: The case of Yelp.com," Harvard Business School Working Paper 12-016, 2016.</w:t>
      </w:r>
    </w:p>
    <w:p>
      <w:pPr>
        <w:spacing w:before="20" w:after="30" w:line="254" w:lineRule="auto"/>
        <w:ind w:left="317" w:hanging="317"/>
        <w:jc w:val="left"/>
      </w:pPr>
      <w:r>
        <w:rPr>
          <w:rFonts w:ascii="Times New Roman" w:hAnsi="Times New Roman"/>
          <w:b/>
          <w:i w:val="0"/>
          <w:color w:val="000000"/>
          <w:sz w:val="18"/>
        </w:rPr>
        <w:t xml:space="preserve">[10] </w:t>
      </w:r>
      <w:r>
        <w:rPr>
          <w:rFonts w:ascii="Times New Roman" w:hAnsi="Times New Roman"/>
          <w:b w:val="0"/>
          <w:i w:val="0"/>
          <w:color w:val="000000"/>
          <w:sz w:val="18"/>
        </w:rPr>
        <w:t>S. Asur and B. A. Huberman, "Predicting the future with social media," in Proc. IEEE/WIC/ACM Int. Conf. Web Intell., 2010, pp. 492–499.</w:t>
      </w:r>
    </w:p>
    <w:p>
      <w:pPr>
        <w:spacing w:before="20" w:after="30" w:line="254" w:lineRule="auto"/>
        <w:ind w:left="317" w:hanging="317"/>
        <w:jc w:val="left"/>
      </w:pPr>
      <w:r>
        <w:rPr>
          <w:rFonts w:ascii="Times New Roman" w:hAnsi="Times New Roman"/>
          <w:b/>
          <w:i w:val="0"/>
          <w:color w:val="000000"/>
          <w:sz w:val="18"/>
        </w:rPr>
        <w:t xml:space="preserve">[11] </w:t>
      </w:r>
      <w:r>
        <w:rPr>
          <w:rFonts w:ascii="Times New Roman" w:hAnsi="Times New Roman"/>
          <w:b w:val="0"/>
          <w:i w:val="0"/>
          <w:color w:val="000000"/>
          <w:sz w:val="18"/>
        </w:rPr>
        <w:t>M. Hu and B. Liu, "Mining and summarizing customer reviews," in Proc. 10th ACM SIGKDD Int. Conf. Knowl. Discovery Data Mining, 2004, pp. 168–177.</w:t>
      </w:r>
    </w:p>
    <w:p>
      <w:pPr>
        <w:spacing w:before="20" w:after="30" w:line="254" w:lineRule="auto"/>
        <w:ind w:left="317" w:hanging="317"/>
        <w:jc w:val="left"/>
      </w:pPr>
      <w:r>
        <w:rPr>
          <w:rFonts w:ascii="Times New Roman" w:hAnsi="Times New Roman"/>
          <w:b/>
          <w:i w:val="0"/>
          <w:color w:val="000000"/>
          <w:sz w:val="18"/>
        </w:rPr>
        <w:t xml:space="preserve">[12] </w:t>
      </w:r>
      <w:r>
        <w:rPr>
          <w:rFonts w:ascii="Times New Roman" w:hAnsi="Times New Roman"/>
          <w:b w:val="0"/>
          <w:i w:val="0"/>
          <w:color w:val="000000"/>
          <w:sz w:val="18"/>
        </w:rPr>
        <w:t>B. Liu, Sentiment Analysis and Opinion Mining. San Rafael, CA, USA: Morgan &amp; Claypool, 2012.</w:t>
      </w:r>
    </w:p>
    <w:p>
      <w:pPr>
        <w:spacing w:before="20" w:after="30" w:line="254" w:lineRule="auto"/>
        <w:ind w:left="317" w:hanging="317"/>
        <w:jc w:val="left"/>
      </w:pPr>
      <w:r>
        <w:rPr>
          <w:rFonts w:ascii="Times New Roman" w:hAnsi="Times New Roman"/>
          <w:b/>
          <w:i w:val="0"/>
          <w:color w:val="000000"/>
          <w:sz w:val="18"/>
        </w:rPr>
        <w:t xml:space="preserve">[13] </w:t>
      </w:r>
      <w:r>
        <w:rPr>
          <w:rFonts w:ascii="Times New Roman" w:hAnsi="Times New Roman"/>
          <w:b w:val="0"/>
          <w:i w:val="0"/>
          <w:color w:val="000000"/>
          <w:sz w:val="18"/>
        </w:rPr>
        <w:t>R. He and J. McAuley, "Ups and downs: Modeling the visual evolution of fashion trends with one-class collaborative filtering," in Proc. 25th Int. Conf. World Wide Web (WWW), 2016, pp. 507–517.</w:t>
      </w:r>
    </w:p>
    <w:p>
      <w:pPr>
        <w:spacing w:before="20" w:after="30" w:line="254" w:lineRule="auto"/>
        <w:ind w:left="317" w:hanging="317"/>
        <w:jc w:val="left"/>
      </w:pPr>
      <w:r>
        <w:rPr>
          <w:rFonts w:ascii="Times New Roman" w:hAnsi="Times New Roman"/>
          <w:b/>
          <w:i w:val="0"/>
          <w:color w:val="000000"/>
          <w:sz w:val="18"/>
        </w:rPr>
        <w:t xml:space="preserve">[14] </w:t>
      </w:r>
      <w:r>
        <w:rPr>
          <w:rFonts w:ascii="Times New Roman" w:hAnsi="Times New Roman"/>
          <w:b w:val="0"/>
          <w:i w:val="0"/>
          <w:color w:val="000000"/>
          <w:sz w:val="18"/>
        </w:rPr>
        <w:t>Y. Hou et al., "Bridging language and items for retrieval and recommendation," arXiv preprint arXiv:2403.03952, 2024.</w:t>
      </w:r>
    </w:p>
    <w:p>
      <w:pPr>
        <w:spacing w:before="20" w:after="30" w:line="254" w:lineRule="auto"/>
        <w:ind w:left="317" w:hanging="317"/>
        <w:jc w:val="left"/>
      </w:pPr>
      <w:r>
        <w:rPr>
          <w:rFonts w:ascii="Times New Roman" w:hAnsi="Times New Roman"/>
          <w:b/>
          <w:i w:val="0"/>
          <w:color w:val="000000"/>
          <w:sz w:val="18"/>
        </w:rPr>
        <w:t xml:space="preserve">[15] </w:t>
      </w:r>
      <w:r>
        <w:rPr>
          <w:rFonts w:ascii="Times New Roman" w:hAnsi="Times New Roman"/>
          <w:b w:val="0"/>
          <w:i w:val="0"/>
          <w:color w:val="000000"/>
          <w:sz w:val="18"/>
        </w:rPr>
        <w:t>S. Narayanan, P. Samuel, and M. Chacko, "Product pre-launch prediction from resilient distributed e-WOM data," IEEE Access, vol. 8, pp. 167887–167899, 2020.</w:t>
      </w:r>
    </w:p>
    <w:p>
      <w:pPr>
        <w:spacing w:before="20" w:after="30" w:line="254" w:lineRule="auto"/>
        <w:ind w:left="317" w:hanging="317"/>
        <w:jc w:val="left"/>
      </w:pPr>
      <w:r>
        <w:rPr>
          <w:rFonts w:ascii="Times New Roman" w:hAnsi="Times New Roman"/>
          <w:b/>
          <w:i w:val="0"/>
          <w:color w:val="000000"/>
          <w:sz w:val="18"/>
        </w:rPr>
        <w:t xml:space="preserve">[16] </w:t>
      </w:r>
      <w:r>
        <w:rPr>
          <w:rFonts w:ascii="Times New Roman" w:hAnsi="Times New Roman"/>
          <w:b w:val="0"/>
          <w:i w:val="0"/>
          <w:color w:val="000000"/>
          <w:sz w:val="18"/>
        </w:rPr>
        <w:t>R. Bommasani et al., "On the opportunities and risks of foundation models," arXiv preprint arXiv:2108.07258, 2021.</w:t>
      </w:r>
    </w:p>
    <w:p>
      <w:pPr>
        <w:spacing w:before="20" w:after="30" w:line="254" w:lineRule="auto"/>
        <w:ind w:left="317" w:hanging="317"/>
        <w:jc w:val="left"/>
      </w:pPr>
      <w:r>
        <w:rPr>
          <w:rFonts w:ascii="Times New Roman" w:hAnsi="Times New Roman"/>
          <w:b/>
          <w:i w:val="0"/>
          <w:color w:val="000000"/>
          <w:sz w:val="18"/>
        </w:rPr>
        <w:t xml:space="preserve">[17] </w:t>
      </w:r>
      <w:r>
        <w:rPr>
          <w:rFonts w:ascii="Times New Roman" w:hAnsi="Times New Roman"/>
          <w:b w:val="0"/>
          <w:i w:val="0"/>
          <w:color w:val="000000"/>
          <w:sz w:val="18"/>
        </w:rPr>
        <w:t>T. Brown et al., "Language models are few-shot learners," in Advances in Neural Information Processing Systems (NeurIPS), vol. 33, 2020, pp. 1877–1901.</w:t>
      </w:r>
    </w:p>
    <w:p>
      <w:pPr>
        <w:spacing w:before="20" w:after="30" w:line="254" w:lineRule="auto"/>
        <w:ind w:left="317" w:hanging="317"/>
        <w:jc w:val="left"/>
      </w:pPr>
      <w:r>
        <w:rPr>
          <w:rFonts w:ascii="Times New Roman" w:hAnsi="Times New Roman"/>
          <w:b/>
          <w:i w:val="0"/>
          <w:color w:val="000000"/>
          <w:sz w:val="18"/>
        </w:rPr>
        <w:t xml:space="preserve">[18] </w:t>
      </w:r>
      <w:r>
        <w:rPr>
          <w:rFonts w:ascii="Times New Roman" w:hAnsi="Times New Roman"/>
          <w:b w:val="0"/>
          <w:i w:val="0"/>
          <w:color w:val="000000"/>
          <w:sz w:val="18"/>
        </w:rPr>
        <w:t>F. Gilardi, M. Alizadeh, and M. Kubli, "ChatGPT outperforms crowd workers for text-annotation tasks," Proc. Nat. Acad. Sci. (PNAS), vol. 120, no. 30, p. e2305016120, 2023.</w:t>
      </w:r>
    </w:p>
    <w:p>
      <w:pPr>
        <w:spacing w:before="20" w:after="30" w:line="254" w:lineRule="auto"/>
        <w:ind w:left="317" w:hanging="317"/>
        <w:jc w:val="left"/>
      </w:pPr>
      <w:r>
        <w:rPr>
          <w:rFonts w:ascii="Times New Roman" w:hAnsi="Times New Roman"/>
          <w:b/>
          <w:i w:val="0"/>
          <w:color w:val="000000"/>
          <w:sz w:val="18"/>
        </w:rPr>
        <w:t xml:space="preserve">[19] </w:t>
      </w:r>
      <w:r>
        <w:rPr>
          <w:rFonts w:ascii="Times New Roman" w:hAnsi="Times New Roman"/>
          <w:b w:val="0"/>
          <w:i w:val="0"/>
          <w:color w:val="000000"/>
          <w:sz w:val="18"/>
        </w:rPr>
        <w:t>OpenAI, "GPT-4 technical report," arXiv preprint arXiv:2303.08774, 2023.</w:t>
      </w:r>
    </w:p>
    <w:p>
      <w:pPr>
        <w:spacing w:before="20" w:after="30" w:line="254" w:lineRule="auto"/>
        <w:ind w:left="317" w:hanging="317"/>
        <w:jc w:val="left"/>
      </w:pPr>
      <w:r>
        <w:rPr>
          <w:rFonts w:ascii="Times New Roman" w:hAnsi="Times New Roman"/>
          <w:b/>
          <w:i w:val="0"/>
          <w:color w:val="000000"/>
          <w:sz w:val="18"/>
        </w:rPr>
        <w:t xml:space="preserve">[20] </w:t>
      </w:r>
      <w:r>
        <w:rPr>
          <w:rFonts w:ascii="Times New Roman" w:hAnsi="Times New Roman"/>
          <w:b w:val="0"/>
          <w:i w:val="0"/>
          <w:color w:val="000000"/>
          <w:sz w:val="18"/>
        </w:rPr>
        <w:t>M. Pontiki et al., "SemEval-2014 Task 4: Aspect based sentiment analysis," in Proc. 8th Int. Workshop Semantic Eval., 2014, pp. 27–35.</w:t>
      </w:r>
    </w:p>
    <w:p>
      <w:pPr>
        <w:spacing w:before="20" w:after="30" w:line="254" w:lineRule="auto"/>
        <w:ind w:left="317" w:hanging="317"/>
        <w:jc w:val="left"/>
      </w:pPr>
      <w:r>
        <w:rPr>
          <w:rFonts w:ascii="Times New Roman" w:hAnsi="Times New Roman"/>
          <w:b/>
          <w:i w:val="0"/>
          <w:color w:val="000000"/>
          <w:sz w:val="18"/>
        </w:rPr>
        <w:t xml:space="preserve">[21] </w:t>
      </w:r>
      <w:r>
        <w:rPr>
          <w:rFonts w:ascii="Times New Roman" w:hAnsi="Times New Roman"/>
          <w:b w:val="0"/>
          <w:i w:val="0"/>
          <w:color w:val="000000"/>
          <w:sz w:val="18"/>
        </w:rPr>
        <w:t>K. I. Roumeliotis et al., "LLMs for product classification in e-commerce: A zero-shot comparative study of GPT and Claude models," Natural Language Processing Journal, vol. 6, p. 100052, 2024.</w:t>
      </w:r>
    </w:p>
    <w:p>
      <w:pPr>
        <w:spacing w:before="20" w:after="30" w:line="254" w:lineRule="auto"/>
        <w:ind w:left="317" w:hanging="317"/>
        <w:jc w:val="left"/>
      </w:pPr>
      <w:r>
        <w:rPr>
          <w:rFonts w:ascii="Times New Roman" w:hAnsi="Times New Roman"/>
          <w:b/>
          <w:i w:val="0"/>
          <w:color w:val="000000"/>
          <w:sz w:val="18"/>
        </w:rPr>
        <w:t xml:space="preserve">[22] </w:t>
      </w:r>
      <w:r>
        <w:rPr>
          <w:rFonts w:ascii="Times New Roman" w:hAnsi="Times New Roman"/>
          <w:b w:val="0"/>
          <w:i w:val="0"/>
          <w:color w:val="000000"/>
          <w:sz w:val="18"/>
        </w:rPr>
        <w:t>H. Touvron et al., "LLaMA: Open and efficient foundation language models," arXiv preprint arXiv:2302.13971, 2023.</w:t>
      </w:r>
    </w:p>
    <w:p>
      <w:pPr>
        <w:spacing w:before="20" w:after="30" w:line="254" w:lineRule="auto"/>
        <w:ind w:left="317" w:hanging="317"/>
        <w:jc w:val="left"/>
      </w:pPr>
      <w:r>
        <w:rPr>
          <w:rFonts w:ascii="Times New Roman" w:hAnsi="Times New Roman"/>
          <w:b/>
          <w:i w:val="0"/>
          <w:color w:val="000000"/>
          <w:sz w:val="18"/>
        </w:rPr>
        <w:t xml:space="preserve">[23] </w:t>
      </w:r>
      <w:r>
        <w:rPr>
          <w:rFonts w:ascii="Times New Roman" w:hAnsi="Times New Roman"/>
          <w:b w:val="0"/>
          <w:i w:val="0"/>
          <w:color w:val="000000"/>
          <w:sz w:val="18"/>
        </w:rPr>
        <w:t>J. Wang, H. Gong, and X. Guo, "Multi-feature fusion graph attention network for aspect-based sentiment analysis," Knowledge-Based Systems, vol. 315, p. 114084, 2025.</w:t>
      </w:r>
    </w:p>
    <w:p>
      <w:pPr>
        <w:spacing w:before="20" w:after="30" w:line="254" w:lineRule="auto"/>
        <w:ind w:left="317" w:hanging="317"/>
        <w:jc w:val="left"/>
      </w:pPr>
      <w:r>
        <w:rPr>
          <w:rFonts w:ascii="Times New Roman" w:hAnsi="Times New Roman"/>
          <w:b/>
          <w:i w:val="0"/>
          <w:color w:val="000000"/>
          <w:sz w:val="18"/>
        </w:rPr>
        <w:t xml:space="preserve">[24] </w:t>
      </w:r>
      <w:r>
        <w:rPr>
          <w:rFonts w:ascii="Times New Roman" w:hAnsi="Times New Roman"/>
          <w:b w:val="0"/>
          <w:i w:val="0"/>
          <w:color w:val="000000"/>
          <w:sz w:val="18"/>
        </w:rPr>
        <w:t>W. Zhang et al., "A survey on aspect-based sentiment analysis: Tasks, methods, and challenges," IEEE Trans. Knowl. Data Eng., vol. 35, no. 11, pp. 11019–11038, 2023.</w:t>
      </w:r>
    </w:p>
    <w:p>
      <w:pPr>
        <w:spacing w:before="20" w:after="30" w:line="254" w:lineRule="auto"/>
        <w:ind w:left="317" w:hanging="317"/>
        <w:jc w:val="left"/>
      </w:pPr>
      <w:r>
        <w:rPr>
          <w:rFonts w:ascii="Times New Roman" w:hAnsi="Times New Roman"/>
          <w:b/>
          <w:i w:val="0"/>
          <w:color w:val="000000"/>
          <w:sz w:val="18"/>
        </w:rPr>
        <w:t xml:space="preserve">[25] </w:t>
      </w:r>
      <w:r>
        <w:rPr>
          <w:rFonts w:ascii="Times New Roman" w:hAnsi="Times New Roman"/>
          <w:b w:val="0"/>
          <w:i w:val="0"/>
          <w:color w:val="000000"/>
          <w:sz w:val="18"/>
        </w:rPr>
        <w:t>A. I. Schein, A. Popescul, L. H. Ungar, and D. M. Pennock, "Methods and metrics for cold-start recommendations," in Proc. 25th Annu. Int. ACM SIGIR Conf. Research and Development in Information Retrieval, 2002, pp. 253–260.</w:t>
      </w:r>
    </w:p>
    <w:p>
      <w:pPr>
        <w:spacing w:before="20" w:after="30" w:line="254" w:lineRule="auto"/>
        <w:ind w:left="317" w:hanging="317"/>
        <w:jc w:val="left"/>
      </w:pPr>
      <w:r>
        <w:rPr>
          <w:rFonts w:ascii="Times New Roman" w:hAnsi="Times New Roman"/>
          <w:b/>
          <w:i w:val="0"/>
          <w:color w:val="000000"/>
          <w:sz w:val="18"/>
        </w:rPr>
        <w:t xml:space="preserve">[26] </w:t>
      </w:r>
      <w:r>
        <w:rPr>
          <w:rFonts w:ascii="Times New Roman" w:hAnsi="Times New Roman"/>
          <w:b w:val="0"/>
          <w:i w:val="0"/>
          <w:color w:val="000000"/>
          <w:sz w:val="18"/>
        </w:rPr>
        <w:t>T. Chen and C. Guestrin, "XGBoost: A scalable tree boosting system," in Proc. 22nd ACM SIGKDD Int. Conf. Knowl. Discovery Data Mining, 2016, pp. 785–794.</w:t>
      </w:r>
    </w:p>
    <w:p>
      <w:pPr>
        <w:spacing w:before="20" w:after="30" w:line="254" w:lineRule="auto"/>
        <w:ind w:left="317" w:hanging="317"/>
        <w:jc w:val="left"/>
      </w:pPr>
      <w:r>
        <w:rPr>
          <w:rFonts w:ascii="Times New Roman" w:hAnsi="Times New Roman"/>
          <w:b/>
          <w:i w:val="0"/>
          <w:color w:val="000000"/>
          <w:sz w:val="18"/>
        </w:rPr>
        <w:t xml:space="preserve">[27] </w:t>
      </w:r>
      <w:r>
        <w:rPr>
          <w:rFonts w:ascii="Times New Roman" w:hAnsi="Times New Roman"/>
          <w:b w:val="0"/>
          <w:i w:val="0"/>
          <w:color w:val="000000"/>
          <w:sz w:val="18"/>
        </w:rPr>
        <w:t>J. H. Friedman, "Greedy function approximation: A gradient boosting machine," Annals of Statistics, vol. 29, no. 5, pp. 1189–1232, 2001.</w:t>
      </w:r>
    </w:p>
    <w:p>
      <w:pPr>
        <w:spacing w:before="20" w:after="30" w:line="254" w:lineRule="auto"/>
        <w:ind w:left="317" w:hanging="317"/>
        <w:jc w:val="left"/>
      </w:pPr>
      <w:r>
        <w:rPr>
          <w:rFonts w:ascii="Times New Roman" w:hAnsi="Times New Roman"/>
          <w:b/>
          <w:i w:val="0"/>
          <w:color w:val="000000"/>
          <w:sz w:val="18"/>
        </w:rPr>
        <w:t xml:space="preserve">[28] </w:t>
      </w:r>
      <w:r>
        <w:rPr>
          <w:rFonts w:ascii="Times New Roman" w:hAnsi="Times New Roman"/>
          <w:b w:val="0"/>
          <w:i w:val="0"/>
          <w:color w:val="000000"/>
          <w:sz w:val="18"/>
        </w:rPr>
        <w:t>L. Grinsztajn, E. Oyallon, and G. Varoquaux, "Why do tree-based models still outperform deep learning on typical tabular data?" in Advances in Neural Information Processing Systems (NeurIPS), vol. 35, 2022, pp. 507–520.</w:t>
      </w:r>
    </w:p>
    <w:p>
      <w:pPr>
        <w:spacing w:before="20" w:after="30" w:line="254" w:lineRule="auto"/>
        <w:ind w:left="317" w:hanging="317"/>
        <w:jc w:val="left"/>
      </w:pPr>
      <w:r>
        <w:rPr>
          <w:rFonts w:ascii="Times New Roman" w:hAnsi="Times New Roman"/>
          <w:b/>
          <w:i w:val="0"/>
          <w:color w:val="000000"/>
          <w:sz w:val="18"/>
        </w:rPr>
        <w:t xml:space="preserve">[29] </w:t>
      </w:r>
      <w:r>
        <w:rPr>
          <w:rFonts w:ascii="Times New Roman" w:hAnsi="Times New Roman"/>
          <w:b w:val="0"/>
          <w:i w:val="0"/>
          <w:color w:val="000000"/>
          <w:sz w:val="18"/>
        </w:rPr>
        <w:t>R. Shwartz-Ziv and A. Armon, "Tabular data: Deep learning is not all you need," Information Fusion, vol. 81, pp. 84–90, 2022.</w:t>
      </w:r>
    </w:p>
    <w:p>
      <w:pPr>
        <w:spacing w:before="20" w:after="30" w:line="254" w:lineRule="auto"/>
        <w:ind w:left="317" w:hanging="317"/>
        <w:jc w:val="left"/>
      </w:pPr>
      <w:r>
        <w:rPr>
          <w:rFonts w:ascii="Times New Roman" w:hAnsi="Times New Roman"/>
          <w:b/>
          <w:i w:val="0"/>
          <w:color w:val="000000"/>
          <w:sz w:val="18"/>
        </w:rPr>
        <w:t xml:space="preserve">[30] </w:t>
      </w:r>
      <w:r>
        <w:rPr>
          <w:rFonts w:ascii="Times New Roman" w:hAnsi="Times New Roman"/>
          <w:b w:val="0"/>
          <w:i w:val="0"/>
          <w:color w:val="000000"/>
          <w:sz w:val="18"/>
        </w:rPr>
        <w:t>E. Cambria, S. Poria, R. Bajpai, and B. Schuller, "SenticNet 4: A semantic resource for sentiment analysis based on conceptual primitives," in Proc. 26th Int. Conf. Computational Linguistics (COLING), 2016, pp. 2666–2677.</w:t>
      </w:r>
    </w:p>
    <w:p>
      <w:pPr>
        <w:spacing w:before="20" w:after="30" w:line="254" w:lineRule="auto"/>
        <w:ind w:left="317" w:hanging="317"/>
        <w:jc w:val="left"/>
      </w:pPr>
      <w:r>
        <w:rPr>
          <w:rFonts w:ascii="Times New Roman" w:hAnsi="Times New Roman"/>
          <w:b/>
          <w:i w:val="0"/>
          <w:color w:val="000000"/>
          <w:sz w:val="18"/>
        </w:rPr>
        <w:t xml:space="preserve">[31] </w:t>
      </w:r>
      <w:r>
        <w:rPr>
          <w:rFonts w:ascii="Times New Roman" w:hAnsi="Times New Roman"/>
          <w:b w:val="0"/>
          <w:i w:val="0"/>
          <w:color w:val="000000"/>
          <w:sz w:val="18"/>
        </w:rPr>
        <w:t>S. Poria, E. Cambria, and A. Gelbukh, "Aspect extraction for opinion mining with a deep convolutional neural network," Knowledge-Based Systems, vol. 108, pp. 42–49, 2016.</w:t>
      </w:r>
    </w:p>
    <w:p>
      <w:pPr>
        <w:spacing w:before="20" w:after="30" w:line="254" w:lineRule="auto"/>
        <w:ind w:left="317" w:hanging="317"/>
        <w:jc w:val="left"/>
      </w:pPr>
      <w:r>
        <w:rPr>
          <w:rFonts w:ascii="Times New Roman" w:hAnsi="Times New Roman"/>
          <w:b/>
          <w:i w:val="0"/>
          <w:color w:val="000000"/>
          <w:sz w:val="18"/>
        </w:rPr>
        <w:t xml:space="preserve">[32] </w:t>
      </w:r>
      <w:r>
        <w:rPr>
          <w:rFonts w:ascii="Times New Roman" w:hAnsi="Times New Roman"/>
          <w:b w:val="0"/>
          <w:i w:val="0"/>
          <w:color w:val="000000"/>
          <w:sz w:val="18"/>
        </w:rPr>
        <w:t>P. Ray and A. Chakrabarti, "A mixed-approach for sentiment analysis on online product reviews," in Proc. IEEE Int. Conf. Adv. Netw. Telecommun. Syst. (ANTS), 2017, pp. 1–6.</w:t>
      </w:r>
    </w:p>
    <w:p>
      <w:pPr>
        <w:spacing w:before="20" w:after="30" w:line="254" w:lineRule="auto"/>
        <w:ind w:left="317" w:hanging="317"/>
        <w:jc w:val="left"/>
      </w:pPr>
      <w:r>
        <w:rPr>
          <w:rFonts w:ascii="Times New Roman" w:hAnsi="Times New Roman"/>
          <w:b/>
          <w:i w:val="0"/>
          <w:color w:val="000000"/>
          <w:sz w:val="18"/>
        </w:rPr>
        <w:t xml:space="preserve">[33] </w:t>
      </w:r>
      <w:r>
        <w:rPr>
          <w:rFonts w:ascii="Times New Roman" w:hAnsi="Times New Roman"/>
          <w:b w:val="0"/>
          <w:i w:val="0"/>
          <w:color w:val="000000"/>
          <w:sz w:val="18"/>
        </w:rPr>
        <w:t>L. Zhang, S. Wang, and B. Liu, "Deep learning for sentiment analysis: A survey," WIREs Data Mining and Knowledge Discovery, vol. 8, no. 4, p. e1253, 2018.</w:t>
      </w:r>
    </w:p>
    <w:p>
      <w:pPr>
        <w:spacing w:before="20" w:after="30" w:line="254" w:lineRule="auto"/>
        <w:ind w:left="317" w:hanging="317"/>
        <w:jc w:val="left"/>
      </w:pPr>
      <w:r>
        <w:rPr>
          <w:rFonts w:ascii="Times New Roman" w:hAnsi="Times New Roman"/>
          <w:b/>
          <w:i w:val="0"/>
          <w:color w:val="000000"/>
          <w:sz w:val="18"/>
        </w:rPr>
        <w:t xml:space="preserve">[34] </w:t>
      </w:r>
      <w:r>
        <w:rPr>
          <w:rFonts w:ascii="Times New Roman" w:hAnsi="Times New Roman"/>
          <w:b w:val="0"/>
          <w:i w:val="0"/>
          <w:color w:val="000000"/>
          <w:sz w:val="18"/>
        </w:rPr>
        <w:t>M. Gupta, A. Cotter, J. Pfeifer, K. Voevodski, K. Canini, A. Mangylov, W. Moczydlowski, and A. Esbroeck, "Monotonic calibrated interpolated look-up tables," Journal of Machine Learning Research, vol. 17, no. 109, pp. 1–47, 2016.</w:t>
      </w:r>
    </w:p>
    <w:p>
      <w:pPr>
        <w:spacing w:before="20" w:after="30" w:line="254" w:lineRule="auto"/>
        <w:ind w:left="317" w:hanging="317"/>
        <w:jc w:val="left"/>
      </w:pPr>
      <w:r>
        <w:rPr>
          <w:rFonts w:ascii="Times New Roman" w:hAnsi="Times New Roman"/>
          <w:b/>
          <w:i w:val="0"/>
          <w:color w:val="000000"/>
          <w:sz w:val="18"/>
        </w:rPr>
        <w:t xml:space="preserve">[35] </w:t>
      </w:r>
      <w:r>
        <w:rPr>
          <w:rFonts w:ascii="Times New Roman" w:hAnsi="Times New Roman"/>
          <w:b w:val="0"/>
          <w:i w:val="0"/>
          <w:color w:val="000000"/>
          <w:sz w:val="18"/>
        </w:rPr>
        <w:t>C. Cortes and V. Vapnik, "Support-vector networks," Machine Learning, vol. 20, no. 3, pp. 273–297, 1995.</w:t>
      </w:r>
    </w:p>
    <w:p>
      <w:pPr>
        <w:spacing w:before="20" w:after="30" w:line="254" w:lineRule="auto"/>
        <w:ind w:left="317" w:hanging="317"/>
        <w:jc w:val="left"/>
      </w:pPr>
      <w:r>
        <w:rPr>
          <w:rFonts w:ascii="Times New Roman" w:hAnsi="Times New Roman"/>
          <w:b/>
          <w:i w:val="0"/>
          <w:color w:val="000000"/>
          <w:sz w:val="18"/>
        </w:rPr>
        <w:t xml:space="preserve">[36] </w:t>
      </w:r>
      <w:r>
        <w:rPr>
          <w:rFonts w:ascii="Times New Roman" w:hAnsi="Times New Roman"/>
          <w:b w:val="0"/>
          <w:i w:val="0"/>
          <w:color w:val="000000"/>
          <w:sz w:val="18"/>
        </w:rPr>
        <w:t>L. Breiman, "Random forests," Machine Learning, vol. 45, no. 1, pp. 5–32, 2001.</w:t>
      </w:r>
    </w:p>
    <w:p>
      <w:pPr>
        <w:spacing w:before="20" w:after="30" w:line="254" w:lineRule="auto"/>
        <w:ind w:left="317" w:hanging="317"/>
        <w:jc w:val="left"/>
      </w:pPr>
      <w:r>
        <w:rPr>
          <w:rFonts w:ascii="Times New Roman" w:hAnsi="Times New Roman"/>
          <w:b/>
          <w:i w:val="0"/>
          <w:color w:val="000000"/>
          <w:sz w:val="18"/>
        </w:rPr>
        <w:t xml:space="preserve">[37] </w:t>
      </w:r>
      <w:r>
        <w:rPr>
          <w:rFonts w:ascii="Times New Roman" w:hAnsi="Times New Roman"/>
          <w:b w:val="0"/>
          <w:i w:val="0"/>
          <w:color w:val="000000"/>
          <w:sz w:val="18"/>
        </w:rPr>
        <w:t>A. E. Hoerl and R. W. Kennard, "Ridge regression: Biased estimation for nonorthogonal problems," Technometrics, vol. 12, no. 1, pp. 55–67, 1970.</w:t>
      </w:r>
    </w:p>
    <w:p>
      <w:pPr>
        <w:spacing w:before="20" w:after="30" w:line="254" w:lineRule="auto"/>
        <w:ind w:left="317" w:hanging="317"/>
        <w:jc w:val="left"/>
      </w:pPr>
      <w:r>
        <w:rPr>
          <w:rFonts w:ascii="Times New Roman" w:hAnsi="Times New Roman"/>
          <w:b/>
          <w:i w:val="0"/>
          <w:color w:val="000000"/>
          <w:sz w:val="18"/>
        </w:rPr>
        <w:t xml:space="preserve">[38] </w:t>
      </w:r>
      <w:r>
        <w:rPr>
          <w:rFonts w:ascii="Times New Roman" w:hAnsi="Times New Roman"/>
          <w:b w:val="0"/>
          <w:i w:val="0"/>
          <w:color w:val="000000"/>
          <w:sz w:val="18"/>
        </w:rPr>
        <w:t>N. Jindal and B. Liu, "Opinion spam and analysis," in Proc. Int. Conf. Web Search Data Mining (WSDM), 2008, pp. 219–230.</w:t>
      </w:r>
    </w:p>
    <w:p>
      <w:pPr>
        <w:spacing w:before="20" w:after="30" w:line="254" w:lineRule="auto"/>
        <w:ind w:left="317" w:hanging="317"/>
        <w:jc w:val="left"/>
      </w:pPr>
      <w:r>
        <w:rPr>
          <w:rFonts w:ascii="Times New Roman" w:hAnsi="Times New Roman"/>
          <w:b/>
          <w:i w:val="0"/>
          <w:color w:val="000000"/>
          <w:sz w:val="18"/>
        </w:rPr>
        <w:t xml:space="preserve">[39] </w:t>
      </w:r>
      <w:r>
        <w:rPr>
          <w:rFonts w:ascii="Times New Roman" w:hAnsi="Times New Roman"/>
          <w:b w:val="0"/>
          <w:i w:val="0"/>
          <w:color w:val="000000"/>
          <w:sz w:val="18"/>
        </w:rPr>
        <w:t>D. Mayzlin, Y. Dover, and J. Chevalier, "Promotional reviews: An empirical investigation of online review manipulation," American Economic Review, vol. 104, no. 8, pp. 2421–2455, 2014.</w:t>
      </w:r>
    </w:p>
    <w:p>
      <w:pPr>
        <w:spacing w:before="20" w:after="30" w:line="254" w:lineRule="auto"/>
        <w:ind w:left="317" w:hanging="317"/>
        <w:jc w:val="left"/>
      </w:pPr>
      <w:r>
        <w:rPr>
          <w:rFonts w:ascii="Times New Roman" w:hAnsi="Times New Roman"/>
          <w:b/>
          <w:i w:val="0"/>
          <w:color w:val="000000"/>
          <w:sz w:val="18"/>
        </w:rPr>
        <w:t xml:space="preserve">[40] </w:t>
      </w:r>
      <w:r>
        <w:rPr>
          <w:rFonts w:ascii="Times New Roman" w:hAnsi="Times New Roman"/>
          <w:b w:val="0"/>
          <w:i w:val="0"/>
          <w:color w:val="000000"/>
          <w:sz w:val="18"/>
        </w:rPr>
        <w:t>M. Ott, Y. Choi, C. Cardie, and J. T. Hancock, "Finding deceptive opinion spam by any stretch of the imagination," in Proc. 49th Annu. Meeting Assoc. Comput. Linguistics (ACL), 2011, pp. 309–319.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