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088" w:right="1010" w:bottom="1440" w:left="1060" w:header="720" w:footer="720" w:gutter="0"/>
          <w:cols w:space="720"/>
          <w:docGrid w:linePitch="360"/>
        </w:sectPr>
      </w:pP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673100</wp:posOffset>
                </wp:positionH>
                <wp:positionV relativeFrom="page">
                  <wp:posOffset>2785110</wp:posOffset>
                </wp:positionV>
                <wp:extent cx="3086100" cy="6181090"/>
                <wp:wrapNone/>
                <wp:docPr id="1" name="Text Box 1"/>
                <wp:cNvGraphicFramePr>
                  <a:graphicFrameLocks noChangeAspect="1"/>
                </wp:cNvGraphicFramePr>
                <a:graphic>
                  <a:graphicData uri="http://schemas.microsoft.com/office/word/2010/wordprocessingShape">
                    <wps:wsp>
                      <wps:cNvSpPr txBox="1">
                        <a:spLocks noChangeArrowheads="1"/>
                      </wps:cNvSpPr>
                      <wps:spPr bwMode="auto">
                        <a:xfrm>
                          <a:off x="0" y="0"/>
                          <a:ext cx="3086100" cy="618109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400" w:lineRule="exact" w:before="0" w:after="0"/>
        <w:ind w:left="0" w:right="144" w:firstLine="0"/>
        <w:jc w:val="center"/>
      </w:pPr>
      <w:r>
        <w:rPr>
          <w:spacing w:val="0.35989478326611435"/>
          <w:rFonts w:ascii="Liberation Serif" w:hAnsi="Liberation Serif" w:eastAsia="Liberation Serif"/>
          <w:b/>
          <w:i w:val="0"/>
          <w:color w:val="000000"/>
          <w:sz w:val="31"/>
        </w:rPr>
        <w:t xml:space="preserve">Launch-Blind Product Viability </w:t>
      </w:r>
      <w:r>
        <w:rPr>
          <w:spacing w:val="-1.4793945312499903"/>
          <w:rFonts w:ascii="Liberation Serif" w:hAnsi="Liberation Serif" w:eastAsia="Liberation Serif"/>
          <w:b/>
          <w:i w:val="0"/>
          <w:color w:val="000000"/>
          <w:sz w:val="31"/>
        </w:rPr>
        <w:t xml:space="preserve">Estimation from Specifications via </w:t>
      </w:r>
      <w:r>
        <w:rPr>
          <w:spacing w:val="-1.5623972039473923"/>
          <w:rFonts w:ascii="Liberation Serif" w:hAnsi="Liberation Serif" w:eastAsia="Liberation Serif"/>
          <w:b/>
          <w:i w:val="0"/>
          <w:color w:val="000000"/>
          <w:sz w:val="31"/>
        </w:rPr>
        <w:t>LLM Aspect Bridging</w:t>
      </w:r>
    </w:p>
    <w:p>
      <w:pPr>
        <w:autoSpaceDN w:val="0"/>
        <w:autoSpaceDE w:val="0"/>
        <w:widowControl/>
        <w:spacing w:line="264" w:lineRule="exact" w:before="122" w:after="0"/>
        <w:ind w:left="144" w:right="432" w:firstLine="0"/>
        <w:jc w:val="center"/>
      </w:pPr>
      <w:r>
        <w:rPr>
          <w:spacing w:val="4.75"/>
          <w:rFonts w:ascii="Liberation Serif" w:hAnsi="Liberation Serif" w:eastAsia="Liberation Serif"/>
          <w:b/>
          <w:i w:val="0"/>
          <w:color w:val="000000"/>
          <w:sz w:val="19"/>
        </w:rPr>
        <w:t xml:space="preserve">Rajvardhan Ajitrao Jagtap, Jyotiraditya Abhijeet Shinde, Tanishq Parag Choudhari, </w:t>
      </w:r>
      <w:r>
        <w:br/>
      </w:r>
      <w:r>
        <w:rPr>
          <w:spacing w:val="1.2662836119186072"/>
          <w:rFonts w:ascii="Liberation Serif" w:hAnsi="Liberation Serif" w:eastAsia="Liberation Serif"/>
          <w:b/>
          <w:i w:val="0"/>
          <w:color w:val="000000"/>
          <w:sz w:val="19"/>
        </w:rPr>
        <w:t>Yash Ashok Mohite, Yogesh Malakari Honamore</w:t>
      </w:r>
    </w:p>
    <w:p>
      <w:pPr>
        <w:autoSpaceDN w:val="0"/>
        <w:autoSpaceDE w:val="0"/>
        <w:widowControl/>
        <w:spacing w:line="240" w:lineRule="exact" w:before="182" w:after="0"/>
        <w:ind w:left="144" w:right="432" w:firstLine="0"/>
        <w:jc w:val="center"/>
      </w:pPr>
      <w:r>
        <w:rPr>
          <w:spacing w:val="-4.5"/>
          <w:rFonts w:ascii="Times NR MT Pro" w:hAnsi="Times NR MT Pro" w:eastAsia="Times NR MT Pro"/>
          <w:b w:val="0"/>
          <w:i w:val="0"/>
          <w:color w:val="000000"/>
          <w:sz w:val="18"/>
        </w:rPr>
        <w:t xml:space="preserve">Department of Computer Science and Engineering </w:t>
      </w:r>
      <w:r>
        <w:br/>
      </w:r>
      <w:r>
        <w:rPr>
          <w:spacing w:val="-4.5"/>
          <w:rFonts w:ascii="Times NR MT Pro" w:hAnsi="Times NR MT Pro" w:eastAsia="Times NR MT Pro"/>
          <w:b w:val="0"/>
          <w:i w:val="0"/>
          <w:color w:val="000000"/>
          <w:sz w:val="18"/>
        </w:rPr>
        <w:t xml:space="preserve">Rajarambapu Institute of Technology, Rajaramnagar, Sangli, Maharashtra, India</w:t>
      </w:r>
    </w:p>
    <w:p>
      <w:pPr>
        <w:autoSpaceDN w:val="0"/>
        <w:autoSpaceDE w:val="0"/>
        <w:widowControl/>
        <w:spacing w:line="198" w:lineRule="exact" w:before="0" w:after="0"/>
        <w:ind w:left="250" w:right="0" w:firstLine="0"/>
        <w:jc w:val="left"/>
      </w:pPr>
      <w:r>
        <w:rPr>
          <w:spacing w:val="-4.5"/>
          <w:rFonts w:ascii="Times NR MT Pro" w:hAnsi="Times NR MT Pro" w:eastAsia="Times NR MT Pro"/>
          <w:b w:val="0"/>
          <w:i w:val="0"/>
          <w:color w:val="000000"/>
          <w:sz w:val="18"/>
        </w:rPr>
        <w:t xml:space="preserve">Index Terms—Product success prediction, aspect-based sentiment </w:t>
      </w:r>
    </w:p>
    <w:p>
      <w:pPr>
        <w:autoSpaceDN w:val="0"/>
        <w:autoSpaceDE w:val="0"/>
        <w:widowControl/>
        <w:spacing w:line="198" w:lineRule="exact" w:before="20" w:after="0"/>
        <w:ind w:left="250" w:right="0" w:firstLine="0"/>
        <w:jc w:val="left"/>
      </w:pPr>
      <w:r>
        <w:rPr>
          <w:spacing w:val="0.3161913610639954"/>
          <w:rFonts w:ascii="Times NR MT Pro" w:hAnsi="Times NR MT Pro" w:eastAsia="Times NR MT Pro"/>
          <w:b w:val="0"/>
          <w:i w:val="0"/>
          <w:color w:val="000000"/>
          <w:sz w:val="18"/>
        </w:rPr>
        <w:t xml:space="preserve">analysis, large language models, gradient boosting, pre-launch </w:t>
      </w:r>
    </w:p>
    <w:p>
      <w:pPr>
        <w:autoSpaceDN w:val="0"/>
        <w:tabs>
          <w:tab w:pos="1524" w:val="left"/>
          <w:tab w:pos="2820" w:val="left"/>
          <w:tab w:pos="3776" w:val="left"/>
          <w:tab w:pos="4516" w:val="left"/>
        </w:tabs>
        <w:autoSpaceDE w:val="0"/>
        <w:widowControl/>
        <w:spacing w:line="198" w:lineRule="exact" w:before="22" w:after="354"/>
        <w:ind w:left="250" w:right="0" w:firstLine="0"/>
        <w:jc w:val="left"/>
      </w:pPr>
      <w:r>
        <w:rPr>
          <w:spacing w:val="-4.5"/>
          <w:rFonts w:ascii="Times NR MT Pro" w:hAnsi="Times NR MT Pro" w:eastAsia="Times NR MT Pro"/>
          <w:b w:val="0"/>
          <w:i w:val="0"/>
          <w:color w:val="000000"/>
          <w:sz w:val="18"/>
        </w:rPr>
        <w:t xml:space="preserve">analytics, </w:t>
      </w:r>
      <w:r>
        <w:t xml:space="preserve">       </w:t>
      </w:r>
      <w:r>
        <w:rPr>
          <w:spacing w:val="-4.5"/>
          <w:rFonts w:ascii="Times NR MT Pro" w:hAnsi="Times NR MT Pro" w:eastAsia="Times NR MT Pro"/>
          <w:b w:val="0"/>
          <w:i w:val="0"/>
          <w:color w:val="000000"/>
          <w:sz w:val="18"/>
        </w:rPr>
        <w:t xml:space="preserve">electronic </w:t>
      </w:r>
      <w:r>
        <w:t xml:space="preserve">      </w:t>
      </w:r>
      <w:r>
        <w:rPr>
          <w:spacing w:val="-4.5"/>
          <w:rFonts w:ascii="Times NR MT Pro" w:hAnsi="Times NR MT Pro" w:eastAsia="Times NR MT Pro"/>
          <w:b w:val="0"/>
          <w:i w:val="0"/>
          <w:color w:val="000000"/>
          <w:sz w:val="18"/>
        </w:rPr>
        <w:t xml:space="preserve">word </w:t>
      </w:r>
      <w:r>
        <w:t xml:space="preserve">        </w:t>
      </w:r>
      <w:r>
        <w:rPr>
          <w:spacing w:val="-4.5"/>
          <w:rFonts w:ascii="Times NR MT Pro" w:hAnsi="Times NR MT Pro" w:eastAsia="Times NR MT Pro"/>
          <w:b w:val="0"/>
          <w:i w:val="0"/>
          <w:color w:val="000000"/>
          <w:sz w:val="18"/>
        </w:rPr>
        <w:t xml:space="preserve">of </w:t>
      </w:r>
      <w:r>
        <w:t xml:space="preserve">      </w:t>
      </w:r>
      <w:r>
        <w:rPr>
          <w:spacing w:val="-4.5"/>
          <w:rFonts w:ascii="Times NR MT Pro" w:hAnsi="Times NR MT Pro" w:eastAsia="Times NR MT Pro"/>
          <w:b w:val="0"/>
          <w:i w:val="0"/>
          <w:color w:val="000000"/>
          <w:sz w:val="18"/>
        </w:rPr>
        <w:t>mouth.</w:t>
      </w:r>
    </w:p>
    <w:p>
      <w:pPr>
        <w:sectPr>
          <w:type w:val="continuous"/>
          <w:pgSz w:w="12240" w:h="15840"/>
          <w:pgMar w:top="1088" w:right="1010" w:bottom="1440" w:left="1060" w:header="720" w:footer="720" w:gutter="0"/>
          <w:cols w:num="2" w:equalWidth="0">
            <w:col w:w="5082" w:space="0"/>
            <w:col w:w="5088" w:space="0"/>
          </w:cols>
          <w:docGrid w:linePitch="360"/>
        </w:sectPr>
      </w:pPr>
    </w:p>
    <w:p>
      <w:pPr>
        <w:autoSpaceDN w:val="0"/>
        <w:autoSpaceDE w:val="0"/>
        <w:widowControl/>
        <w:spacing w:line="182" w:lineRule="exact" w:before="34" w:after="0"/>
        <w:ind w:left="0" w:right="5184" w:firstLine="0"/>
        <w:jc w:val="left"/>
      </w:pPr>
      <w:r>
        <w:rPr>
          <w:spacing w:val="3.75"/>
          <w:rFonts w:ascii="Times New Roman" w:hAnsi="Times New Roman" w:eastAsia="Times New Roman"/>
          <w:b w:val="0"/>
          <w:i w:val="0"/>
          <w:color w:val="000000"/>
          <w:sz w:val="15"/>
        </w:rPr>
        <w:t xml:space="preserve">Abstract—A product team commits its manufacturing budget long before consumer feedback exists, yet conventional e-commerce predictive methods require post-launch reviews, star ratings, or sales velocity. We formulate pre-launch product viability estimation as a launch-blind task using launch-available technical specifications, category, price, and brand tier. LaunchSight extracts aspect-level sentiment from 43,599 historical reviews across 640 initially collected physical products (631 retained after automated review-fraud filtering), then uses a skeptic-prompted bridging layer and a monotonic-constrained XGBoost regressor. On the retrained holdout, 118 products were successfully evaluated after the held-out set was removed before retraining; Spearman ρ = 0.529 (95% CI [0.377, 0.654], p &lt; 10⁻⁹) and AUC = 0.903. The extended temporal evaluation uses an 80/20 launch-date split and covers 126 test products, with 125 successfully evaluated, giving ρ = 0.590 (95% CI [0.464, 0.692]) and AUC = 0.942, although mean within-category ρ is only about 0.16. The first-generation frozen holdout (n = 59, ρ = 0.317) was drawn from an earlier six-category collection and does not carry over to the final corpus (n = 41, ρ = 0.280, p = 0.076). Price is withheld from the LLM and handled downstream through deterministic value-for-money plus a monotone price feature; within-category price percentile alone correlates with success at only ρ = 0.147. The method is bounded by category specification expressiveness: ice makers show bridging fidelity r ≈ 0.04. The system reports reliability-weighted confidence, measured trust tiers, and uncalibrated runtime abstention.</w:t>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w:r>
    </w:p>
    <w:p>
      <w:pPr>
        <w:sectPr>
          <w:type w:val="continuous"/>
          <w:pgSz w:w="12240" w:h="15840"/>
          <w:pgMar w:top="1088" w:right="1010" w:bottom="1440" w:left="1060" w:header="720" w:footer="720" w:gutter="0"/>
          <w:cols w:num="1" w:equalWidth="0">
            <w:col w:w="10170" w:space="0"/>
          </w:cols>
          <w:docGrid w:linePitch="360"/>
        </w:sectPr>
      </w:pPr>
    </w:p>
    <w:p>
      <w:pPr>
        <w:autoSpaceDN w:val="0"/>
        <w:autoSpaceDE w:val="0"/>
        <w:widowControl/>
        <w:spacing w:line="220" w:lineRule="exact" w:before="0" w:after="0"/>
        <w:ind w:left="4150" w:right="0" w:firstLine="0"/>
        <w:jc w:val="left"/>
      </w:pPr>
      <w:r>
        <w:rPr>
          <w:spacing w:val="1.5314453125000114"/>
          <w:rFonts w:ascii="Liberation Serif" w:hAnsi="Liberation Serif" w:eastAsia="Liberation Serif"/>
          <w:b/>
          <w:i w:val="0"/>
          <w:color w:val="000000"/>
          <w:sz w:val="19"/>
        </w:rPr>
        <w:t>I. INTRODUCTION</w:t>
      </w: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3500120</wp:posOffset>
                </wp:positionV>
                <wp:extent cx="6431280" cy="2713990"/>
                <wp:wrapNone/>
                <wp:docPr id="3" name="Text Box 3"/>
                <wp:cNvGraphicFramePr>
                  <a:graphicFrameLocks noChangeAspect="1"/>
                </wp:cNvGraphicFramePr>
                <a:graphic>
                  <a:graphicData uri="http://schemas.microsoft.com/office/word/2010/wordprocessingShape">
                    <wps:wsp>
                      <wps:cNvSpPr txBox="1">
                        <a:spLocks noChangeArrowheads="1"/>
                      </wps:cNvSpPr>
                      <wps:spPr bwMode="auto">
                        <a:xfrm>
                          <a:off x="0" y="0"/>
                          <a:ext cx="6431280" cy="271399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30" w:lineRule="exact" w:before="84" w:after="0"/>
        <w:ind w:left="0" w:right="20" w:firstLine="0"/>
        <w:jc w:val="both"/>
      </w:pPr>
      <w:r>
        <w:rPr>
          <w:spacing w:val="2.6459208507537912"/>
          <w:rFonts w:ascii="Times NR MT Pro" w:hAnsi="Times NR MT Pro" w:eastAsia="Times NR MT Pro"/>
          <w:b w:val="0"/>
          <w:i w:val="0"/>
          <w:color w:val="000000"/>
          <w:sz w:val="18"/>
        </w:rPr>
        <w:t xml:space="preserve">Large companies get to evaluate a prospective product with a market-research department, paid consumer panels, and analytics </w:t>
      </w:r>
      <w:r>
        <w:rPr>
          <w:spacing w:val="2.090781950391829"/>
          <w:rFonts w:ascii="Times NR MT Pro" w:hAnsi="Times NR MT Pro" w:eastAsia="Times NR MT Pro"/>
          <w:b w:val="0"/>
          <w:i w:val="0"/>
          <w:color w:val="000000"/>
          <w:sz w:val="18"/>
        </w:rPr>
        <w:t xml:space="preserve">bought at a price a small firm cannot match. A small business or an independent maker has none of it. The call to manufacture a </w:t>
      </w:r>
      <w:r>
        <w:rPr>
          <w:spacing w:val="0.3096934043444085"/>
          <w:rFonts w:ascii="Times NR MT Pro" w:hAnsi="Times NR MT Pro" w:eastAsia="Times NR MT Pro"/>
          <w:b w:val="0"/>
          <w:i w:val="0"/>
          <w:color w:val="000000"/>
          <w:sz w:val="18"/>
        </w:rPr>
        <w:t xml:space="preserve">wireless headphone or a countertop appliance usually comes down to intuition, a look at the competition, and hope. Being wrong is </w:t>
      </w:r>
      <w:r>
        <w:rPr>
          <w:spacing w:val="1.4696978800224536"/>
          <w:rFonts w:ascii="Times NR MT Pro" w:hAnsi="Times NR MT Pro" w:eastAsia="Times NR MT Pro"/>
          <w:b w:val="0"/>
          <w:i w:val="0"/>
          <w:color w:val="000000"/>
          <w:sz w:val="18"/>
        </w:rPr>
        <w:t xml:space="preserve">not an abstraction: a single unsold inventory run can finish a small firm. Consumers absorb part of the cost too, paying for things </w:t>
      </w:r>
      <w:r>
        <w:rPr>
          <w:spacing w:val="4.5"/>
          <w:rFonts w:ascii="Times NR MT Pro" w:hAnsi="Times NR MT Pro" w:eastAsia="Times NR MT Pro"/>
          <w:b w:val="0"/>
          <w:i w:val="0"/>
          <w:color w:val="000000"/>
          <w:sz w:val="18"/>
        </w:rPr>
        <w:t xml:space="preserve">that break, underwhelm, or were never really built for what they needed. This paper is an attempt to close some of that gap. We </w:t>
      </w:r>
      <w:r>
        <w:rPr>
          <w:spacing w:val="2.2170322695746947"/>
          <w:rFonts w:ascii="Times NR MT Pro" w:hAnsi="Times NR MT Pro" w:eastAsia="Times NR MT Pro"/>
          <w:b w:val="0"/>
          <w:i w:val="0"/>
          <w:color w:val="000000"/>
          <w:sz w:val="18"/>
        </w:rPr>
        <w:t xml:space="preserve">wanted to hand a business with no expensive market-intelligence stack an affordable, evidence-based read on whether a design is </w:t>
      </w:r>
      <w:r>
        <w:rPr>
          <w:spacing w:val="-0.14885421654650968"/>
          <w:rFonts w:ascii="Times NR MT Pro" w:hAnsi="Times NR MT Pro" w:eastAsia="Times NR MT Pro"/>
          <w:b w:val="0"/>
          <w:i w:val="0"/>
          <w:color w:val="000000"/>
          <w:sz w:val="18"/>
        </w:rPr>
        <w:t>likely to satisfy its market before the money is spent building it, so that more of what gets made is worth what people pay for it.</w:t>
      </w:r>
    </w:p>
    <w:p>
      <w:pPr>
        <w:autoSpaceDN w:val="0"/>
        <w:autoSpaceDE w:val="0"/>
        <w:widowControl/>
        <w:spacing w:line="228" w:lineRule="exact" w:before="42" w:after="0"/>
        <w:ind w:left="0" w:right="22" w:firstLine="0"/>
        <w:jc w:val="both"/>
      </w:pPr>
      <w:r>
        <w:rPr>
          <w:spacing w:val="2.3962213523744564"/>
          <w:rFonts w:ascii="Times NR MT Pro" w:hAnsi="Times NR MT Pro" w:eastAsia="Times NR MT Pro"/>
          <w:b w:val="0"/>
          <w:i w:val="0"/>
          <w:color w:val="000000"/>
          <w:sz w:val="18"/>
        </w:rPr>
        <w:t xml:space="preserve">The obstacle is structural, not incidental. Decades of research connect online reviews and electronic word of mouth (e-WOM) to </w:t>
      </w:r>
      <w:r>
        <w:rPr>
          <w:spacing w:val="2.295909714969718"/>
          <w:rFonts w:ascii="Times NR MT Pro" w:hAnsi="Times NR MT Pro" w:eastAsia="Times NR MT Pro"/>
          <w:b w:val="0"/>
          <w:i w:val="0"/>
          <w:color w:val="000000"/>
          <w:sz w:val="18"/>
        </w:rPr>
        <w:t xml:space="preserve">sales and market outcomes [1–4], and today's sentiment pipelines extract strikingly fine-grained signal from review text [5–7]. All </w:t>
      </w:r>
      <w:r>
        <w:rPr>
          <w:spacing w:val="4.5"/>
          <w:rFonts w:ascii="Times NR MT Pro" w:hAnsi="Times NR MT Pro" w:eastAsia="Times NR MT Pro"/>
          <w:b w:val="0"/>
          <w:i w:val="0"/>
          <w:color w:val="000000"/>
          <w:sz w:val="18"/>
        </w:rPr>
        <w:t xml:space="preserve">of it feeds on post-launch data. Yet at the one moment the decision actually matters, before anything is produced, there are no </w:t>
      </w:r>
      <w:r>
        <w:rPr>
          <w:spacing w:val="-0.04488103314646808"/>
          <w:rFonts w:ascii="Times NR MT Pro" w:hAnsi="Times NR MT Pro" w:eastAsia="Times NR MT Pro"/>
          <w:b w:val="0"/>
          <w:i w:val="0"/>
          <w:color w:val="000000"/>
          <w:sz w:val="18"/>
        </w:rPr>
        <w:t>reviews, no ratings, and no sales to feed on. What exists is the specification and whatever the category has already taught us.</w:t>
      </w:r>
    </w:p>
    <w:p>
      <w:pPr>
        <w:autoSpaceDN w:val="0"/>
        <w:autoSpaceDE w:val="0"/>
        <w:widowControl/>
        <w:spacing w:line="230" w:lineRule="exact" w:before="40" w:after="0"/>
        <w:ind w:left="0" w:right="20" w:firstLine="0"/>
        <w:jc w:val="both"/>
      </w:pPr>
      <w:r>
        <w:rPr>
          <w:spacing w:val="1.404807160991107"/>
          <w:rFonts w:ascii="Times NR MT Pro" w:hAnsi="Times NR MT Pro" w:eastAsia="Times NR MT Pro"/>
          <w:b w:val="0"/>
          <w:i w:val="0"/>
          <w:color w:val="000000"/>
          <w:sz w:val="18"/>
        </w:rPr>
        <w:t xml:space="preserve">Our question is whether that is enough to work with. The idea we build on is aspect bridging. From more than 43,000 real reviews </w:t>
      </w:r>
      <w:r>
        <w:rPr>
          <w:spacing w:val="1.1708964287345056"/>
          <w:rFonts w:ascii="Times NR MT Pro" w:hAnsi="Times NR MT Pro" w:eastAsia="Times NR MT Pro"/>
          <w:b w:val="0"/>
          <w:i w:val="0"/>
          <w:color w:val="000000"/>
          <w:sz w:val="18"/>
        </w:rPr>
        <w:t xml:space="preserve">we first learn how consumers in a given category rate products along interpretable quality aspects (build quality, ease of use, value </w:t>
      </w:r>
      <w:r>
        <w:rPr>
          <w:spacing w:val="1.4422735924070498"/>
          <w:rFonts w:ascii="Times NR MT Pro" w:hAnsi="Times NR MT Pro" w:eastAsia="Times NR MT Pro"/>
          <w:b w:val="0"/>
          <w:i w:val="0"/>
          <w:color w:val="000000"/>
          <w:sz w:val="18"/>
        </w:rPr>
        <w:t xml:space="preserve">for money, and the rest), and how those profiles line up with eventual success. We then put a large language model in the seat of a </w:t>
      </w:r>
      <w:r>
        <w:rPr>
          <w:spacing w:val="1.4354895684952094"/>
          <w:rFonts w:ascii="Times NR MT Pro" w:hAnsi="Times NR MT Pro" w:eastAsia="Times NR MT Pro"/>
          <w:b w:val="0"/>
          <w:i w:val="0"/>
          <w:color w:val="000000"/>
          <w:sz w:val="18"/>
        </w:rPr>
        <w:t xml:space="preserve">skeptical market analyst, ground it in per-category statistics, and have it estimate the aspect profile an unseen product would earn </w:t>
      </w:r>
      <w:r>
        <w:rPr>
          <w:spacing w:val="1.139851579915225"/>
          <w:rFonts w:ascii="Times NR MT Pro" w:hAnsi="Times NR MT Pro" w:eastAsia="Times NR MT Pro"/>
          <w:b w:val="0"/>
          <w:i w:val="0"/>
          <w:color w:val="000000"/>
          <w:sz w:val="18"/>
        </w:rPr>
        <w:t xml:space="preserve">from its specification alone. That estimate feeds the trained success model, which returns a launch-blind viability figure along with </w:t>
      </w:r>
      <w:r>
        <w:rPr>
          <w:spacing w:val="-0.10166584542303375"/>
          <w:rFonts w:ascii="Times NR MT Pro" w:hAnsi="Times NR MT Pro" w:eastAsia="Times NR MT Pro"/>
          <w:b w:val="0"/>
          <w:i w:val="0"/>
          <w:color w:val="000000"/>
          <w:sz w:val="18"/>
        </w:rPr>
        <w:t>per-aspect explanations, trust tiers we have actually measured, and a flat refusal to answer when the specification says too little.</w:t>
      </w:r>
    </w:p>
    <w:p>
      <w:pPr>
        <w:autoSpaceDN w:val="0"/>
        <w:autoSpaceDE w:val="0"/>
        <w:widowControl/>
        <w:spacing w:line="218" w:lineRule="exact" w:before="42" w:after="0"/>
        <w:ind w:left="0" w:right="144" w:firstLine="0"/>
        <w:jc w:val="left"/>
      </w:pPr>
      <w:r>
        <w:rPr>
          <w:spacing w:val="3.5"/>
          <w:rFonts w:ascii="Times New Roman" w:hAnsi="Times New Roman" w:eastAsia="Times New Roman"/>
          <w:b w:val="0"/>
          <w:i w:val="0"/>
          <w:color w:val="000000"/>
          <w:sz w:val="14"/>
        </w:rPr>
        <w:t xml:space="preserve">A tool that informs real money has to be validated like one, so our main contribution is methodological. The evaluation is launch-blind: each real product is re-judged from what was knowable on the day it launched, and the prediction is checked against the later outcome. We run two out-of-sample tests. </w:t>
      </w:r>
      <w:r>
        <w:rPr>
          <w:rFonts w:ascii="Times New Roman" w:hAnsi="Times New Roman" w:eastAsia="Times New Roman"/>
          <w:b w:val="0"/>
          <w:i w:val="0"/>
          <w:color w:val="000000"/>
          <w:sz w:val="14"/>
        </w:rPr>
        <w:t/>
      </w:r>
    </w:p>
    <w:p>
      <w:pPr>
        <w:autoSpaceDN w:val="0"/>
        <w:autoSpaceDE w:val="0"/>
        <w:widowControl/>
        <w:spacing w:line="210" w:lineRule="exact" w:before="0" w:after="0"/>
        <w:ind w:left="0" w:right="0" w:firstLine="0"/>
        <w:jc w:val="left"/>
      </w:pPr>
      <w:r>
        <w:rPr>
          <w:spacing w:val="3.5"/>
          <w:rFonts w:ascii="Times New Roman" w:hAnsi="Times New Roman" w:eastAsia="Times New Roman"/>
          <w:b w:val="0"/>
          <w:i w:val="0"/>
          <w:color w:val="000000"/>
          <w:sz w:val="14"/>
        </w:rPr>
        <w:t xml:space="preserve">C1. A null-forcing aspect-extraction scheme over 43,599 reviews: the LLM may score an aspect only when the review gives verbatim evidence for it, never by inference, backed by typed validation and a crash-safe multi-provider pipeline.</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08" w:lineRule="exact" w:before="0" w:after="0"/>
        <w:ind w:left="0" w:right="144" w:firstLine="0"/>
        <w:jc w:val="left"/>
      </w:pPr>
      <w:r>
        <w:rPr>
          <w:spacing w:val="3.5"/>
          <w:rFonts w:ascii="Times New Roman" w:hAnsi="Times New Roman" w:eastAsia="Times New Roman"/>
          <w:b w:val="0"/>
          <w:i w:val="0"/>
          <w:color w:val="000000"/>
          <w:sz w:val="14"/>
        </w:rPr>
        <w:t xml:space="preserve">C2. The bridging layer, a skeptic-prompted and category-grounded LLM estimator that maps launch-available product specifications into projected aspect profiles, with absence penalties, grounding flags, and anchor discipline.</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40" w:lineRule="auto" w:before="0" w:after="0"/>
        <w:ind w:left="0" w:right="0" w:firstLine="0"/>
        <w:jc w:val="left"/>
      </w:pPr>
      <w:r>
        <w:rPr>
          <w:spacing w:val="3.5"/>
          <w:rFonts w:ascii="Times New Roman" w:hAnsi="Times New Roman" w:eastAsia="Times New Roman"/>
          <w:b w:val="0"/>
          <w:i w:val="0"/>
          <w:color w:val="000000"/>
          <w:sz w:val="14"/>
        </w:rPr>
        <w:t xml:space="preserve">C3. Three out-of-sample evaluations—a predefined frozen holdout (n = 59, ρ = 0.317, p = 0.014, AUC = 0.743; first-generation, earlier six-category data), a retrained holdout (n = 118 successfully evaluated, ρ = 0.529, p &lt; 10⁻⁹, AUC = 0.903), and an extended forward-in-time evaluation on an 80/20 launch-date split (n = 125 successfully evaluated of 126 test products, ρ = 0.590, AUC = 0.942, mean within-category ρ ≈ 0.16).</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08" w:lineRule="exact" w:before="0" w:after="0"/>
        <w:ind w:left="0" w:right="576" w:firstLine="0"/>
        <w:jc w:val="left"/>
      </w:pPr>
      <w:r>
        <w:rPr>
          <w:spacing w:val="3.5"/>
          <w:rFonts w:ascii="Times New Roman" w:hAnsi="Times New Roman" w:eastAsia="Times New Roman"/>
          <w:b w:val="0"/>
          <w:i w:val="0"/>
          <w:color w:val="000000"/>
          <w:sz w:val="14"/>
        </w:rPr>
        <w:t xml:space="preserve">C4. An empirical evaluation of scope—which aspects a specification can predict and which it cannot—together with a diagnosed boundary condition: predictive validity tracks how well a category's specifications encode experiential quality.</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10" w:lineRule="exact" w:before="0" w:after="0"/>
        <w:ind w:left="0" w:right="1008" w:firstLine="0"/>
        <w:jc w:val="left"/>
      </w:pPr>
      <w:r>
        <w:rPr>
          <w:spacing w:val="3.5"/>
          <w:rFonts w:ascii="Times New Roman" w:hAnsi="Times New Roman" w:eastAsia="Times New Roman"/>
          <w:b w:val="0"/>
          <w:i w:val="0"/>
          <w:color w:val="000000"/>
          <w:sz w:val="14"/>
        </w:rPr>
        <w:t xml:space="preserve">C5. An interpretability and governance layer—reliability-weighted confidence heuristics, empirical aspect trust tiers, and uncalibrated runtime abstention—integrated into a decision-support application that presents its measured limitations directly to the user.</w:t>
      </w:r>
    </w:p>
    <w:p>
      <w:pPr>
        <w:autoSpaceDN w:val="0"/>
        <w:autoSpaceDE w:val="0"/>
        <w:widowControl/>
        <w:spacing w:line="222" w:lineRule="exact" w:before="530" w:after="0"/>
        <w:ind w:left="4076" w:right="0" w:firstLine="0"/>
        <w:jc w:val="left"/>
      </w:pPr>
      <w:r>
        <w:rPr>
          <w:spacing w:val="2.4744567871093714"/>
          <w:rFonts w:ascii="Liberation Serif" w:hAnsi="Liberation Serif" w:eastAsia="Liberation Serif"/>
          <w:b/>
          <w:i w:val="0"/>
          <w:color w:val="000000"/>
          <w:sz w:val="19"/>
        </w:rPr>
        <w:t>II. RELATED WORK</w:t>
      </w:r>
    </w:p>
    <w:p>
      <w:pPr>
        <w:autoSpaceDN w:val="0"/>
        <w:autoSpaceDE w:val="0"/>
        <w:widowControl/>
        <w:spacing w:line="210" w:lineRule="exact" w:before="142" w:after="0"/>
        <w:ind w:left="0" w:right="0" w:firstLine="0"/>
        <w:jc w:val="left"/>
      </w:pPr>
      <w:r>
        <w:rPr>
          <w:spacing w:val="-4.5"/>
          <w:rFonts w:ascii="Liberation Serif" w:hAnsi="Liberation Serif" w:eastAsia="Liberation Serif"/>
          <w:b/>
          <w:i/>
          <w:color w:val="000000"/>
          <w:sz w:val="18"/>
        </w:rPr>
        <w:t>A. Reviews, e-WOM, and Market Outcomes</w:t>
      </w:r>
    </w:p>
    <w:p>
      <w:pPr>
        <w:autoSpaceDN w:val="0"/>
        <w:autoSpaceDE w:val="0"/>
        <w:widowControl/>
        <w:spacing w:line="230" w:lineRule="exact" w:before="40" w:after="0"/>
        <w:ind w:left="0" w:right="0" w:firstLine="0"/>
        <w:jc w:val="left"/>
      </w:pPr>
      <w:r>
        <w:rPr>
          <w:spacing w:val="2.283969247151935"/>
          <w:rFonts w:ascii="Times NR MT Pro" w:hAnsi="Times NR MT Pro" w:eastAsia="Times NR MT Pro"/>
          <w:b w:val="0"/>
          <w:i w:val="0"/>
          <w:color w:val="000000"/>
          <w:sz w:val="18"/>
        </w:rPr>
        <w:t xml:space="preserve">That online opinion moves markets is not in dispute. Chevalier and Mayzlin showed review valence shifting book sales from one </w:t>
      </w:r>
      <w:r>
        <w:rPr>
          <w:spacing w:val="0.8310456142496674"/>
          <w:rFonts w:ascii="Times NR MT Pro" w:hAnsi="Times NR MT Pro" w:eastAsia="Times NR MT Pro"/>
          <w:b w:val="0"/>
          <w:i w:val="0"/>
          <w:color w:val="000000"/>
          <w:sz w:val="18"/>
        </w:rPr>
        <w:t xml:space="preserve">retailer to another [1]; Dellarocas cast digitized word of mouth as a new kind of economic feedback [3]; Chintagunta et al. tied user </w:t>
      </w:r>
      <w:r>
        <w:rPr>
          <w:spacing w:val="1.245224638661335"/>
          <w:rFonts w:ascii="Times NR MT Pro" w:hAnsi="Times NR MT Pro" w:eastAsia="Times NR MT Pro"/>
          <w:b w:val="0"/>
          <w:i w:val="0"/>
          <w:color w:val="000000"/>
          <w:sz w:val="18"/>
        </w:rPr>
        <w:t xml:space="preserve">reviews to box-office trajectories [2]; and Luca put a revenue figure on Yelp ratings [4]. Nearer to our own feature level, Archak et </w:t>
      </w:r>
      <w:r>
        <w:rPr>
          <w:spacing w:val="0.1333832784610636"/>
          <w:rFonts w:ascii="Times NR MT Pro" w:hAnsi="Times NR MT Pro" w:eastAsia="Times NR MT Pro"/>
          <w:b w:val="0"/>
          <w:i w:val="0"/>
          <w:color w:val="000000"/>
          <w:sz w:val="18"/>
        </w:rPr>
        <w:t xml:space="preserve">al. found that aspect-level content carries pricing power the star rating alone does not [8], Ghose and Ipeirotis connected review-text </w:t>
      </w:r>
      <w:r>
        <w:rPr>
          <w:spacing w:val="1.1646161455374533"/>
          <w:rFonts w:ascii="Times NR MT Pro" w:hAnsi="Times NR MT Pro" w:eastAsia="Times NR MT Pro"/>
          <w:b w:val="0"/>
          <w:i w:val="0"/>
          <w:color w:val="000000"/>
          <w:sz w:val="18"/>
        </w:rPr>
        <w:t>characteristics to economic impact [10], and Mudambi and Schuff asked what makes a review helpful in the first place [11]. Social-</w:t>
      </w:r>
      <w:r>
        <w:rPr>
          <w:spacing w:val="2.1138469246717566"/>
          <w:rFonts w:ascii="Times NR MT Pro" w:hAnsi="Times NR MT Pro" w:eastAsia="Times NR MT Pro"/>
          <w:b w:val="0"/>
          <w:i w:val="0"/>
          <w:color w:val="000000"/>
          <w:sz w:val="18"/>
        </w:rPr>
        <w:t xml:space="preserve">media signals have been read the same way to forecast outcomes [9]. Every one of these works after the fact. The nearest thing to </w:t>
      </w:r>
      <w:r>
        <w:rPr>
          <w:spacing w:val="0.7613645954565602"/>
          <w:rFonts w:ascii="Times NR MT Pro" w:hAnsi="Times NR MT Pro" w:eastAsia="Times NR MT Pro"/>
          <w:b w:val="0"/>
          <w:i w:val="0"/>
          <w:color w:val="000000"/>
          <w:sz w:val="18"/>
        </w:rPr>
        <w:t xml:space="preserve">our goal is Narayanan et al., who predict reception from pre-release chatter about an announced product [12]; our setting is harder </w:t>
      </w:r>
      <w:r>
        <w:rPr>
          <w:spacing w:val="0.4217249653462745"/>
          <w:rFonts w:ascii="Times NR MT Pro" w:hAnsi="Times NR MT Pro" w:eastAsia="Times NR MT Pro"/>
          <w:b w:val="0"/>
          <w:i w:val="0"/>
          <w:color w:val="000000"/>
          <w:sz w:val="18"/>
        </w:rPr>
        <w:t>still, since we assume no product-specific chatter exists at all, only the specification and the category's history.</w:t>
      </w:r>
    </w:p>
    <w:p>
      <w:pPr>
        <w:autoSpaceDN w:val="0"/>
        <w:autoSpaceDE w:val="0"/>
        <w:widowControl/>
        <w:spacing w:line="230" w:lineRule="exact" w:before="38" w:after="0"/>
        <w:ind w:left="0" w:right="20" w:firstLine="0"/>
        <w:jc w:val="both"/>
      </w:pPr>
      <w:r>
        <w:rPr>
          <w:spacing w:val="4.5"/>
          <w:rFonts w:ascii="Times NR MT Pro" w:hAnsi="Times NR MT Pro" w:eastAsia="Times NR MT Pro"/>
          <w:b w:val="0"/>
          <w:i w:val="0"/>
          <w:color w:val="000000"/>
          <w:sz w:val="18"/>
        </w:rPr>
        <w:t xml:space="preserve">Review streams are also adversarial. Opinion spam goes back to Jindal and Liu [13], convincing fake reviews can be written to </w:t>
      </w:r>
      <w:r>
        <w:rPr>
          <w:spacing w:val="0.40101530068163216"/>
          <w:rFonts w:ascii="Times NR MT Pro" w:hAnsi="Times NR MT Pro" w:eastAsia="Times NR MT Pro"/>
          <w:b w:val="0"/>
          <w:i w:val="0"/>
          <w:color w:val="000000"/>
          <w:sz w:val="18"/>
        </w:rPr>
        <w:t xml:space="preserve">order [15], and the incentive to manipulate them is plain [14]. The corpus-level fraud filter in the Data section is our response to this </w:t>
      </w:r>
      <w:r>
        <w:rPr>
          <w:spacing w:val="0.5169243445763309"/>
          <w:rFonts w:ascii="Times NR MT Pro" w:hAnsi="Times NR MT Pro" w:eastAsia="Times NR MT Pro"/>
          <w:b w:val="0"/>
          <w:i w:val="0"/>
          <w:color w:val="000000"/>
          <w:sz w:val="18"/>
        </w:rPr>
        <w:t>line of work.</w:t>
      </w:r>
    </w:p>
    <w:p>
      <w:pPr>
        <w:autoSpaceDN w:val="0"/>
        <w:autoSpaceDE w:val="0"/>
        <w:widowControl/>
        <w:spacing w:line="208" w:lineRule="exact" w:before="120" w:after="0"/>
        <w:ind w:left="0" w:right="0" w:firstLine="0"/>
        <w:jc w:val="left"/>
      </w:pPr>
      <w:r>
        <w:rPr>
          <w:spacing w:val="-4.5"/>
          <w:rFonts w:ascii="Liberation Serif" w:hAnsi="Liberation Serif" w:eastAsia="Liberation Serif"/>
          <w:b/>
          <w:i/>
          <w:color w:val="000000"/>
          <w:sz w:val="18"/>
        </w:rPr>
        <w:t>B. Aspect-Based Sentiment Analysis</w:t>
      </w:r>
    </w:p>
    <w:p>
      <w:pPr>
        <w:autoSpaceDN w:val="0"/>
        <w:autoSpaceDE w:val="0"/>
        <w:widowControl/>
        <w:spacing w:line="230" w:lineRule="exact" w:before="44" w:after="0"/>
        <w:ind w:left="0" w:right="26" w:firstLine="0"/>
        <w:jc w:val="both"/>
      </w:pPr>
      <w:r>
        <w:rPr>
          <w:spacing w:val="4.5"/>
          <w:rFonts w:ascii="Times NR MT Pro" w:hAnsi="Times NR MT Pro" w:eastAsia="Times NR MT Pro"/>
          <w:b w:val="0"/>
          <w:i w:val="0"/>
          <w:color w:val="000000"/>
          <w:sz w:val="18"/>
        </w:rPr>
        <w:t xml:space="preserve">Aspect-based sentiment analysis (ABSA) started with frequency- and lexicon-based aspect mining [16, 18], was given a common benchmark by SemEval-2014 [19], and has since been carried mostly by neural methods, surveyed in [7]. The machinery keeps </w:t>
      </w:r>
      <w:r>
        <w:rPr>
          <w:spacing w:val="0.700000881238755"/>
          <w:rFonts w:ascii="Times NR MT Pro" w:hAnsi="Times NR MT Pro" w:eastAsia="Times NR MT Pro"/>
          <w:b w:val="0"/>
          <w:i w:val="0"/>
          <w:color w:val="000000"/>
          <w:sz w:val="18"/>
        </w:rPr>
        <w:t xml:space="preserve">improving—multi-feature fusion graph attention networks [6], curriculum-learning hybrids [17], transformer pipelines for bilingual </w:t>
      </w:r>
      <w:r>
        <w:rPr>
          <w:spacing w:val="2.1378301363582723"/>
          <w:rFonts w:ascii="Times NR MT Pro" w:hAnsi="Times NR MT Pro" w:eastAsia="Times NR MT Pro"/>
          <w:b w:val="0"/>
          <w:i w:val="0"/>
          <w:color w:val="000000"/>
          <w:sz w:val="18"/>
        </w:rPr>
        <w:t xml:space="preserve">e-commerce satisfaction [5], multi-source sentiment fusion [20]. Our difference is one of purpose, not architecture. We use ABSA </w:t>
      </w:r>
      <w:r>
        <w:rPr>
          <w:spacing w:val="4.5"/>
          <w:rFonts w:ascii="Times NR MT Pro" w:hAnsi="Times NR MT Pro" w:eastAsia="Times NR MT Pro"/>
          <w:b w:val="0"/>
          <w:i w:val="0"/>
          <w:color w:val="000000"/>
          <w:sz w:val="18"/>
        </w:rPr>
        <w:t xml:space="preserve">as a measurement instrument: it turns unstructured reviews into a per-product aspect profile that then becomes the input to </w:t>
      </w:r>
    </w:p>
    <w:p>
      <w:pPr>
        <w:sectPr>
          <w:pgSz w:w="12240" w:h="15840"/>
          <w:pgMar w:top="1090" w:right="1010" w:bottom="1088" w:left="1080" w:header="720" w:footer="720" w:gutter="0"/>
          <w:cols w:num="1" w:equalWidth="0">
            <w:col w:w="10150" w:space="0"/>
          </w:cols>
          <w:docGrid w:linePitch="360"/>
        </w:sectPr>
      </w:pPr>
    </w:p>
    <w:p>
      <w:pPr>
        <w:autoSpaceDN w:val="0"/>
        <w:autoSpaceDE w:val="0"/>
        <w:widowControl/>
        <w:spacing w:line="220" w:lineRule="exact" w:before="0" w:after="0"/>
        <w:ind w:left="0" w:right="0" w:firstLine="0"/>
        <w:jc w:val="left"/>
      </w:pPr>
      <w:r>
        <w:rPr>
          <w:spacing w:val="0.42181920463388967"/>
          <w:rFonts w:ascii="Times NR MT Pro" w:hAnsi="Times NR MT Pro" w:eastAsia="Times NR MT Pro"/>
          <w:b w:val="0"/>
          <w:i w:val="0"/>
          <w:color w:val="000000"/>
          <w:sz w:val="18"/>
        </w:rPr>
        <w:t xml:space="preserve">supervised learning, and we hold it to a null-forcing, evidence-quoting discipline meant for downstream trustworthiness rather than </w:t>
      </w:r>
      <w:r>
        <w:rPr>
          <w:spacing w:val="-1.027367391084376"/>
          <w:rFonts w:ascii="Times NR MT Pro" w:hAnsi="Times NR MT Pro" w:eastAsia="Times NR MT Pro"/>
          <w:b w:val="0"/>
          <w:i w:val="0"/>
          <w:color w:val="000000"/>
          <w:sz w:val="18"/>
        </w:rPr>
        <w:t>benchmark accuracy.</w:t>
      </w:r>
    </w:p>
    <w:p>
      <w:pPr>
        <w:autoSpaceDN w:val="0"/>
        <w:autoSpaceDE w:val="0"/>
        <w:widowControl/>
        <w:spacing w:line="210" w:lineRule="exact" w:before="120" w:after="0"/>
        <w:ind w:left="0" w:right="0" w:firstLine="0"/>
        <w:jc w:val="left"/>
      </w:pPr>
      <w:r>
        <w:rPr>
          <w:spacing w:val="-0.5403374565972285"/>
          <w:rFonts w:ascii="Liberation Serif" w:hAnsi="Liberation Serif" w:eastAsia="Liberation Serif"/>
          <w:b/>
          <w:i/>
          <w:color w:val="000000"/>
          <w:sz w:val="18"/>
        </w:rPr>
        <w:t>C. LLMs as Extractors and Estimators</w:t>
      </w:r>
    </w:p>
    <w:p>
      <w:pPr>
        <w:autoSpaceDN w:val="0"/>
        <w:autoSpaceDE w:val="0"/>
        <w:widowControl/>
        <w:spacing w:line="230" w:lineRule="exact" w:before="42" w:after="0"/>
        <w:ind w:left="0" w:right="22" w:firstLine="0"/>
        <w:jc w:val="both"/>
      </w:pPr>
      <w:r>
        <w:rPr>
          <w:spacing w:val="1.8248127689935245"/>
          <w:rFonts w:ascii="Times NR MT Pro" w:hAnsi="Times NR MT Pro" w:eastAsia="Times NR MT Pro"/>
          <w:b w:val="0"/>
          <w:i w:val="0"/>
          <w:color w:val="000000"/>
          <w:sz w:val="18"/>
        </w:rPr>
        <w:t xml:space="preserve">Transformer language models [23, 32], scaled up into instruction-following generalists [22, 24, 28, 29, 31], now label text about as </w:t>
      </w:r>
      <w:r>
        <w:rPr>
          <w:spacing w:val="0.8086830451506906"/>
          <w:rFonts w:ascii="Times NR MT Pro" w:hAnsi="Times NR MT Pro" w:eastAsia="Times NR MT Pro"/>
          <w:b w:val="0"/>
          <w:i w:val="0"/>
          <w:color w:val="000000"/>
          <w:sz w:val="18"/>
        </w:rPr>
        <w:t xml:space="preserve">reliably as a human crowd [25] and turn up more and more as zero-shot parts of e-commerce pipelines—product classification [30], </w:t>
      </w:r>
      <w:r>
        <w:rPr>
          <w:spacing w:val="2.674462321171387"/>
          <w:rFonts w:ascii="Times NR MT Pro" w:hAnsi="Times NR MT Pro" w:eastAsia="Times NR MT Pro"/>
          <w:b w:val="0"/>
          <w:i w:val="0"/>
          <w:color w:val="000000"/>
          <w:sz w:val="18"/>
        </w:rPr>
        <w:t xml:space="preserve">description generation from reviews [26], numeric value prediction in industrial systems [27]. Reasoning-eliciting prompting [33] </w:t>
      </w:r>
      <w:r>
        <w:rPr>
          <w:spacing w:val="0.8039070563390815"/>
          <w:rFonts w:ascii="Times NR MT Pro" w:hAnsi="Times NR MT Pro" w:eastAsia="Times NR MT Pro"/>
          <w:b w:val="0"/>
          <w:i w:val="0"/>
          <w:color w:val="000000"/>
          <w:sz w:val="18"/>
        </w:rPr>
        <w:t xml:space="preserve">and the wider foundation-model programme [21] treat LLMs as general-purpose estimators. Our bridging layer belongs to this line </w:t>
      </w:r>
      <w:r>
        <w:rPr>
          <w:spacing w:val="1.3335347274192326"/>
          <w:rFonts w:ascii="Times NR MT Pro" w:hAnsi="Times NR MT Pro" w:eastAsia="Times NR MT Pro"/>
          <w:b w:val="0"/>
          <w:i w:val="0"/>
          <w:color w:val="000000"/>
          <w:sz w:val="18"/>
        </w:rPr>
        <w:t xml:space="preserve">but joins two disciplines that are seldom tested together: a built-in skepticism toward adversarial input, because marketing copy is </w:t>
      </w:r>
      <w:r>
        <w:rPr>
          <w:spacing w:val="-0.24636268751187412"/>
          <w:rFonts w:ascii="Times NR MT Pro" w:hAnsi="Times NR MT Pro" w:eastAsia="Times NR MT Pro"/>
          <w:b w:val="0"/>
          <w:i w:val="0"/>
          <w:color w:val="000000"/>
          <w:sz w:val="18"/>
        </w:rPr>
        <w:t xml:space="preserve">written to sound good for flops and hits alike, and launch-blind outcome validation, which holds the LLM's estimates up against the </w:t>
      </w:r>
      <w:r>
        <w:rPr>
          <w:spacing w:val="-0.757367846212889"/>
          <w:rFonts w:ascii="Times NR MT Pro" w:hAnsi="Times NR MT Pro" w:eastAsia="Times NR MT Pro"/>
          <w:b w:val="0"/>
          <w:i w:val="0"/>
          <w:color w:val="000000"/>
          <w:sz w:val="18"/>
        </w:rPr>
        <w:t>market reality that actually followed.</w:t>
      </w:r>
    </w:p>
    <w:p>
      <w:pPr>
        <w:autoSpaceDN w:val="0"/>
        <w:autoSpaceDE w:val="0"/>
        <w:widowControl/>
        <w:spacing w:line="210" w:lineRule="exact" w:before="120" w:after="0"/>
        <w:ind w:left="0" w:right="0" w:firstLine="0"/>
        <w:jc w:val="left"/>
      </w:pPr>
      <w:r>
        <w:rPr>
          <w:spacing w:val="-0.37711210029071085"/>
          <w:rFonts w:ascii="Liberation Serif" w:hAnsi="Liberation Serif" w:eastAsia="Liberation Serif"/>
          <w:b/>
          <w:i/>
          <w:color w:val="000000"/>
          <w:sz w:val="18"/>
        </w:rPr>
        <w:t>D. Gradient Boosting for Tabular Prediction</w:t>
      </w:r>
    </w:p>
    <w:p>
      <w:pPr>
        <w:autoSpaceDN w:val="0"/>
        <w:autoSpaceDE w:val="0"/>
        <w:widowControl/>
        <w:spacing w:line="240" w:lineRule="auto" w:before="40" w:after="0"/>
        <w:ind w:left="0" w:right="20" w:firstLine="0"/>
        <w:jc w:val="both"/>
      </w:pPr>
      <w:r>
        <w:rPr>
          <w:spacing w:val="1.105865517056971"/>
          <w:rFonts w:ascii="Times NR MT Pro" w:hAnsi="Times NR MT Pro" w:eastAsia="Times NR MT Pro"/>
          <w:b w:val="0"/>
          <w:i w:val="0"/>
          <w:color w:val="000000"/>
          <w:sz w:val="18"/>
        </w:rPr>
        <w:t xml:space="preserve">For tabular product features, gradient-boosted trees [35, 38, 41] remain the standard baseline, ahead of both classic ensembles [34] </w:t>
      </w:r>
      <w:r>
        <w:rPr>
          <w:spacing w:val="2.693701605158521"/>
          <w:rFonts w:ascii="Times NR MT Pro" w:hAnsi="Times NR MT Pro" w:eastAsia="Times NR MT Pro"/>
          <w:b w:val="0"/>
          <w:i w:val="0"/>
          <w:color w:val="000000"/>
          <w:sz w:val="18"/>
        </w:rPr>
        <w:t xml:space="preserve">and neural alternatives, and they show up across e-commerce supply chains [44], sentiment-augmented financial forecasting [45, </w:t>
      </w:r>
      <w:r>
        <w:rPr>
          <w:spacing w:val="1.9213960364807414"/>
          <w:rFonts w:ascii="Times NR MT Pro" w:hAnsi="Times NR MT Pro" w:eastAsia="Times NR MT Pro"/>
          <w:b w:val="0"/>
          <w:i w:val="0"/>
          <w:color w:val="000000"/>
          <w:sz w:val="18"/>
        </w:rPr>
        <w:t xml:space="preserve">46], and multi-criteria recommendation [43]. We chose XGBoost for two reasons in particular: it handles missing values natively, </w:t>
      </w:r>
      <w:r>
        <w:rPr>
          <w:spacing w:val="1.3593854353978083"/>
          <w:rFonts w:ascii="Times NR MT Pro" w:hAnsi="Times NR MT Pro" w:eastAsia="Times NR MT Pro"/>
          <w:b w:val="0"/>
          <w:i w:val="0"/>
          <w:color w:val="000000"/>
          <w:sz w:val="18"/>
        </w:rPr>
        <w:t xml:space="preserve">so an unmentioned aspect stays missing rather than being imputed, and it pairs with SHAP attributions [42] that turn a prediction </w:t>
      </w:r>
      <w:r>
        <w:drawing>
          <wp:inline xmlns:a="http://schemas.openxmlformats.org/drawingml/2006/main" xmlns:pic="http://schemas.openxmlformats.org/drawingml/2006/picture">
            <wp:extent cx="457200" cy="152400"/>
            <wp:docPr id="4" name="Picture 4"/>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 cy="152400"/>
                    </a:xfrm>
                    <a:prstGeom prst="rect"/>
                  </pic:spPr>
                </pic:pic>
              </a:graphicData>
            </a:graphic>
          </wp:inline>
        </w:drawing>
      </w:r>
      <w:r>
        <w:rPr>
          <w:spacing w:val="4.5"/>
          <w:rFonts w:ascii="Times NR MT Pro" w:hAnsi="Times NR MT Pro" w:eastAsia="Times NR MT Pro"/>
          <w:b w:val="0"/>
          <w:i w:val="0"/>
          <w:color w:val="000000"/>
          <w:sz w:val="18"/>
        </w:rPr>
        <w:t xml:space="preserve">into an explanation in terms of design levers. Our data infrastructure rests on the Amazon reviews corpora [39, 40], and we put </w:t>
      </w:r>
      <w:r>
        <w:rPr>
          <w:spacing w:val="1.271642721411004"/>
          <w:rFonts w:ascii="Times NR MT Pro" w:hAnsi="Times NR MT Pro" w:eastAsia="Times NR MT Pro"/>
          <w:b w:val="0"/>
          <w:i w:val="0"/>
          <w:color w:val="000000"/>
          <w:sz w:val="18"/>
        </w:rPr>
        <w:t xml:space="preserve">confidence intervals on results with the bootstrap [37]. One further link is worth naming: our insistence that the interface show the </w:t>
      </w:r>
      <w:r>
        <w:rPr>
          <w:spacing w:val="-0.23937917079111623"/>
          <w:rFonts w:ascii="Times NR MT Pro" w:hAnsi="Times NR MT Pro" w:eastAsia="Times NR MT Pro"/>
          <w:b w:val="0"/>
          <w:i w:val="0"/>
          <w:color w:val="000000"/>
          <w:sz w:val="18"/>
        </w:rPr>
        <w:t xml:space="preserve">model's limits echoes a recent argument from the management literature that AI-assisted decisions need calibrated human autonomy </w:t>
      </w:r>
      <w:r>
        <w:rPr>
          <w:spacing w:val="4.5"/>
          <w:rFonts w:ascii="Times NR MT Pro" w:hAnsi="Times NR MT Pro" w:eastAsia="Times NR MT Pro"/>
          <w:b w:val="0"/>
          <w:i w:val="0"/>
          <w:color w:val="000000"/>
          <w:sz w:val="18"/>
        </w:rPr>
        <w:t>[36].</w:t>
      </w:r>
    </w:p>
    <w:p>
      <w:pPr>
        <w:autoSpaceDN w:val="0"/>
        <w:autoSpaceDE w:val="0"/>
        <w:widowControl/>
        <w:spacing w:line="222" w:lineRule="exact" w:before="162" w:after="0"/>
        <w:ind w:left="3020" w:right="0" w:firstLine="0"/>
        <w:jc w:val="left"/>
      </w:pPr>
      <w:r>
        <w:rPr>
          <w:spacing w:val="0.6813890861742218"/>
          <w:rFonts w:ascii="Liberation Serif" w:hAnsi="Liberation Serif" w:eastAsia="Liberation Serif"/>
          <w:b/>
          <w:i w:val="0"/>
          <w:color w:val="000000"/>
          <w:sz w:val="19"/>
        </w:rPr>
        <w:t>III. DATA AND PROBLEM FORMULATION</w:t>
      </w:r>
    </w:p>
    <w:p>
      <w:pPr>
        <w:autoSpaceDN w:val="0"/>
        <w:autoSpaceDE w:val="0"/>
        <w:widowControl/>
        <w:spacing w:line="230" w:lineRule="exact" w:before="80" w:after="0"/>
        <w:ind w:left="0" w:right="20" w:firstLine="0"/>
        <w:jc w:val="both"/>
      </w:pPr>
      <w:r>
        <w:rPr>
          <w:spacing w:val="4.5"/>
          <w:rFonts w:ascii="Times NR MT Pro" w:hAnsi="Times NR MT Pro" w:eastAsia="Times NR MT Pro"/>
          <w:b w:val="0"/>
          <w:i w:val="0"/>
          <w:color w:val="000000"/>
          <w:sz w:val="18"/>
        </w:rPr>
        <w:t xml:space="preserve">The corpus comes from the Amazon Reviews 2023 dataset [40], filtered to five physical product categories: wireless headphones (138 products), Bluetooth speakers (136), smartwatches (116), power banks (103), and ice makers (147). From an initial collection of 640 products and 43,599 customer reviews, automated fraud filtering excluded 9 products (6 for unnatural review bursts and 3 for extreme J-shaped rating distributions; the near-duplicate rule flagged none), retaining 631 clean products with 43,472 customer reviews (median 47 reviews per product, interquartile range 21–74.5; reviews are capped at 300 per product). Retained products per category: headphones 138, ice makers 145, speakers 135, smartwatches 114, power banks 99.</w:t>
      </w:r>
      <w:r>
        <w:rPr>
          <w:spacing w:val="0.06872277510793585"/>
          <w:rFonts w:ascii="Times NR MT Pro" w:hAnsi="Times NR MT Pro" w:eastAsia="Times NR MT Pro"/>
          <w:b w:val="0"/>
          <w:i w:val="0"/>
          <w:color w:val="000000"/>
          <w:sz w:val="18"/>
        </w:rPr>
        <w:t xml:space="preserve"/>
      </w:r>
      <w:r>
        <w:rPr>
          <w:spacing w:val="4.5"/>
          <w:rFonts w:ascii="Times NR MT Pro" w:hAnsi="Times NR MT Pro" w:eastAsia="Times NR MT Pro"/>
          <w:b w:val="0"/>
          <w:i w:val="0"/>
          <w:color w:val="000000"/>
          <w:sz w:val="18"/>
        </w:rPr>
        <w:t xml:space="preserve"> Pre-launch </w:t>
      </w:r>
      <w:r>
        <w:rPr>
          <w:spacing w:val="0.12065657631294882"/>
          <w:rFonts w:ascii="Times NR MT Pro" w:hAnsi="Times NR MT Pro" w:eastAsia="Times NR MT Pro"/>
          <w:b w:val="0"/>
          <w:i w:val="0"/>
          <w:color w:val="000000"/>
          <w:sz w:val="18"/>
        </w:rPr>
        <w:t>specifications were scraped from manufacturer catalog fields.</w:t>
      </w:r>
    </w:p>
    <w:p>
      <w:pPr>
        <w:autoSpaceDN w:val="0"/>
        <w:autoSpaceDE w:val="0"/>
        <w:widowControl/>
        <w:spacing w:line="230" w:lineRule="exact" w:before="40" w:after="0"/>
        <w:ind w:left="0" w:right="20" w:firstLine="0"/>
        <w:jc w:val="both"/>
      </w:pPr>
      <w:r>
        <w:rPr>
          <w:spacing w:val="2.56396904824272"/>
          <w:rFonts w:ascii="Times NR MT Pro" w:hAnsi="Times NR MT Pro" w:eastAsia="Times NR MT Pro"/>
          <w:b w:val="0"/>
          <w:i w:val="0"/>
          <w:color w:val="000000"/>
          <w:sz w:val="18"/>
        </w:rPr>
        <w:t xml:space="preserve">Because review streams can be gamed [13, 14], we ran a fraud filter before any label was computed. A product was flagged when </w:t>
      </w:r>
      <w:r>
        <w:rPr>
          <w:spacing w:val="1.3334892600081651"/>
          <w:rFonts w:ascii="Times NR MT Pro" w:hAnsi="Times NR MT Pro" w:eastAsia="Times NR MT Pro"/>
          <w:b w:val="0"/>
          <w:i w:val="0"/>
          <w:color w:val="000000"/>
          <w:sz w:val="18"/>
        </w:rPr>
        <w:t xml:space="preserve">more than 40% of its sampled reviews landed inside a single 14-day window, when its rating distribution was extreme-J-shaped, or </w:t>
      </w:r>
      <w:r>
        <w:rPr>
          <w:spacing w:val="1.336031384140484"/>
          <w:rFonts w:ascii="Times NR MT Pro" w:hAnsi="Times NR MT Pro" w:eastAsia="Times NR MT Pro"/>
          <w:b w:val="0"/>
          <w:i w:val="0"/>
          <w:color w:val="000000"/>
          <w:sz w:val="18"/>
        </w:rPr>
        <w:t xml:space="preserve">when more than 30% of its reviews were near-duplicates (Jaccard &gt; 0.7 on word sets). Nine products tripped the filter (six on the burst rule and three on the J-shape rule), leaving 631 for training.</w:t>
      </w:r>
      <w:r>
        <w:rPr>
          <w:spacing w:val="-1.5307684219800421"/>
          <w:rFonts w:ascii="Times NR MT Pro" w:hAnsi="Times NR MT Pro" w:eastAsia="Times NR MT Pro"/>
          <w:b w:val="0"/>
          <w:i w:val="0"/>
          <w:color w:val="000000"/>
          <w:sz w:val="18"/>
        </w:rPr>
        <w:t xml:space="preserve"/>
      </w:r>
    </w:p>
    <w:p>
      <w:pPr>
        <w:autoSpaceDN w:val="0"/>
        <w:autoSpaceDE w:val="0"/>
        <w:widowControl/>
        <w:spacing w:line="240" w:lineRule="auto" w:before="38" w:after="0"/>
        <w:ind w:left="0" w:right="20" w:firstLine="0"/>
        <w:jc w:val="both"/>
      </w:pPr>
      <w:r>
        <w:drawing>
          <wp:inline xmlns:a="http://schemas.openxmlformats.org/drawingml/2006/main" xmlns:pic="http://schemas.openxmlformats.org/drawingml/2006/picture">
            <wp:extent cx="406400" cy="127000"/>
            <wp:docPr id="5" name="Picture 5"/>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6400" cy="127000"/>
                    </a:xfrm>
                    <a:prstGeom prst="rect"/>
                  </pic:spPr>
                </pic:pic>
              </a:graphicData>
            </a:graphic>
          </wp:inline>
        </w:drawing>
      </w:r>
      <w:r>
        <w:rPr>
          <w:spacing w:val="1.1550406732559169"/>
          <w:rFonts w:ascii="Times NR MT Pro" w:hAnsi="Times NR MT Pro" w:eastAsia="Times NR MT Pro"/>
          <w:b w:val="0"/>
          <w:i w:val="0"/>
          <w:color w:val="000000"/>
          <w:sz w:val="18"/>
        </w:rPr>
        <w:t xml:space="preserve">The regression target is a within-category composite, SuccessScore = 100 × (0.40 × Volume_norm + 0.35 × Rating_norm + 0.25 × </w:t>
      </w:r>
      <w:r>
        <w:rPr>
          <w:spacing w:val="2.182742740838755"/>
          <w:rFonts w:ascii="Times NR MT Pro" w:hAnsi="Times NR MT Pro" w:eastAsia="Times NR MT Pro"/>
          <w:b w:val="0"/>
          <w:i w:val="0"/>
          <w:color w:val="000000"/>
          <w:sz w:val="18"/>
        </w:rPr>
        <w:t xml:space="preserve">Velocity_norm), with each component min–max normalized inside its own category and log(1+x) applied to heavy-tailed counts. </w:t>
      </w:r>
      <w:r>
        <w:rPr>
          <w:spacing w:val="4.5"/>
          <w:rFonts w:ascii="Times NR MT Pro" w:hAnsi="Times NR MT Pro" w:eastAsia="Times NR MT Pro"/>
          <w:b w:val="0"/>
          <w:i w:val="0"/>
          <w:color w:val="000000"/>
          <w:sz w:val="18"/>
        </w:rPr>
        <w:t xml:space="preserve">Normalizing within category is essential: 500 reviews convey different commercial traction for an appliance versus a pair of wireless earbuds. To evaluate sensitivity to composite weights, we compared the baseline 40/35/25 weighting against three </w:t>
      </w:r>
      <w:r>
        <w:rPr>
          <w:spacing w:val="2.6280625541080873"/>
          <w:rFonts w:ascii="Times NR MT Pro" w:hAnsi="Times NR MT Pro" w:eastAsia="Times NR MT Pro"/>
          <w:b w:val="0"/>
          <w:i w:val="0"/>
          <w:color w:val="000000"/>
          <w:sz w:val="18"/>
        </w:rPr>
        <w:t xml:space="preserve">alternative formulations: volume-heavy (50/30/20), rating-heavy (30/40/30), and equal-weight (33/33/33). Across all 631 retained </w:t>
      </w:r>
      <w:r>
        <w:rPr>
          <w:spacing w:val="4.5"/>
          <w:rFonts w:ascii="Times NR MT Pro" w:hAnsi="Times NR MT Pro" w:eastAsia="Times NR MT Pro"/>
          <w:b w:val="0"/>
          <w:i w:val="0"/>
          <w:color w:val="000000"/>
          <w:sz w:val="18"/>
        </w:rPr>
        <w:t xml:space="preserve">products, the Spearman rank correlations between product rankings produced by these alternative target formulations and the baseline ranking are ρ = 0.9923, 0.9887, and 0.9958, respectively. These high correlations confirm the numerical stability of the </w:t>
      </w:r>
      <w:r>
        <w:rPr>
          <w:spacing w:val="-1.0056594036660083"/>
          <w:rFonts w:ascii="Times NR MT Pro" w:hAnsi="Times NR MT Pro" w:eastAsia="Times NR MT Pro"/>
          <w:b w:val="0"/>
          <w:i w:val="0"/>
          <w:color w:val="000000"/>
          <w:sz w:val="18"/>
        </w:rPr>
        <w:t>ground-truth target ranking across formulation choices rather than representing predictive model accuracy.</w:t>
      </w:r>
    </w:p>
    <w:p>
      <w:pPr>
        <w:autoSpaceDN w:val="0"/>
        <w:autoSpaceDE w:val="0"/>
        <w:widowControl/>
        <w:spacing w:line="228" w:lineRule="exact" w:before="44" w:after="0"/>
        <w:ind w:left="0" w:right="30" w:firstLine="0"/>
        <w:jc w:val="both"/>
      </w:pPr>
      <w:r>
        <w:rPr>
          <w:spacing w:val="4.5"/>
          <w:rFonts w:ascii="Times NR MT Pro" w:hAnsi="Times NR MT Pro" w:eastAsia="Times NR MT Pro"/>
          <w:b w:val="0"/>
          <w:i w:val="0"/>
          <w:color w:val="000000"/>
          <w:sz w:val="18"/>
        </w:rPr>
        <w:t xml:space="preserve">Survivorship disclosure. The five-review floor keeps the corpus focused on products with observable market engagement; consequently, bottom-quintile denotes relative underperformance among observed market survivors rather than absolute commercial failure without customer attention. Among retained products, lifetime rating counts have a minimum of 97, a 10th percentile of 317, and a median of 5,177, so even the least-rated retained products had drawn real market attention.</w:t>
      </w:r>
      <w:r>
        <w:rPr>
          <w:spacing w:val="-0.8165210226307744"/>
          <w:rFonts w:ascii="Times NR MT Pro" w:hAnsi="Times NR MT Pro" w:eastAsia="Times NR MT Pro"/>
          <w:b w:val="0"/>
          <w:i w:val="0"/>
          <w:color w:val="000000"/>
          <w:sz w:val="18"/>
        </w:rPr>
        <w:t xml:space="preserve"/>
      </w:r>
    </w:p>
    <w:p>
      <w:pPr>
        <w:autoSpaceDN w:val="0"/>
        <w:autoSpaceDE w:val="0"/>
        <w:widowControl/>
        <w:spacing w:line="220" w:lineRule="exact" w:before="162" w:after="0"/>
        <w:ind w:left="4052" w:right="0" w:firstLine="0"/>
        <w:jc w:val="left"/>
      </w:pPr>
      <w:r>
        <w:rPr>
          <w:spacing w:val="1.5736979166666363"/>
          <w:rFonts w:ascii="Liberation Serif" w:hAnsi="Liberation Serif" w:eastAsia="Liberation Serif"/>
          <w:b/>
          <w:i w:val="0"/>
          <w:color w:val="000000"/>
          <w:sz w:val="19"/>
        </w:rPr>
        <w:t>IV. METHODOLOGY</w:t>
      </w:r>
    </w:p>
    <w:p>
      <w:pPr>
        <w:autoSpaceDN w:val="0"/>
        <w:autoSpaceDE w:val="0"/>
        <w:widowControl/>
        <w:spacing w:line="210" w:lineRule="exact" w:before="144" w:after="0"/>
        <w:ind w:left="0" w:right="0" w:firstLine="0"/>
        <w:jc w:val="left"/>
      </w:pPr>
      <w:r>
        <w:rPr>
          <w:spacing w:val="-2.2992187500000085"/>
          <w:rFonts w:ascii="Liberation Serif" w:hAnsi="Liberation Serif" w:eastAsia="Liberation Serif"/>
          <w:b/>
          <w:i/>
          <w:color w:val="000000"/>
          <w:sz w:val="18"/>
        </w:rPr>
        <w:t>A. Aspect Extraction</w:t>
      </w:r>
    </w:p>
    <w:p>
      <w:pPr>
        <w:autoSpaceDN w:val="0"/>
        <w:autoSpaceDE w:val="0"/>
        <w:widowControl/>
        <w:spacing w:line="230" w:lineRule="exact" w:before="40" w:after="0"/>
        <w:ind w:left="0" w:right="22" w:firstLine="0"/>
        <w:jc w:val="both"/>
      </w:pPr>
      <w:r>
        <w:rPr>
          <w:spacing w:val="2.108923952396096"/>
          <w:rFonts w:ascii="Times NR MT Pro" w:hAnsi="Times NR MT Pro" w:eastAsia="Times NR MT Pro"/>
          <w:b w:val="0"/>
          <w:i w:val="0"/>
          <w:color w:val="000000"/>
          <w:sz w:val="18"/>
        </w:rPr>
        <w:t xml:space="preserve">Each review is broken into aspect-level sentiment against a frozen schema of nine aspects: six shared consumer aspects (value for </w:t>
      </w:r>
      <w:r>
        <w:rPr>
          <w:spacing w:val="4.5"/>
          <w:rFonts w:ascii="Times NR MT Pro" w:hAnsi="Times NR MT Pro" w:eastAsia="Times NR MT Pro"/>
          <w:b w:val="0"/>
          <w:i w:val="0"/>
          <w:color w:val="000000"/>
          <w:sz w:val="18"/>
        </w:rPr>
        <w:t xml:space="preserve">money, utility, ease of use, reliability, design appeal, after-sales) and three physical-product aspects (build quality, durability, repairability). The prompt is null-forcing by design. An aspect earns a score (0–10) only if the review actually discusses it; every </w:t>
      </w:r>
      <w:r>
        <w:rPr>
          <w:spacing w:val="2.506047365277305"/>
          <w:rFonts w:ascii="Times NR MT Pro" w:hAnsi="Times NR MT Pro" w:eastAsia="Times NR MT Pro"/>
          <w:b w:val="0"/>
          <w:i w:val="0"/>
          <w:color w:val="000000"/>
          <w:sz w:val="18"/>
        </w:rPr>
        <w:t xml:space="preserve">non-null score must quote a verbatim phrase from the review as evidence; and the star rating is given as context but banned as a </w:t>
      </w:r>
      <w:r>
        <w:rPr>
          <w:spacing w:val="2.47145133073093"/>
          <w:rFonts w:ascii="Times NR MT Pro" w:hAnsi="Times NR MT Pro" w:eastAsia="Times NR MT Pro"/>
          <w:b w:val="0"/>
          <w:i w:val="0"/>
          <w:color w:val="000000"/>
          <w:sz w:val="18"/>
        </w:rPr>
        <w:t xml:space="preserve">source of scores. A review that praises only sound quality comes back with null for durability, because the silence is information </w:t>
      </w:r>
      <w:r>
        <w:rPr>
          <w:spacing w:val="0.6275197608130284"/>
          <w:rFonts w:ascii="Times NR MT Pro" w:hAnsi="Times NR MT Pro" w:eastAsia="Times NR MT Pro"/>
          <w:b w:val="0"/>
          <w:i w:val="0"/>
          <w:color w:val="000000"/>
          <w:sz w:val="18"/>
        </w:rPr>
        <w:t xml:space="preserve">and we will not invent around it. Every output is checked against a typed schema. An invalid response is retried once with the error </w:t>
      </w:r>
      <w:r>
        <w:rPr>
          <w:spacing w:val="0.6746576469363077"/>
          <w:rFonts w:ascii="Times NR MT Pro" w:hAnsi="Times NR MT Pro" w:eastAsia="Times NR MT Pro"/>
          <w:b w:val="0"/>
          <w:i w:val="0"/>
          <w:color w:val="000000"/>
          <w:sz w:val="18"/>
        </w:rPr>
        <w:t xml:space="preserve">appended, then handed to the next provider, and on a third failure the review is logged and skipped, so one bad response can never </w:t>
      </w:r>
      <w:r>
        <w:rPr>
          <w:spacing w:val="1.174264349678683"/>
          <w:rFonts w:ascii="Times NR MT Pro" w:hAnsi="Times NR MT Pro" w:eastAsia="Times NR MT Pro"/>
          <w:b w:val="0"/>
          <w:i w:val="0"/>
          <w:color w:val="000000"/>
          <w:sz w:val="18"/>
        </w:rPr>
        <w:t xml:space="preserve">stall a batch that runs for days. Extraction covered more than 43,000 reviews on a multi-provider cloud pool (Gemini Flash, Groq </w:t>
      </w:r>
      <w:r>
        <w:rPr>
          <w:spacing w:val="4.5"/>
          <w:rFonts w:ascii="Times NR MT Pro" w:hAnsi="Times NR MT Pro" w:eastAsia="Times NR MT Pro"/>
          <w:b w:val="0"/>
          <w:i w:val="0"/>
          <w:color w:val="000000"/>
          <w:sz w:val="18"/>
        </w:rPr>
        <w:t xml:space="preserve">Llama-3.3-70B, Cerebras, Mistral, and SambaNova) with per-key rate tracking, append-only crash-safe logging, and resume support; we tried a local model too but dropped it after a quality audit. Ahead of the full run, a 30-review hand-validation gate </w:t>
      </w:r>
      <w:r>
        <w:rPr>
          <w:spacing w:val="-0.28839194136006696"/>
          <w:rFonts w:ascii="Times NR MT Pro" w:hAnsi="Times NR MT Pro" w:eastAsia="Times NR MT Pro"/>
          <w:b w:val="0"/>
          <w:i w:val="0"/>
          <w:color w:val="000000"/>
          <w:sz w:val="18"/>
        </w:rPr>
        <w:t>confirmed that unmentioned aspects came back null and that each evidence phrase really did appear in its review.</w:t>
      </w:r>
    </w:p>
    <w:p>
      <w:pPr>
        <w:sectPr>
          <w:pgSz w:w="12240" w:h="15840"/>
          <w:pgMar w:top="1088" w:right="1010" w:bottom="1414" w:left="1080" w:header="720" w:footer="720" w:gutter="0"/>
          <w:cols w:num="1" w:equalWidth="0">
            <w:col w:w="10150" w:space="0"/>
          </w:cols>
          <w:docGrid w:linePitch="360"/>
        </w:sectPr>
      </w:pPr>
    </w:p>
    <w:p>
      <w:pPr>
        <w:autoSpaceDN w:val="0"/>
        <w:autoSpaceDE w:val="0"/>
        <w:widowControl/>
        <w:spacing w:line="210" w:lineRule="exact" w:before="0" w:after="0"/>
        <w:ind w:left="112" w:right="0" w:firstLine="0"/>
        <w:jc w:val="left"/>
      </w:pPr>
      <w:r>
        <w:rPr>
          <w:spacing w:val="-2.184903772865862"/>
          <w:rFonts w:ascii="Liberation Serif" w:hAnsi="Liberation Serif" w:eastAsia="Liberation Serif"/>
          <w:b/>
          <w:i/>
          <w:color w:val="000000"/>
          <w:sz w:val="18"/>
        </w:rPr>
        <w:t>B. Success Models and Algorithm Selection</w:t>
      </w: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4419600</wp:posOffset>
                </wp:positionV>
                <wp:extent cx="6426200" cy="355600"/>
                <wp:wrapNone/>
                <wp:docPr id="6" name="Text Box 6"/>
                <wp:cNvGraphicFramePr>
                  <a:graphicFrameLocks noChangeAspect="1"/>
                </wp:cNvGraphicFramePr>
                <a:graphic>
                  <a:graphicData uri="http://schemas.microsoft.com/office/word/2010/wordprocessingShape">
                    <wps:wsp>
                      <wps:cNvSpPr txBox="1">
                        <a:spLocks noChangeArrowheads="1"/>
                      </wps:cNvSpPr>
                      <wps:spPr bwMode="auto">
                        <a:xfrm>
                          <a:off x="0" y="0"/>
                          <a:ext cx="6426200" cy="3556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2661920</wp:posOffset>
                </wp:positionV>
                <wp:extent cx="6432550" cy="723900"/>
                <wp:wrapNone/>
                <wp:docPr id="7" name="Text Box 7"/>
                <wp:cNvGraphicFramePr>
                  <a:graphicFrameLocks noChangeAspect="1"/>
                </wp:cNvGraphicFramePr>
                <a:graphic>
                  <a:graphicData uri="http://schemas.microsoft.com/office/word/2010/wordprocessingShape">
                    <wps:wsp>
                      <wps:cNvSpPr txBox="1">
                        <a:spLocks noChangeArrowheads="1"/>
                      </wps:cNvSpPr>
                      <wps:spPr bwMode="auto">
                        <a:xfrm>
                          <a:off x="0" y="0"/>
                          <a:ext cx="6432550" cy="7239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876300</wp:posOffset>
                </wp:positionV>
                <wp:extent cx="6431280" cy="1742439"/>
                <wp:wrapNone/>
                <wp:docPr id="8" name="Text Box 8"/>
                <wp:cNvGraphicFramePr>
                  <a:graphicFrameLocks noChangeAspect="1"/>
                </wp:cNvGraphicFramePr>
                <a:graphic>
                  <a:graphicData uri="http://schemas.microsoft.com/office/word/2010/wordprocessingShape">
                    <wps:wsp>
                      <wps:cNvSpPr txBox="1">
                        <a:spLocks noChangeArrowheads="1"/>
                      </wps:cNvSpPr>
                      <wps:spPr bwMode="auto">
                        <a:xfrm>
                          <a:off x="0" y="0"/>
                          <a:ext cx="6431280" cy="1742439"/>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16" w:lineRule="exact" w:before="48" w:after="0"/>
        <w:ind w:left="112" w:right="0" w:firstLine="0"/>
        <w:jc w:val="left"/>
      </w:pPr>
      <w:r>
        <w:rPr>
          <w:spacing w:val="3.5"/>
          <w:rFonts w:ascii="Times New Roman" w:hAnsi="Times New Roman" w:eastAsia="Times New Roman"/>
          <w:b w:val="0"/>
          <w:i w:val="0"/>
          <w:color w:val="000000"/>
          <w:sz w:val="14"/>
        </w:rPr>
        <w:t xml:space="preserve">Product-level features roll the extraction stream up into a mean score and a mention rate per aspect. An unmentioned aspect stays missing rather than imputed, which XGBoost handles natively. On top of these we add launch-available metadata: price, a brand-recognition tier, and category indicators. The regressors are gradient-boosted (600 estimators, depth 5, learning rate 0.05, seed 42) under 5-fold cross-validation. Each review aspect and the brand tier is constrained non-decreasing (+1), while price is constrained non-increasing (-1). The monotonic constraints slightly reduce cross-validation R² (unconstrained 0.607 ± 0.010 vs. constrained 0.577 ± 0.015; RMSE 11.05 vs. 11.47, MAE 8.51 vs. 8.85). On the same holdout partition the constraints also lowered AUC (0.917 unconstrained vs. 0.750 constrained), so they are retained for interpretability and sign-consistent explanations rather than for accuracy. Early stopping in these figures is scored on the validation fold; with early stopping on an inner training split the cross-validated R² is 0.554 (constrained) and 0.594 (unconstrained). The headline model removes average rating, rating count, and review velocity while retaining price, brand tier, category, and LLM-derived aspect features.</w:t>
      </w:r>
    </w:p>
    <w:p>
      <w:pPr>
        <w:autoSpaceDN w:val="0"/>
        <w:autoSpaceDE w:val="0"/>
        <w:widowControl/>
        <w:spacing w:line="202" w:lineRule="exact" w:before="0" w:after="0"/>
        <w:ind w:left="112" w:right="0" w:firstLine="0"/>
        <w:jc w:val="left"/>
      </w:pPr>
      <w:r>
        <w:rPr>
          <w:spacing w:val="3.5"/>
          <w:rFonts w:ascii="Times New Roman" w:hAnsi="Times New Roman" w:eastAsia="Times New Roman"/>
          <w:b w:val="0"/>
          <w:i w:val="0"/>
          <w:color w:val="000000"/>
          <w:sz w:val="14"/>
        </w:rPr>
        <w:t>In prompt v2, price is withheld from the LLM and handled downstream through deterministic value-for-money plus a monotone price feature.</w:t>
      </w:r>
    </w:p>
    <w:p>
      <w:pPr>
        <w:autoSpaceDN w:val="0"/>
        <w:autoSpaceDE w:val="0"/>
        <w:widowControl/>
        <w:spacing w:line="230" w:lineRule="exact" w:before="1272" w:after="0"/>
        <w:ind w:left="112" w:right="0" w:firstLine="0"/>
        <w:jc w:val="left"/>
      </w:pPr>
      <w:r>
        <w:rPr>
          <w:spacing w:val="3.75"/>
          <w:rFonts w:ascii="Times New Roman" w:hAnsi="Times New Roman" w:eastAsia="Times New Roman"/>
          <w:b w:val="0"/>
          <w:i w:val="0"/>
          <w:color w:val="000000"/>
          <w:sz w:val="15"/>
        </w:rPr>
        <w:t xml:space="preserve">Algorithm selection. We benchmarked six algorithms under identical 5-fold cross-validation on the standardized feature set used by the benchmark script: LLM-derived aspect means and mention rates plus brand tier, with price and category excluded and missing aspect values filled with zero for every model. XGBoost achieved R² = 0.562 and AUC = 0.988 in this benchmark (Table 1). Early stopping was scored on the validation fold, which is mildly optimistic (R² = 0.543 when early stopping uses an inner training split), and the accuracy, precision, recall, F1, and MCC columns threshold predictions at the median of the true validation values, so they are optimistic as well; AUC is unaffected. These values describe an aspect-derived feature set and are distinct from the headline production model (cross-validated R² = 0.577).</w:t>
      </w:r>
    </w:p>
    <w:p>
      <w:pPr>
        <w:autoSpaceDN w:val="0"/>
        <w:autoSpaceDE w:val="0"/>
        <w:widowControl/>
        <w:spacing w:line="230" w:lineRule="exact" w:before="262" w:after="0"/>
        <w:ind w:left="112" w:right="22" w:firstLine="0"/>
        <w:jc w:val="both"/>
      </w:pPr>
      <w:r>
        <w:rPr>
          <w:spacing w:val="0.5654551779681951"/>
          <w:rFonts w:ascii="Times NR MT Pro" w:hAnsi="Times NR MT Pro" w:eastAsia="Times NR MT Pro"/>
          <w:b w:val="0"/>
          <w:i w:val="0"/>
          <w:color w:val="000000"/>
          <w:sz w:val="18"/>
        </w:rPr>
        <w:t xml:space="preserve">Accuracy aside, three features of this particular problem play to XGBoost's strengths. One is native missing-value handling. Aspect </w:t>
      </w:r>
      <w:r>
        <w:rPr>
          <w:spacing w:val="1.5322736122391407"/>
          <w:rFonts w:ascii="Times NR MT Pro" w:hAnsi="Times NR MT Pro" w:eastAsia="Times NR MT Pro"/>
          <w:b w:val="0"/>
          <w:i w:val="0"/>
          <w:color w:val="000000"/>
          <w:sz w:val="18"/>
        </w:rPr>
        <w:t xml:space="preserve">scores go structurally missing whenever a review skips an aspect, and XGBoost learns a split direction for the missing entries with </w:t>
      </w:r>
      <w:r>
        <w:rPr>
          <w:spacing w:val="0.46318260918963694"/>
          <w:rFonts w:ascii="Times NR MT Pro" w:hAnsi="Times NR MT Pro" w:eastAsia="Times NR MT Pro"/>
          <w:b w:val="0"/>
          <w:i w:val="0"/>
          <w:color w:val="000000"/>
          <w:sz w:val="18"/>
        </w:rPr>
        <w:t xml:space="preserve">no imputation [35], where Ridge and SVR would need a fill strategy that only adds noise. Another is native categorical support: the </w:t>
      </w:r>
      <w:r>
        <w:rPr>
          <w:spacing w:val="1.1859100054610825"/>
          <w:rFonts w:ascii="Times NR MT Pro" w:hAnsi="Times NR MT Pro" w:eastAsia="Times NR MT Pro"/>
          <w:b w:val="0"/>
          <w:i w:val="0"/>
          <w:color w:val="000000"/>
          <w:sz w:val="18"/>
        </w:rPr>
        <w:t xml:space="preserve">category feature goes in directly through the enable_categorical flag, with no one-hot encoding, so the histogram learner keeps the </w:t>
      </w:r>
      <w:r>
        <w:rPr>
          <w:spacing w:val="4.5"/>
          <w:rFonts w:ascii="Times NR MT Pro" w:hAnsi="Times NR MT Pro" w:eastAsia="Times NR MT Pro"/>
          <w:b w:val="0"/>
          <w:i w:val="0"/>
          <w:color w:val="000000"/>
          <w:sz w:val="18"/>
        </w:rPr>
        <w:t xml:space="preserve">structure it can use. The third is SHAP compatibility. TreeExplainer [42] returns exact, polynomial-time Shapley values for tree ensembles, and those drive the per-prediction risk and strength explanations the application shows (the System section); kernel </w:t>
      </w:r>
      <w:r>
        <w:rPr>
          <w:spacing w:val="-0.9891882989857679"/>
          <w:rFonts w:ascii="Times NR MT Pro" w:hAnsi="Times NR MT Pro" w:eastAsia="Times NR MT Pro"/>
          <w:b w:val="0"/>
          <w:i w:val="0"/>
          <w:color w:val="000000"/>
          <w:sz w:val="18"/>
        </w:rPr>
        <w:t>SHAP on an MLP or an SVR is approximate and slower by orders of magnitude.</w:t>
      </w:r>
    </w:p>
    <w:p>
      <w:pPr>
        <w:autoSpaceDN w:val="0"/>
        <w:autoSpaceDE w:val="0"/>
        <w:widowControl/>
        <w:spacing w:line="168" w:lineRule="exact" w:before="32" w:after="0"/>
        <w:ind w:left="112" w:right="288" w:firstLine="0"/>
        <w:jc w:val="left"/>
      </w:pPr>
      <w:r>
        <w:rPr>
          <w:spacing w:val="3.5"/>
          <w:rFonts w:ascii="Times New Roman" w:hAnsi="Times New Roman" w:eastAsia="Times New Roman"/>
          <w:b w:val="0"/>
          <w:i w:val="0"/>
          <w:color w:val="000000"/>
          <w:sz w:val="14"/>
        </w:rPr>
        <w:t xml:space="preserve">Table 1. Algorithm comparison on standardized benchmark features (LLM-derived aspect means/mention rates + brand tier; price and category excluded; missing values filled with 0), n=631, 5-fold CV, seed 42. R²/RMSE are primary regression metrics; classification metrics use top- vs. bottom-quintile products.</w:t>
      </w:r>
    </w:p>
    <w:p>
      <w:pPr>
        <w:autoSpaceDN w:val="0"/>
        <w:autoSpaceDE w:val="0"/>
        <w:widowControl/>
        <w:spacing w:line="178" w:lineRule="exact" w:before="0" w:after="126"/>
        <w:ind w:left="1682" w:right="0" w:firstLine="0"/>
        <w:jc w:val="left"/>
      </w:pPr>
      <w:r>
        <w:rPr>
          <w:spacing w:val="0.19601004464285715"/>
          <w:rFonts w:ascii="Liberation Serif" w:hAnsi="Liberation Serif" w:eastAsia="Liberation Serif"/>
          <w:b w:val="0"/>
          <w:i/>
          <w:color w:val="000000"/>
          <w:sz w:val="16"/>
        </w:rPr>
        <w:t xml:space="preserve">classification metrics are derived by binarizing at the top- vs. bottom-quintile and thresholding predictions at the median of the true validation values (optimistic; AUC is unaffected). Best value per metric in bold.</w:t>
      </w:r>
    </w:p>
    <w:tbl>
      <w:tblPr>
        <w:tblW w:type="auto" w:w="0"/>
        <w:tblLayout w:type="fixed"/>
        <w:tblLook w:firstColumn="1" w:firstRow="1" w:lastColumn="0" w:lastRow="0" w:noHBand="0" w:noVBand="1" w:val="04A0"/>
        <w:tblInd w:w="4.000000000000057" w:type="dxa"/>
      </w:tblPr>
      <w:tblGrid>
        <w:gridCol w:w="938"/>
        <w:gridCol w:w="934"/>
        <w:gridCol w:w="938"/>
        <w:gridCol w:w="934"/>
        <w:gridCol w:w="936"/>
        <w:gridCol w:w="936"/>
        <w:gridCol w:w="936"/>
        <w:gridCol w:w="938"/>
        <w:gridCol w:w="936"/>
        <w:gridCol w:w="936"/>
      </w:tblGrid>
      <w:tr>
        <w:trPr>
          <w:trHeight w:hRule="exact" w:val="182"/>
        </w:trPr>
        <w:tc>
          <w:tcPr>
            <w:tcW w:type="dxa" w:w="938"/>
            <w:tcBorders>
              <w:top w:sz="3.199999999999818" w:val="single" w:color="000000"/>
              <w:bottom w:sz="3.200000000000273" w:val="single" w:color="000000"/>
              <w:left w:sz="3.1999999999999886" w:val="single" w:color="000000"/>
              <w:right w:sz="4.0" w:val="single" w:color="000000"/>
            </w:tcBorders>
            <w:tcMar>
              <w:start w:w="0" w:type="dxa"/>
              <w:end w:w="0" w:type="dxa"/>
            </w:tcMar>
          </w:tcPr>
          <w:p>
            <w:pPr>
              <w:autoSpaceDN w:val="0"/>
              <w:autoSpaceDE w:val="0"/>
              <w:widowControl/>
              <w:spacing w:line="166" w:lineRule="exact" w:before="6" w:after="0"/>
              <w:ind w:left="104" w:right="0" w:firstLine="0"/>
              <w:jc w:val="left"/>
            </w:pPr>
            <w:r>
              <w:rPr>
                <w:spacing w:val="-2.1636827256944318"/>
                <w:rFonts w:ascii="Liberation Serif" w:hAnsi="Liberation Serif" w:eastAsia="Liberation Serif"/>
                <w:b/>
                <w:i w:val="0"/>
                <w:color w:val="000000"/>
                <w:sz w:val="15"/>
              </w:rPr>
              <w:t>Algorithm</w:t>
            </w:r>
          </w:p>
        </w:tc>
        <w:tc>
          <w:tcPr>
            <w:tcW w:type="dxa" w:w="934"/>
            <w:tcBorders>
              <w:top w:sz="3.199999999999818" w:val="single" w:color="000000"/>
              <w:bottom w:sz="3.200000000000273"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84" w:right="0" w:firstLine="0"/>
              <w:jc w:val="left"/>
            </w:pPr>
            <w:r>
              <w:rPr>
                <w:spacing w:val="-1.7607421875000373"/>
                <w:rFonts w:ascii="Liberation Serif" w:hAnsi="Liberation Serif" w:eastAsia="Liberation Serif"/>
                <w:b/>
                <w:i w:val="0"/>
                <w:color w:val="000000"/>
                <w:sz w:val="15"/>
              </w:rPr>
              <w:t>R²</w:t>
            </w:r>
          </w:p>
        </w:tc>
        <w:tc>
          <w:tcPr>
            <w:tcW w:type="dxa" w:w="938"/>
            <w:tcBorders>
              <w:top w:sz="3.199999999999818" w:val="single" w:color="000000"/>
              <w:bottom w:sz="3.200000000000273"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246" w:right="0" w:firstLine="0"/>
              <w:jc w:val="left"/>
            </w:pPr>
            <w:r>
              <w:rPr>
                <w:spacing w:val="-3.75"/>
                <w:rFonts w:ascii="Liberation Serif" w:hAnsi="Liberation Serif" w:eastAsia="Liberation Serif"/>
                <w:b/>
                <w:i w:val="0"/>
                <w:color w:val="000000"/>
                <w:sz w:val="15"/>
              </w:rPr>
              <w:t>RMSE</w:t>
            </w:r>
          </w:p>
        </w:tc>
        <w:tc>
          <w:tcPr>
            <w:tcW w:type="dxa" w:w="934"/>
            <w:tcBorders>
              <w:top w:sz="3.199999999999818" w:val="single" w:color="000000"/>
              <w:bottom w:sz="3.200000000000273"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24" w:right="0" w:firstLine="0"/>
              <w:jc w:val="left"/>
            </w:pPr>
            <w:r>
              <w:rPr>
                <w:spacing w:val="-3.75"/>
                <w:rFonts w:ascii="Liberation Serif" w:hAnsi="Liberation Serif" w:eastAsia="Liberation Serif"/>
                <w:b/>
                <w:i w:val="0"/>
                <w:color w:val="000000"/>
                <w:sz w:val="15"/>
              </w:rPr>
              <w:t>Acc.</w:t>
            </w:r>
          </w:p>
        </w:tc>
        <w:tc>
          <w:tcPr>
            <w:tcW w:type="dxa" w:w="936"/>
            <w:tcBorders>
              <w:top w:sz="3.199999999999818" w:val="single" w:color="000000"/>
              <w:bottom w:sz="3.200000000000273"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298" w:right="0" w:firstLine="0"/>
              <w:jc w:val="left"/>
            </w:pPr>
            <w:r>
              <w:rPr>
                <w:spacing w:val="-0.88623046875"/>
                <w:rFonts w:ascii="Liberation Serif" w:hAnsi="Liberation Serif" w:eastAsia="Liberation Serif"/>
                <w:b/>
                <w:i w:val="0"/>
                <w:color w:val="000000"/>
                <w:sz w:val="15"/>
              </w:rPr>
              <w:t>Prec.</w:t>
            </w:r>
          </w:p>
        </w:tc>
        <w:tc>
          <w:tcPr>
            <w:tcW w:type="dxa" w:w="936"/>
            <w:tcBorders>
              <w:top w:sz="3.199999999999818" w:val="single" w:color="000000"/>
              <w:bottom w:sz="3.200000000000273"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24" w:right="0" w:firstLine="0"/>
              <w:jc w:val="left"/>
            </w:pPr>
            <w:r>
              <w:rPr>
                <w:spacing w:val="-3.75"/>
                <w:rFonts w:ascii="Liberation Serif" w:hAnsi="Liberation Serif" w:eastAsia="Liberation Serif"/>
                <w:b/>
                <w:i w:val="0"/>
                <w:color w:val="000000"/>
                <w:sz w:val="15"/>
              </w:rPr>
              <w:t>Rec.</w:t>
            </w:r>
          </w:p>
        </w:tc>
        <w:tc>
          <w:tcPr>
            <w:tcW w:type="dxa" w:w="936"/>
            <w:tcBorders>
              <w:top w:sz="3.199999999999818" w:val="single" w:color="000000"/>
              <w:bottom w:sz="3.200000000000273"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296" w:right="0" w:firstLine="0"/>
              <w:jc w:val="left"/>
            </w:pPr>
            <w:r>
              <w:rPr>
                <w:spacing w:val="-3.75"/>
                <w:rFonts w:ascii="Liberation Serif" w:hAnsi="Liberation Serif" w:eastAsia="Liberation Serif"/>
                <w:b/>
                <w:i w:val="0"/>
                <w:color w:val="000000"/>
                <w:sz w:val="15"/>
              </w:rPr>
              <w:t>Spec.</w:t>
            </w:r>
          </w:p>
        </w:tc>
        <w:tc>
          <w:tcPr>
            <w:tcW w:type="dxa" w:w="938"/>
            <w:tcBorders>
              <w:top w:sz="3.199999999999818" w:val="single" w:color="000000"/>
              <w:bottom w:sz="3.200000000000273"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82" w:right="0" w:firstLine="0"/>
              <w:jc w:val="left"/>
            </w:pPr>
            <w:r>
              <w:rPr>
                <w:spacing w:val="-3.75"/>
                <w:rFonts w:ascii="Liberation Serif" w:hAnsi="Liberation Serif" w:eastAsia="Liberation Serif"/>
                <w:b/>
                <w:i w:val="0"/>
                <w:color w:val="000000"/>
                <w:sz w:val="15"/>
              </w:rPr>
              <w:t>F1</w:t>
            </w:r>
          </w:p>
        </w:tc>
        <w:tc>
          <w:tcPr>
            <w:tcW w:type="dxa" w:w="936"/>
            <w:tcBorders>
              <w:top w:sz="3.199999999999818" w:val="single" w:color="000000"/>
              <w:bottom w:sz="3.200000000000273" w:val="single" w:color="000000"/>
              <w:left w:sz="4.0" w:val="single" w:color="000000"/>
              <w:right w:sz="3.200000000000273" w:val="single" w:color="000000"/>
            </w:tcBorders>
            <w:tcMar>
              <w:start w:w="0" w:type="dxa"/>
              <w:end w:w="0" w:type="dxa"/>
            </w:tcMar>
          </w:tcPr>
          <w:p>
            <w:pPr>
              <w:autoSpaceDN w:val="0"/>
              <w:autoSpaceDE w:val="0"/>
              <w:widowControl/>
              <w:spacing w:line="166" w:lineRule="exact" w:before="6" w:after="0"/>
              <w:ind w:left="298" w:right="0" w:firstLine="0"/>
              <w:jc w:val="left"/>
            </w:pPr>
            <w:r>
              <w:rPr>
                <w:spacing w:val="-3.75"/>
                <w:rFonts w:ascii="Liberation Serif" w:hAnsi="Liberation Serif" w:eastAsia="Liberation Serif"/>
                <w:b/>
                <w:i w:val="0"/>
                <w:color w:val="000000"/>
                <w:sz w:val="15"/>
              </w:rPr>
              <w:t>AUC</w:t>
            </w:r>
          </w:p>
        </w:tc>
        <w:tc>
          <w:tcPr>
            <w:tcW w:type="dxa" w:w="936"/>
            <w:tcBorders>
              <w:top w:sz="3.199999999999818" w:val="single" w:color="000000"/>
              <w:bottom w:sz="3.200000000000273" w:val="single" w:color="000000"/>
              <w:left w:sz="3.200000000000273" w:val="single" w:color="000000"/>
              <w:right w:sz="3.199999999999818" w:val="single" w:color="000000"/>
            </w:tcBorders>
            <w:tcMar>
              <w:start w:w="0" w:type="dxa"/>
              <w:end w:w="0" w:type="dxa"/>
            </w:tcMar>
          </w:tcPr>
          <w:p>
            <w:pPr>
              <w:autoSpaceDN w:val="0"/>
              <w:autoSpaceDE w:val="0"/>
              <w:widowControl/>
              <w:spacing w:line="166" w:lineRule="exact" w:before="6" w:after="0"/>
              <w:ind w:left="284" w:right="0" w:firstLine="0"/>
              <w:jc w:val="left"/>
            </w:pPr>
            <w:r>
              <w:rPr>
                <w:spacing w:val="-3.75"/>
                <w:rFonts w:ascii="Liberation Serif" w:hAnsi="Liberation Serif" w:eastAsia="Liberation Serif"/>
                <w:b/>
                <w:i w:val="0"/>
                <w:color w:val="000000"/>
                <w:sz w:val="15"/>
              </w:rPr>
              <w:t>MCC</w:t>
            </w:r>
          </w:p>
        </w:tc>
      </w:tr>
      <w:tr>
        <w:trPr>
          <w:trHeight w:hRule="exact" w:val="184"/>
        </w:trPr>
        <w:tc>
          <w:tcPr>
            <w:tcW w:type="dxa" w:w="938"/>
            <w:tcBorders>
              <w:top w:sz="3.200000000000273" w:val="single" w:color="000000"/>
              <w:bottom w:sz="4.0" w:val="single" w:color="000000"/>
              <w:left w:sz="3.1999999999999886" w:val="single" w:color="000000"/>
              <w:right w:sz="4.0" w:val="single" w:color="000000"/>
            </w:tcBorders>
            <w:tcMar>
              <w:start w:w="0" w:type="dxa"/>
              <w:end w:w="0" w:type="dxa"/>
            </w:tcMar>
          </w:tcPr>
          <w:p>
            <w:pPr>
              <w:autoSpaceDN w:val="0"/>
              <w:autoSpaceDE w:val="0"/>
              <w:widowControl/>
              <w:spacing w:line="166" w:lineRule="exact" w:before="6" w:after="0"/>
              <w:ind w:left="104" w:right="0" w:firstLine="0"/>
              <w:jc w:val="left"/>
            </w:pPr>
            <w:r>
              <w:rPr>
                <w:spacing w:val="-3.75"/>
                <w:rFonts w:ascii="Liberation Serif" w:hAnsi="Liberation Serif" w:eastAsia="Liberation Serif"/>
                <w:i w:val="0"/>
                <w:color w:val="000000"/>
                <w:sz w:val="15"/>
              </w:rPr>
              <w:t>XGBoost</w:t>
            </w:r>
          </w:p>
        </w:tc>
        <w:tc>
          <w:tcPr>
            <w:tcW w:type="dxa" w:w="934"/>
            <w:tcBorders>
              <w:top w:sz="3.200000000000273"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28" w:right="0" w:firstLine="0"/>
              <w:jc w:val="left"/>
            </w:pPr>
            <w:r>
              <w:rPr>
                <w:spacing w:val="-0.41249991953371534"/>
                <w:rFonts w:ascii="Times NR MT Pro" w:hAnsi="Times NR MT Pro" w:eastAsia="Times NR MT Pro"/>
                <w:i w:val="0"/>
                <w:color w:val="000000"/>
                <w:sz w:val="15"/>
                <w:b/>
              </w:rPr>
              <w:t>.562</w:t>
            </w:r>
          </w:p>
        </w:tc>
        <w:tc>
          <w:tcPr>
            <w:tcW w:type="dxa" w:w="938"/>
            <w:tcBorders>
              <w:top w:sz="3.200000000000273"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32" w:right="0" w:firstLine="0"/>
              <w:jc w:val="left"/>
            </w:pPr>
            <w:r>
              <w:rPr>
                <w:spacing w:val="-0.4124999195337864"/>
                <w:rFonts w:ascii="Times NR MT Pro" w:hAnsi="Times NR MT Pro" w:eastAsia="Times NR MT Pro"/>
                <w:i w:val="0"/>
                <w:color w:val="000000"/>
                <w:sz w:val="15"/>
                <w:b/>
              </w:rPr>
              <w:t>11.7</w:t>
            </w:r>
          </w:p>
        </w:tc>
        <w:tc>
          <w:tcPr>
            <w:tcW w:type="dxa" w:w="934"/>
            <w:tcBorders>
              <w:top w:sz="3.200000000000273"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32" w:right="0" w:firstLine="0"/>
              <w:jc w:val="left"/>
            </w:pPr>
            <w:r>
              <w:rPr>
                <w:spacing w:val="-0.912499919533758"/>
                <w:rFonts w:ascii="Times NR MT Pro" w:hAnsi="Times NR MT Pro" w:eastAsia="Times NR MT Pro"/>
                <w:i w:val="0"/>
                <w:color w:val="000000"/>
                <w:sz w:val="15"/>
                <w:b/>
              </w:rPr>
              <w:t>.950</w:t>
            </w:r>
          </w:p>
        </w:tc>
        <w:tc>
          <w:tcPr>
            <w:tcW w:type="dxa" w:w="936"/>
            <w:tcBorders>
              <w:top w:sz="3.200000000000273"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30" w:right="0" w:firstLine="0"/>
              <w:jc w:val="left"/>
            </w:pPr>
            <w:r>
              <w:rPr>
                <w:spacing w:val="-0.4124999195336443"/>
                <w:rFonts w:ascii="Times NR MT Pro" w:hAnsi="Times NR MT Pro" w:eastAsia="Times NR MT Pro"/>
                <w:i w:val="0"/>
                <w:color w:val="000000"/>
                <w:sz w:val="15"/>
                <w:b/>
              </w:rPr>
              <w:t>.928</w:t>
            </w:r>
          </w:p>
        </w:tc>
        <w:tc>
          <w:tcPr>
            <w:tcW w:type="dxa" w:w="936"/>
            <w:tcBorders>
              <w:top w:sz="3.200000000000273"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32" w:right="0" w:firstLine="0"/>
              <w:jc w:val="left"/>
            </w:pPr>
            <w:r>
              <w:rPr>
                <w:spacing w:val="-0.9124999195336159"/>
                <w:rFonts w:ascii="Times NR MT Pro" w:hAnsi="Times NR MT Pro" w:eastAsia="Times NR MT Pro"/>
                <w:i w:val="0"/>
                <w:color w:val="000000"/>
                <w:sz w:val="15"/>
                <w:b/>
              </w:rPr>
              <w:t>.977</w:t>
            </w:r>
          </w:p>
        </w:tc>
        <w:tc>
          <w:tcPr>
            <w:tcW w:type="dxa" w:w="936"/>
            <w:tcBorders>
              <w:top w:sz="3.200000000000273"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34" w:right="0" w:firstLine="0"/>
              <w:jc w:val="left"/>
            </w:pPr>
            <w:r>
              <w:rPr>
                <w:spacing w:val="-0.9124999195339001"/>
                <w:rFonts w:ascii="Times NR MT Pro" w:hAnsi="Times NR MT Pro" w:eastAsia="Times NR MT Pro"/>
                <w:i w:val="0"/>
                <w:color w:val="000000"/>
                <w:sz w:val="15"/>
                <w:b/>
              </w:rPr>
              <w:t>.923</w:t>
            </w:r>
          </w:p>
        </w:tc>
        <w:tc>
          <w:tcPr>
            <w:tcW w:type="dxa" w:w="938"/>
            <w:tcBorders>
              <w:top w:sz="3.200000000000273"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6" w:after="0"/>
              <w:ind w:left="334" w:right="0" w:firstLine="0"/>
              <w:jc w:val="left"/>
            </w:pPr>
            <w:r>
              <w:rPr>
                <w:spacing w:val="-0.9124999195339001"/>
                <w:rFonts w:ascii="Times NR MT Pro" w:hAnsi="Times NR MT Pro" w:eastAsia="Times NR MT Pro"/>
                <w:i w:val="0"/>
                <w:color w:val="000000"/>
                <w:sz w:val="15"/>
                <w:b/>
              </w:rPr>
              <w:t>.951</w:t>
            </w:r>
          </w:p>
        </w:tc>
        <w:tc>
          <w:tcPr>
            <w:tcW w:type="dxa" w:w="936"/>
            <w:tcBorders>
              <w:top w:sz="3.200000000000273" w:val="single" w:color="000000"/>
              <w:bottom w:sz="4.0" w:val="single" w:color="000000"/>
              <w:left w:sz="4.0" w:val="single" w:color="000000"/>
              <w:right w:sz="3.200000000000273" w:val="single" w:color="000000"/>
            </w:tcBorders>
            <w:tcMar>
              <w:start w:w="0" w:type="dxa"/>
              <w:end w:w="0" w:type="dxa"/>
            </w:tcMar>
          </w:tcPr>
          <w:p>
            <w:pPr>
              <w:autoSpaceDN w:val="0"/>
              <w:autoSpaceDE w:val="0"/>
              <w:widowControl/>
              <w:spacing w:line="166" w:lineRule="exact" w:before="6" w:after="0"/>
              <w:ind w:left="330" w:right="0" w:firstLine="0"/>
              <w:jc w:val="left"/>
            </w:pPr>
            <w:r>
              <w:rPr>
                <w:spacing w:val="-0.9124999195336159"/>
                <w:rFonts w:ascii="Times NR MT Pro" w:hAnsi="Times NR MT Pro" w:eastAsia="Times NR MT Pro"/>
                <w:i w:val="0"/>
                <w:color w:val="000000"/>
                <w:sz w:val="15"/>
                <w:b/>
              </w:rPr>
              <w:t>.988</w:t>
            </w:r>
          </w:p>
        </w:tc>
        <w:tc>
          <w:tcPr>
            <w:tcW w:type="dxa" w:w="936"/>
            <w:tcBorders>
              <w:top w:sz="3.200000000000273" w:val="single" w:color="000000"/>
              <w:bottom w:sz="4.0" w:val="single" w:color="000000"/>
              <w:left w:sz="3.200000000000273" w:val="single" w:color="000000"/>
              <w:right w:sz="3.199999999999818" w:val="single" w:color="000000"/>
            </w:tcBorders>
            <w:tcMar>
              <w:start w:w="0" w:type="dxa"/>
              <w:end w:w="0" w:type="dxa"/>
            </w:tcMar>
          </w:tcPr>
          <w:p>
            <w:pPr>
              <w:autoSpaceDN w:val="0"/>
              <w:autoSpaceDE w:val="0"/>
              <w:widowControl/>
              <w:spacing w:line="166" w:lineRule="exact" w:before="6" w:after="0"/>
              <w:ind w:left="332" w:right="0" w:firstLine="0"/>
              <w:jc w:val="left"/>
            </w:pPr>
            <w:r>
              <w:rPr>
                <w:spacing w:val="-0.9124999195336159"/>
                <w:rFonts w:ascii="Times NR MT Pro" w:hAnsi="Times NR MT Pro" w:eastAsia="Times NR MT Pro"/>
                <w:i w:val="0"/>
                <w:color w:val="000000"/>
                <w:sz w:val="15"/>
                <w:b/>
              </w:rPr>
              <w:t>.902</w:t>
            </w:r>
          </w:p>
        </w:tc>
      </w:tr>
      <w:tr>
        <w:trPr>
          <w:trHeight w:hRule="exact" w:val="356"/>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pPr>
              <w:autoSpaceDN w:val="0"/>
              <w:autoSpaceDE w:val="0"/>
              <w:widowControl/>
              <w:spacing w:line="168" w:lineRule="exact" w:before="2" w:after="0"/>
              <w:ind w:left="104" w:right="0" w:firstLine="0"/>
              <w:jc w:val="left"/>
            </w:pPr>
            <w:r>
              <w:rPr>
                <w:spacing w:val="-3.75"/>
                <w:rFonts w:ascii="Times NR MT Pro" w:hAnsi="Times NR MT Pro" w:eastAsia="Times NR MT Pro"/>
                <w:i w:val="0"/>
                <w:color w:val="000000"/>
                <w:sz w:val="15"/>
              </w:rPr>
              <w:t xml:space="preserve">Grad. Boosting</w:t>
            </w:r>
          </w:p>
          <w:p>
            <w:pPr>
              <w:autoSpaceDN w:val="0"/>
              <w:autoSpaceDE w:val="0"/>
              <w:widowControl/>
              <w:spacing w:line="166" w:lineRule="exact" w:before="6" w:after="0"/>
              <w:ind w:left="104" w:right="0" w:firstLine="0"/>
              <w:jc w:val="left"/>
            </w:pPr>
            <w:r>
              <w:rPr>
                <w:spacing w:val="-3.75"/>
                <w:rFonts w:ascii="Times NR MT Pro" w:hAnsi="Times NR MT Pro" w:eastAsia="Times NR MT Pro"/>
                <w:i w:val="0"/>
                <w:color w:val="000000"/>
                <w:sz w:val="15"/>
              </w:rPr>
              <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28" w:right="0" w:firstLine="0"/>
              <w:jc w:val="left"/>
            </w:pPr>
            <w:r>
              <w:rPr>
                <w:spacing w:val="-0.41249991953371534"/>
                <w:rFonts w:ascii="Times NR MT Pro" w:hAnsi="Times NR MT Pro" w:eastAsia="Times NR MT Pro"/>
                <w:i w:val="0"/>
                <w:color w:val="000000"/>
                <w:sz w:val="15"/>
              </w:rPr>
              <w:t>.555</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4124999195337864"/>
                <w:rFonts w:ascii="Times NR MT Pro" w:hAnsi="Times NR MT Pro" w:eastAsia="Times NR MT Pro"/>
                <w:i w:val="0"/>
                <w:color w:val="000000"/>
                <w:sz w:val="15"/>
              </w:rPr>
              <w:t>11.8</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758"/>
                <w:rFonts w:ascii="Times NR MT Pro" w:hAnsi="Times NR MT Pro" w:eastAsia="Times NR MT Pro"/>
                <w:i w:val="0"/>
                <w:color w:val="000000"/>
                <w:sz w:val="15"/>
              </w:rPr>
              <w:t>.927</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0" w:right="0" w:firstLine="0"/>
              <w:jc w:val="left"/>
            </w:pPr>
            <w:r>
              <w:rPr>
                <w:spacing w:val="-0.4124999195336443"/>
                <w:rFonts w:ascii="Times NR MT Pro" w:hAnsi="Times NR MT Pro" w:eastAsia="Times NR MT Pro"/>
                <w:i w:val="0"/>
                <w:color w:val="000000"/>
                <w:sz w:val="15"/>
              </w:rPr>
              <w:t>.896</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6159"/>
                <w:rFonts w:ascii="Times NR MT Pro" w:hAnsi="Times NR MT Pro" w:eastAsia="Times NR MT Pro"/>
                <w:i w:val="0"/>
                <w:color w:val="000000"/>
                <w:sz w:val="15"/>
              </w:rPr>
              <w:t>.969</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4" w:right="0" w:firstLine="0"/>
              <w:jc w:val="left"/>
            </w:pPr>
            <w:r>
              <w:rPr>
                <w:spacing w:val="-0.9124999195339001"/>
                <w:rFonts w:ascii="Times NR MT Pro" w:hAnsi="Times NR MT Pro" w:eastAsia="Times NR MT Pro"/>
                <w:i w:val="0"/>
                <w:color w:val="000000"/>
                <w:sz w:val="15"/>
              </w:rPr>
              <w:t>.885</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4" w:right="0" w:firstLine="0"/>
              <w:jc w:val="left"/>
            </w:pPr>
            <w:r>
              <w:rPr>
                <w:spacing w:val="-0.9124999195339001"/>
                <w:rFonts w:ascii="Times NR MT Pro" w:hAnsi="Times NR MT Pro" w:eastAsia="Times NR MT Pro"/>
                <w:i w:val="0"/>
                <w:color w:val="000000"/>
                <w:sz w:val="15"/>
              </w:rPr>
              <w:t>.930</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pPr>
              <w:autoSpaceDN w:val="0"/>
              <w:autoSpaceDE w:val="0"/>
              <w:widowControl/>
              <w:spacing w:line="168" w:lineRule="exact" w:before="2" w:after="0"/>
              <w:ind w:left="330" w:right="0" w:firstLine="0"/>
              <w:jc w:val="left"/>
            </w:pPr>
            <w:r>
              <w:rPr>
                <w:spacing w:val="-0.9124999195336159"/>
                <w:rFonts w:ascii="Times NR MT Pro" w:hAnsi="Times NR MT Pro" w:eastAsia="Times NR MT Pro"/>
                <w:i w:val="0"/>
                <w:color w:val="000000"/>
                <w:sz w:val="15"/>
              </w:rPr>
              <w:t>.981</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6159"/>
                <w:rFonts w:ascii="Times NR MT Pro" w:hAnsi="Times NR MT Pro" w:eastAsia="Times NR MT Pro"/>
                <w:i w:val="0"/>
                <w:color w:val="000000"/>
                <w:sz w:val="15"/>
              </w:rPr>
              <w:t>.858</w:t>
            </w:r>
          </w:p>
        </w:tc>
      </w:tr>
      <w:tr>
        <w:trPr>
          <w:trHeight w:hRule="exact" w:val="354"/>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pPr>
              <w:autoSpaceDN w:val="0"/>
              <w:autoSpaceDE w:val="0"/>
              <w:widowControl/>
              <w:spacing w:line="172" w:lineRule="exact" w:before="0" w:after="0"/>
              <w:ind w:left="104" w:right="144" w:firstLine="0"/>
              <w:jc w:val="left"/>
            </w:pPr>
            <w:r>
              <w:rPr>
                <w:spacing w:val="-3.75"/>
                <w:rFonts w:ascii="Times NR MT Pro" w:hAnsi="Times NR MT Pro" w:eastAsia="Times NR MT Pro"/>
                <w:i w:val="0"/>
                <w:color w:val="000000"/>
                <w:sz w:val="15"/>
              </w:rPr>
              <w:t xml:space="preserve">MLP Regr.</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4" w:after="0"/>
              <w:ind w:left="328" w:right="0" w:firstLine="0"/>
              <w:jc w:val="left"/>
            </w:pPr>
            <w:r>
              <w:rPr>
                <w:spacing w:val="-0.41249991953371534"/>
                <w:rFonts w:ascii="Times NR MT Pro" w:hAnsi="Times NR MT Pro" w:eastAsia="Times NR MT Pro"/>
                <w:i w:val="0"/>
                <w:color w:val="000000"/>
                <w:sz w:val="15"/>
              </w:rPr>
              <w:t>.504</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4" w:after="0"/>
              <w:ind w:left="332" w:right="0" w:firstLine="0"/>
              <w:jc w:val="left"/>
            </w:pPr>
            <w:r>
              <w:rPr>
                <w:spacing w:val="-0.4124999195337864"/>
                <w:rFonts w:ascii="Times NR MT Pro" w:hAnsi="Times NR MT Pro" w:eastAsia="Times NR MT Pro"/>
                <w:i w:val="0"/>
                <w:color w:val="000000"/>
                <w:sz w:val="15"/>
              </w:rPr>
              <w:t>12.4</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4" w:after="0"/>
              <w:ind w:left="332" w:right="0" w:firstLine="0"/>
              <w:jc w:val="left"/>
            </w:pPr>
            <w:r>
              <w:rPr>
                <w:spacing w:val="-0.912499919533758"/>
                <w:rFonts w:ascii="Times NR MT Pro" w:hAnsi="Times NR MT Pro" w:eastAsia="Times NR MT Pro"/>
                <w:i w:val="0"/>
                <w:color w:val="000000"/>
                <w:sz w:val="15"/>
              </w:rPr>
              <w:t>.908</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4" w:after="0"/>
              <w:ind w:left="330" w:right="0" w:firstLine="0"/>
              <w:jc w:val="left"/>
            </w:pPr>
            <w:r>
              <w:rPr>
                <w:spacing w:val="-0.4124999195336443"/>
                <w:rFonts w:ascii="Times NR MT Pro" w:hAnsi="Times NR MT Pro" w:eastAsia="Times NR MT Pro"/>
                <w:i w:val="0"/>
                <w:color w:val="000000"/>
                <w:sz w:val="15"/>
              </w:rPr>
              <w:t>.895</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4" w:after="0"/>
              <w:ind w:left="332" w:right="0" w:firstLine="0"/>
              <w:jc w:val="left"/>
            </w:pPr>
            <w:r>
              <w:rPr>
                <w:spacing w:val="-0.9124999195336159"/>
                <w:rFonts w:ascii="Times NR MT Pro" w:hAnsi="Times NR MT Pro" w:eastAsia="Times NR MT Pro"/>
                <w:i w:val="0"/>
                <w:color w:val="000000"/>
                <w:sz w:val="15"/>
              </w:rPr>
              <w:t>.923</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4" w:after="0"/>
              <w:ind w:left="334" w:right="0" w:firstLine="0"/>
              <w:jc w:val="left"/>
            </w:pPr>
            <w:r>
              <w:rPr>
                <w:spacing w:val="-0.9124999195339001"/>
                <w:rFonts w:ascii="Times NR MT Pro" w:hAnsi="Times NR MT Pro" w:eastAsia="Times NR MT Pro"/>
                <w:i w:val="0"/>
                <w:color w:val="000000"/>
                <w:sz w:val="15"/>
              </w:rPr>
              <w:t>.892</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6" w:lineRule="exact" w:before="4" w:after="0"/>
              <w:ind w:left="334" w:right="0" w:firstLine="0"/>
              <w:jc w:val="left"/>
            </w:pPr>
            <w:r>
              <w:rPr>
                <w:spacing w:val="-0.9124999195339001"/>
                <w:rFonts w:ascii="Times NR MT Pro" w:hAnsi="Times NR MT Pro" w:eastAsia="Times NR MT Pro"/>
                <w:i w:val="0"/>
                <w:color w:val="000000"/>
                <w:sz w:val="15"/>
              </w:rPr>
              <w:t>.908</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pPr>
              <w:autoSpaceDN w:val="0"/>
              <w:autoSpaceDE w:val="0"/>
              <w:widowControl/>
              <w:spacing w:line="166" w:lineRule="exact" w:before="4" w:after="0"/>
              <w:ind w:left="330" w:right="0" w:firstLine="0"/>
              <w:jc w:val="left"/>
            </w:pPr>
            <w:r>
              <w:rPr>
                <w:spacing w:val="-0.9124999195336159"/>
                <w:rFonts w:ascii="Times NR MT Pro" w:hAnsi="Times NR MT Pro" w:eastAsia="Times NR MT Pro"/>
                <w:i w:val="0"/>
                <w:color w:val="000000"/>
                <w:sz w:val="15"/>
              </w:rPr>
              <w:t>.972</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pPr>
              <w:autoSpaceDN w:val="0"/>
              <w:autoSpaceDE w:val="0"/>
              <w:widowControl/>
              <w:spacing w:line="166" w:lineRule="exact" w:before="4" w:after="0"/>
              <w:ind w:left="332" w:right="0" w:firstLine="0"/>
              <w:jc w:val="left"/>
            </w:pPr>
            <w:r>
              <w:rPr>
                <w:spacing w:val="-0.9124999195336159"/>
                <w:rFonts w:ascii="Times NR MT Pro" w:hAnsi="Times NR MT Pro" w:eastAsia="Times NR MT Pro"/>
                <w:i w:val="0"/>
                <w:color w:val="000000"/>
                <w:sz w:val="15"/>
              </w:rPr>
              <w:t>.817</w:t>
            </w:r>
          </w:p>
        </w:tc>
      </w:tr>
      <w:tr>
        <w:trPr>
          <w:trHeight w:hRule="exact" w:val="356"/>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pPr>
              <w:autoSpaceDN w:val="0"/>
              <w:autoSpaceDE w:val="0"/>
              <w:widowControl/>
              <w:spacing w:line="172" w:lineRule="exact" w:before="0" w:after="0"/>
              <w:ind w:left="104" w:right="144" w:firstLine="0"/>
              <w:jc w:val="left"/>
            </w:pPr>
            <w:r>
              <w:rPr>
                <w:spacing w:val="-3.75"/>
                <w:rFonts w:ascii="Times NR MT Pro" w:hAnsi="Times NR MT Pro" w:eastAsia="Times NR MT Pro"/>
                <w:i w:val="0"/>
                <w:color w:val="000000"/>
                <w:sz w:val="15"/>
              </w:rPr>
              <w:t xml:space="preserve">Random Forest</w:t>
            </w:r>
            <w:r>
              <w:rPr/>
              <w:br/>
            </w:r>
            <w:r>
              <w:rPr>
                <w:spacing w:val="-3.75"/>
                <w:rFonts w:ascii="Times NR MT Pro" w:hAnsi="Times NR MT Pro" w:eastAsia="Times NR MT Pro"/>
                <w:i w:val="0"/>
                <w:color w:val="000000"/>
                <w:sz w:val="15"/>
              </w:rPr>
              <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28" w:right="0" w:firstLine="0"/>
              <w:jc w:val="left"/>
            </w:pPr>
            <w:r>
              <w:rPr>
                <w:spacing w:val="-0.41249991953371534"/>
                <w:rFonts w:ascii="Times NR MT Pro" w:hAnsi="Times NR MT Pro" w:eastAsia="Times NR MT Pro"/>
                <w:i w:val="0"/>
                <w:color w:val="000000"/>
                <w:sz w:val="15"/>
              </w:rPr>
              <w:t>.504</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4124999195337864"/>
                <w:rFonts w:ascii="Times NR MT Pro" w:hAnsi="Times NR MT Pro" w:eastAsia="Times NR MT Pro"/>
                <w:i w:val="0"/>
                <w:color w:val="000000"/>
                <w:sz w:val="15"/>
              </w:rPr>
              <w:t>12.4</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758"/>
                <w:rFonts w:ascii="Times NR MT Pro" w:hAnsi="Times NR MT Pro" w:eastAsia="Times NR MT Pro"/>
                <w:i w:val="0"/>
                <w:color w:val="000000"/>
                <w:sz w:val="15"/>
              </w:rPr>
              <w:t>.896</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0" w:right="0" w:firstLine="0"/>
              <w:jc w:val="left"/>
            </w:pPr>
            <w:r>
              <w:rPr>
                <w:spacing w:val="-0.4124999195336443"/>
                <w:rFonts w:ascii="Times NR MT Pro" w:hAnsi="Times NR MT Pro" w:eastAsia="Times NR MT Pro"/>
                <w:i w:val="0"/>
                <w:color w:val="000000"/>
                <w:sz w:val="15"/>
              </w:rPr>
              <w:t>.878</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6159"/>
                <w:rFonts w:ascii="Times NR MT Pro" w:hAnsi="Times NR MT Pro" w:eastAsia="Times NR MT Pro"/>
                <w:i w:val="0"/>
                <w:color w:val="000000"/>
                <w:sz w:val="15"/>
              </w:rPr>
              <w:t>.923</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4" w:right="0" w:firstLine="0"/>
              <w:jc w:val="left"/>
            </w:pPr>
            <w:r>
              <w:rPr>
                <w:spacing w:val="-0.9124999195339001"/>
                <w:rFonts w:ascii="Times NR MT Pro" w:hAnsi="Times NR MT Pro" w:eastAsia="Times NR MT Pro"/>
                <w:i w:val="0"/>
                <w:color w:val="000000"/>
                <w:sz w:val="15"/>
              </w:rPr>
              <w:t>.869</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4" w:right="0" w:firstLine="0"/>
              <w:jc w:val="left"/>
            </w:pPr>
            <w:r>
              <w:rPr>
                <w:spacing w:val="-0.9124999195339001"/>
                <w:rFonts w:ascii="Times NR MT Pro" w:hAnsi="Times NR MT Pro" w:eastAsia="Times NR MT Pro"/>
                <w:i w:val="0"/>
                <w:color w:val="000000"/>
                <w:sz w:val="15"/>
              </w:rPr>
              <w:t>.899</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pPr>
              <w:autoSpaceDN w:val="0"/>
              <w:autoSpaceDE w:val="0"/>
              <w:widowControl/>
              <w:spacing w:line="168" w:lineRule="exact" w:before="2" w:after="0"/>
              <w:ind w:left="330" w:right="0" w:firstLine="0"/>
              <w:jc w:val="left"/>
            </w:pPr>
            <w:r>
              <w:rPr>
                <w:spacing w:val="-0.9124999195336159"/>
                <w:rFonts w:ascii="Times NR MT Pro" w:hAnsi="Times NR MT Pro" w:eastAsia="Times NR MT Pro"/>
                <w:i w:val="0"/>
                <w:color w:val="000000"/>
                <w:sz w:val="15"/>
              </w:rPr>
              <w:t>.967</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6159"/>
                <w:rFonts w:ascii="Times NR MT Pro" w:hAnsi="Times NR MT Pro" w:eastAsia="Times NR MT Pro"/>
                <w:i w:val="0"/>
                <w:color w:val="000000"/>
                <w:sz w:val="15"/>
              </w:rPr>
              <w:t>.795</w:t>
            </w:r>
          </w:p>
        </w:tc>
      </w:tr>
      <w:tr>
        <w:trPr>
          <w:trHeight w:hRule="exact" w:val="180"/>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pPr>
              <w:autoSpaceDN w:val="0"/>
              <w:autoSpaceDE w:val="0"/>
              <w:widowControl/>
              <w:spacing w:line="168" w:lineRule="exact" w:before="2" w:after="0"/>
              <w:ind w:left="104" w:right="0" w:firstLine="0"/>
              <w:jc w:val="left"/>
            </w:pPr>
            <w:r>
              <w:rPr>
                <w:spacing w:val="-3.75"/>
                <w:rFonts w:ascii="Times NR MT Pro" w:hAnsi="Times NR MT Pro" w:eastAsia="Times NR MT Pro"/>
                <w:i w:val="0"/>
                <w:color w:val="000000"/>
                <w:sz w:val="15"/>
              </w:rPr>
              <w:t>Ridge Regr.</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28" w:right="0" w:firstLine="0"/>
              <w:jc w:val="left"/>
            </w:pPr>
            <w:r>
              <w:rPr>
                <w:spacing w:val="-0.41249991953371534"/>
                <w:rFonts w:ascii="Times NR MT Pro" w:hAnsi="Times NR MT Pro" w:eastAsia="Times NR MT Pro"/>
                <w:i w:val="0"/>
                <w:color w:val="000000"/>
                <w:sz w:val="15"/>
              </w:rPr>
              <w:t>.465</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4124999195337864"/>
                <w:rFonts w:ascii="Times NR MT Pro" w:hAnsi="Times NR MT Pro" w:eastAsia="Times NR MT Pro"/>
                <w:i w:val="0"/>
                <w:color w:val="000000"/>
                <w:sz w:val="15"/>
              </w:rPr>
              <w:t>12.9</w:t>
            </w:r>
          </w:p>
        </w:tc>
        <w:tc>
          <w:tcPr>
            <w:tcW w:type="dxa" w:w="934"/>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758"/>
                <w:rFonts w:ascii="Times NR MT Pro" w:hAnsi="Times NR MT Pro" w:eastAsia="Times NR MT Pro"/>
                <w:i w:val="0"/>
                <w:color w:val="000000"/>
                <w:sz w:val="15"/>
              </w:rPr>
              <w:t>.900</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0" w:right="0" w:firstLine="0"/>
              <w:jc w:val="left"/>
            </w:pPr>
            <w:r>
              <w:rPr>
                <w:spacing w:val="-0.4124999195336443"/>
                <w:rFonts w:ascii="Times NR MT Pro" w:hAnsi="Times NR MT Pro" w:eastAsia="Times NR MT Pro"/>
                <w:i w:val="0"/>
                <w:color w:val="000000"/>
                <w:sz w:val="15"/>
              </w:rPr>
              <w:t>.895</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6159"/>
                <w:rFonts w:ascii="Times NR MT Pro" w:hAnsi="Times NR MT Pro" w:eastAsia="Times NR MT Pro"/>
                <w:i w:val="0"/>
                <w:color w:val="000000"/>
                <w:sz w:val="15"/>
              </w:rPr>
              <w:t>.915</w:t>
            </w:r>
          </w:p>
        </w:tc>
        <w:tc>
          <w:tcPr>
            <w:tcW w:type="dxa" w:w="936"/>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4" w:right="0" w:firstLine="0"/>
              <w:jc w:val="left"/>
            </w:pPr>
            <w:r>
              <w:rPr>
                <w:spacing w:val="-0.9124999195339001"/>
                <w:rFonts w:ascii="Times NR MT Pro" w:hAnsi="Times NR MT Pro" w:eastAsia="Times NR MT Pro"/>
                <w:i w:val="0"/>
                <w:color w:val="000000"/>
                <w:sz w:val="15"/>
              </w:rPr>
              <w:t>.885</w:t>
            </w:r>
          </w:p>
        </w:tc>
        <w:tc>
          <w:tcPr>
            <w:tcW w:type="dxa" w:w="938"/>
            <w:tcBorders>
              <w:top w:sz="4.0" w:val="single" w:color="000000"/>
              <w:bottom w:sz="4.0" w:val="single" w:color="000000"/>
              <w:left w:sz="4.0" w:val="single" w:color="000000"/>
              <w:right w:sz="4.0" w:val="single" w:color="000000"/>
            </w:tcBorders>
            <w:tcMar>
              <w:start w:w="0" w:type="dxa"/>
              <w:end w:w="0" w:type="dxa"/>
            </w:tcMar>
          </w:tcPr>
          <w:p>
            <w:pPr>
              <w:autoSpaceDN w:val="0"/>
              <w:autoSpaceDE w:val="0"/>
              <w:widowControl/>
              <w:spacing w:line="168" w:lineRule="exact" w:before="2" w:after="0"/>
              <w:ind w:left="334" w:right="0" w:firstLine="0"/>
              <w:jc w:val="left"/>
            </w:pPr>
            <w:r>
              <w:rPr>
                <w:spacing w:val="-0.9124999195339001"/>
                <w:rFonts w:ascii="Times NR MT Pro" w:hAnsi="Times NR MT Pro" w:eastAsia="Times NR MT Pro"/>
                <w:i w:val="0"/>
                <w:color w:val="000000"/>
                <w:sz w:val="15"/>
              </w:rPr>
              <w:t>.903</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pPr>
              <w:autoSpaceDN w:val="0"/>
              <w:autoSpaceDE w:val="0"/>
              <w:widowControl/>
              <w:spacing w:line="168" w:lineRule="exact" w:before="2" w:after="0"/>
              <w:ind w:left="330" w:right="0" w:firstLine="0"/>
              <w:jc w:val="left"/>
            </w:pPr>
            <w:r>
              <w:rPr>
                <w:spacing w:val="-0.9124999195336159"/>
                <w:rFonts w:ascii="Times NR MT Pro" w:hAnsi="Times NR MT Pro" w:eastAsia="Times NR MT Pro"/>
                <w:i w:val="0"/>
                <w:color w:val="000000"/>
                <w:sz w:val="15"/>
              </w:rPr>
              <w:t>.958</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pPr>
              <w:autoSpaceDN w:val="0"/>
              <w:autoSpaceDE w:val="0"/>
              <w:widowControl/>
              <w:spacing w:line="168" w:lineRule="exact" w:before="2" w:after="0"/>
              <w:ind w:left="332" w:right="0" w:firstLine="0"/>
              <w:jc w:val="left"/>
            </w:pPr>
            <w:r>
              <w:rPr>
                <w:spacing w:val="-0.9124999195336159"/>
                <w:rFonts w:ascii="Times NR MT Pro" w:hAnsi="Times NR MT Pro" w:eastAsia="Times NR MT Pro"/>
                <w:i w:val="0"/>
                <w:color w:val="000000"/>
                <w:sz w:val="15"/>
              </w:rPr>
              <w:t>.804</w:t>
            </w:r>
          </w:p>
        </w:tc>
      </w:tr>
      <w:tr>
        <w:trPr>
          <w:trHeight w:hRule="exact" w:val="356"/>
        </w:trPr>
        <w:tc>
          <w:tcPr>
            <w:tcW w:type="dxa" w:w="938"/>
            <w:tcBorders>
              <w:top w:sz="4.0" w:val="single" w:color="000000"/>
              <w:bottom w:sz="3.199999999999818" w:val="single" w:color="000000"/>
              <w:left w:sz="3.1999999999999886" w:val="single" w:color="000000"/>
              <w:right w:sz="4.0" w:val="single" w:color="000000"/>
            </w:tcBorders>
            <w:tcMar>
              <w:start w:w="0" w:type="dxa"/>
              <w:end w:w="0" w:type="dxa"/>
            </w:tcMar>
          </w:tcPr>
          <w:p>
            <w:pPr>
              <w:autoSpaceDN w:val="0"/>
              <w:autoSpaceDE w:val="0"/>
              <w:widowControl/>
              <w:spacing w:line="172" w:lineRule="exact" w:before="2" w:after="0"/>
              <w:ind w:left="0" w:right="288" w:firstLine="0"/>
              <w:jc w:val="center"/>
            </w:pPr>
            <w:r>
              <w:rPr>
                <w:spacing w:val="-3.75"/>
                <w:rFonts w:ascii="Times NR MT Pro" w:hAnsi="Times NR MT Pro" w:eastAsia="Times NR MT Pro"/>
                <w:i w:val="0"/>
                <w:color w:val="000000"/>
                <w:sz w:val="15"/>
              </w:rPr>
              <w:t xml:space="preserve">SVR (RBF)</w:t>
            </w:r>
            <w:r>
              <w:rPr/>
              <w:br/>
            </w:r>
            <w:r>
              <w:rPr>
                <w:spacing w:val="-3.75"/>
                <w:rFonts w:ascii="Times NR MT Pro" w:hAnsi="Times NR MT Pro" w:eastAsia="Times NR MT Pro"/>
                <w:i w:val="0"/>
                <w:color w:val="000000"/>
                <w:sz w:val="15"/>
              </w:rPr>
              <w:t/>
            </w:r>
          </w:p>
        </w:tc>
        <w:tc>
          <w:tcPr>
            <w:tcW w:type="dxa" w:w="934"/>
            <w:tcBorders>
              <w:top w:sz="4.0" w:val="single" w:color="000000"/>
              <w:bottom w:sz="3.199999999999818" w:val="single" w:color="000000"/>
              <w:left w:sz="4.0" w:val="single" w:color="000000"/>
              <w:right w:sz="4.0" w:val="single" w:color="000000"/>
            </w:tcBorders>
            <w:tcMar>
              <w:start w:w="0" w:type="dxa"/>
              <w:end w:w="0" w:type="dxa"/>
            </w:tcMar>
          </w:tcPr>
          <w:p>
            <w:pPr>
              <w:autoSpaceDN w:val="0"/>
              <w:autoSpaceDE w:val="0"/>
              <w:widowControl/>
              <w:spacing w:line="168" w:lineRule="exact" w:before="6" w:after="0"/>
              <w:ind w:left="328" w:right="0" w:firstLine="0"/>
              <w:jc w:val="left"/>
            </w:pPr>
            <w:r>
              <w:rPr>
                <w:spacing w:val="-0.41249991953371534"/>
                <w:rFonts w:ascii="Times NR MT Pro" w:hAnsi="Times NR MT Pro" w:eastAsia="Times NR MT Pro"/>
                <w:i w:val="0"/>
                <w:color w:val="000000"/>
                <w:sz w:val="15"/>
              </w:rPr>
              <w:t>.423</w:t>
            </w:r>
          </w:p>
        </w:tc>
        <w:tc>
          <w:tcPr>
            <w:tcW w:type="dxa" w:w="938"/>
            <w:tcBorders>
              <w:top w:sz="4.0" w:val="single" w:color="000000"/>
              <w:bottom w:sz="3.199999999999818" w:val="single" w:color="000000"/>
              <w:left w:sz="4.0" w:val="single" w:color="000000"/>
              <w:right w:sz="4.0" w:val="single" w:color="000000"/>
            </w:tcBorders>
            <w:tcMar>
              <w:start w:w="0" w:type="dxa"/>
              <w:end w:w="0" w:type="dxa"/>
            </w:tcMar>
          </w:tcPr>
          <w:p>
            <w:pPr>
              <w:autoSpaceDN w:val="0"/>
              <w:autoSpaceDE w:val="0"/>
              <w:widowControl/>
              <w:spacing w:line="168" w:lineRule="exact" w:before="6" w:after="0"/>
              <w:ind w:left="332" w:right="0" w:firstLine="0"/>
              <w:jc w:val="left"/>
            </w:pPr>
            <w:r>
              <w:rPr>
                <w:spacing w:val="-0.4124999195337864"/>
                <w:rFonts w:ascii="Times NR MT Pro" w:hAnsi="Times NR MT Pro" w:eastAsia="Times NR MT Pro"/>
                <w:i w:val="0"/>
                <w:color w:val="000000"/>
                <w:sz w:val="15"/>
              </w:rPr>
              <w:t>13.4</w:t>
            </w:r>
          </w:p>
        </w:tc>
        <w:tc>
          <w:tcPr>
            <w:tcW w:type="dxa" w:w="934"/>
            <w:tcBorders>
              <w:top w:sz="4.0" w:val="single" w:color="000000"/>
              <w:bottom w:sz="3.199999999999818" w:val="single" w:color="000000"/>
              <w:left w:sz="4.0" w:val="single" w:color="000000"/>
              <w:right w:sz="4.0" w:val="single" w:color="000000"/>
            </w:tcBorders>
            <w:tcMar>
              <w:start w:w="0" w:type="dxa"/>
              <w:end w:w="0" w:type="dxa"/>
            </w:tcMar>
          </w:tcPr>
          <w:p>
            <w:pPr>
              <w:autoSpaceDN w:val="0"/>
              <w:autoSpaceDE w:val="0"/>
              <w:widowControl/>
              <w:spacing w:line="168" w:lineRule="exact" w:before="6" w:after="0"/>
              <w:ind w:left="332" w:right="0" w:firstLine="0"/>
              <w:jc w:val="left"/>
            </w:pPr>
            <w:r>
              <w:rPr>
                <w:spacing w:val="-0.912499919533758"/>
                <w:rFonts w:ascii="Times NR MT Pro" w:hAnsi="Times NR MT Pro" w:eastAsia="Times NR MT Pro"/>
                <w:i w:val="0"/>
                <w:color w:val="000000"/>
                <w:sz w:val="15"/>
              </w:rPr>
              <w:t>.873</w:t>
            </w:r>
          </w:p>
        </w:tc>
        <w:tc>
          <w:tcPr>
            <w:tcW w:type="dxa" w:w="936"/>
            <w:tcBorders>
              <w:top w:sz="4.0" w:val="single" w:color="000000"/>
              <w:bottom w:sz="3.199999999999818" w:val="single" w:color="000000"/>
              <w:left w:sz="4.0" w:val="single" w:color="000000"/>
              <w:right w:sz="4.0" w:val="single" w:color="000000"/>
            </w:tcBorders>
            <w:tcMar>
              <w:start w:w="0" w:type="dxa"/>
              <w:end w:w="0" w:type="dxa"/>
            </w:tcMar>
          </w:tcPr>
          <w:p>
            <w:pPr>
              <w:autoSpaceDN w:val="0"/>
              <w:autoSpaceDE w:val="0"/>
              <w:widowControl/>
              <w:spacing w:line="168" w:lineRule="exact" w:before="6" w:after="0"/>
              <w:ind w:left="330" w:right="0" w:firstLine="0"/>
              <w:jc w:val="left"/>
            </w:pPr>
            <w:r>
              <w:rPr>
                <w:spacing w:val="-0.4124999195336443"/>
                <w:rFonts w:ascii="Times NR MT Pro" w:hAnsi="Times NR MT Pro" w:eastAsia="Times NR MT Pro"/>
                <w:i w:val="0"/>
                <w:color w:val="000000"/>
                <w:sz w:val="15"/>
              </w:rPr>
              <w:t>.871</w:t>
            </w:r>
          </w:p>
        </w:tc>
        <w:tc>
          <w:tcPr>
            <w:tcW w:type="dxa" w:w="936"/>
            <w:tcBorders>
              <w:top w:sz="4.0" w:val="single" w:color="000000"/>
              <w:bottom w:sz="3.199999999999818" w:val="single" w:color="000000"/>
              <w:left w:sz="4.0" w:val="single" w:color="000000"/>
              <w:right w:sz="4.0" w:val="single" w:color="000000"/>
            </w:tcBorders>
            <w:tcMar>
              <w:start w:w="0" w:type="dxa"/>
              <w:end w:w="0" w:type="dxa"/>
            </w:tcMar>
          </w:tcPr>
          <w:p>
            <w:pPr>
              <w:autoSpaceDN w:val="0"/>
              <w:autoSpaceDE w:val="0"/>
              <w:widowControl/>
              <w:spacing w:line="168" w:lineRule="exact" w:before="6" w:after="0"/>
              <w:ind w:left="332" w:right="0" w:firstLine="0"/>
              <w:jc w:val="left"/>
            </w:pPr>
            <w:r>
              <w:rPr>
                <w:spacing w:val="-0.9124999195336159"/>
                <w:rFonts w:ascii="Times NR MT Pro" w:hAnsi="Times NR MT Pro" w:eastAsia="Times NR MT Pro"/>
                <w:i w:val="0"/>
                <w:color w:val="000000"/>
                <w:sz w:val="15"/>
              </w:rPr>
              <w:t>.877</w:t>
            </w:r>
          </w:p>
        </w:tc>
        <w:tc>
          <w:tcPr>
            <w:tcW w:type="dxa" w:w="936"/>
            <w:tcBorders>
              <w:top w:sz="4.0" w:val="single" w:color="000000"/>
              <w:bottom w:sz="3.199999999999818" w:val="single" w:color="000000"/>
              <w:left w:sz="4.0" w:val="single" w:color="000000"/>
              <w:right w:sz="4.0" w:val="single" w:color="000000"/>
            </w:tcBorders>
            <w:tcMar>
              <w:start w:w="0" w:type="dxa"/>
              <w:end w:w="0" w:type="dxa"/>
            </w:tcMar>
          </w:tcPr>
          <w:p>
            <w:pPr>
              <w:autoSpaceDN w:val="0"/>
              <w:autoSpaceDE w:val="0"/>
              <w:widowControl/>
              <w:spacing w:line="168" w:lineRule="exact" w:before="6" w:after="0"/>
              <w:ind w:left="334" w:right="0" w:firstLine="0"/>
              <w:jc w:val="left"/>
            </w:pPr>
            <w:r>
              <w:rPr>
                <w:spacing w:val="-0.9124999195339001"/>
                <w:rFonts w:ascii="Times NR MT Pro" w:hAnsi="Times NR MT Pro" w:eastAsia="Times NR MT Pro"/>
                <w:i w:val="0"/>
                <w:color w:val="000000"/>
                <w:sz w:val="15"/>
              </w:rPr>
              <w:t>.869</w:t>
            </w:r>
          </w:p>
        </w:tc>
        <w:tc>
          <w:tcPr>
            <w:tcW w:type="dxa" w:w="938"/>
            <w:tcBorders>
              <w:top w:sz="4.0" w:val="single" w:color="000000"/>
              <w:bottom w:sz="3.199999999999818" w:val="single" w:color="000000"/>
              <w:left w:sz="4.0" w:val="single" w:color="000000"/>
              <w:right w:sz="4.0" w:val="single" w:color="000000"/>
            </w:tcBorders>
            <w:tcMar>
              <w:start w:w="0" w:type="dxa"/>
              <w:end w:w="0" w:type="dxa"/>
            </w:tcMar>
          </w:tcPr>
          <w:p>
            <w:pPr>
              <w:autoSpaceDN w:val="0"/>
              <w:autoSpaceDE w:val="0"/>
              <w:widowControl/>
              <w:spacing w:line="168" w:lineRule="exact" w:before="6" w:after="0"/>
              <w:ind w:left="334" w:right="0" w:firstLine="0"/>
              <w:jc w:val="left"/>
            </w:pPr>
            <w:r>
              <w:rPr>
                <w:spacing w:val="-0.9124999195339001"/>
                <w:rFonts w:ascii="Times NR MT Pro" w:hAnsi="Times NR MT Pro" w:eastAsia="Times NR MT Pro"/>
                <w:i w:val="0"/>
                <w:color w:val="000000"/>
                <w:sz w:val="15"/>
              </w:rPr>
              <w:t>.873</w:t>
            </w:r>
          </w:p>
        </w:tc>
        <w:tc>
          <w:tcPr>
            <w:tcW w:type="dxa" w:w="936"/>
            <w:tcBorders>
              <w:top w:sz="4.0" w:val="single" w:color="000000"/>
              <w:bottom w:sz="3.199999999999818" w:val="single" w:color="000000"/>
              <w:left w:sz="4.0" w:val="single" w:color="000000"/>
              <w:right w:sz="3.200000000000273" w:val="single" w:color="000000"/>
            </w:tcBorders>
            <w:tcMar>
              <w:start w:w="0" w:type="dxa"/>
              <w:end w:w="0" w:type="dxa"/>
            </w:tcMar>
          </w:tcPr>
          <w:p>
            <w:pPr>
              <w:autoSpaceDN w:val="0"/>
              <w:autoSpaceDE w:val="0"/>
              <w:widowControl/>
              <w:spacing w:line="168" w:lineRule="exact" w:before="6" w:after="0"/>
              <w:ind w:left="330" w:right="0" w:firstLine="0"/>
              <w:jc w:val="left"/>
            </w:pPr>
            <w:r>
              <w:rPr>
                <w:spacing w:val="-0.9124999195336159"/>
                <w:rFonts w:ascii="Times NR MT Pro" w:hAnsi="Times NR MT Pro" w:eastAsia="Times NR MT Pro"/>
                <w:i w:val="0"/>
                <w:color w:val="000000"/>
                <w:sz w:val="15"/>
              </w:rPr>
              <w:t>.946</w:t>
            </w:r>
          </w:p>
        </w:tc>
        <w:tc>
          <w:tcPr>
            <w:tcW w:type="dxa" w:w="936"/>
            <w:tcBorders>
              <w:top w:sz="4.0" w:val="single" w:color="000000"/>
              <w:bottom w:sz="3.199999999999818" w:val="single" w:color="000000"/>
              <w:left w:sz="3.200000000000273" w:val="single" w:color="000000"/>
              <w:right w:sz="3.199999999999818" w:val="single" w:color="000000"/>
            </w:tcBorders>
            <w:tcMar>
              <w:start w:w="0" w:type="dxa"/>
              <w:end w:w="0" w:type="dxa"/>
            </w:tcMar>
          </w:tcPr>
          <w:p>
            <w:pPr>
              <w:autoSpaceDN w:val="0"/>
              <w:autoSpaceDE w:val="0"/>
              <w:widowControl/>
              <w:spacing w:line="168" w:lineRule="exact" w:before="6" w:after="0"/>
              <w:ind w:left="332" w:right="0" w:firstLine="0"/>
              <w:jc w:val="left"/>
            </w:pPr>
            <w:r>
              <w:rPr>
                <w:spacing w:val="-0.9124999195336159"/>
                <w:rFonts w:ascii="Times NR MT Pro" w:hAnsi="Times NR MT Pro" w:eastAsia="Times NR MT Pro"/>
                <w:i w:val="0"/>
                <w:color w:val="000000"/>
                <w:sz w:val="15"/>
              </w:rPr>
              <w:t>.748</w:t>
            </w:r>
          </w:p>
        </w:tc>
      </w:tr>
    </w:tbl>
    <w:p>
      <w:pPr>
        <w:autoSpaceDN w:val="0"/>
        <w:autoSpaceDE w:val="0"/>
        <w:widowControl/>
        <w:spacing w:line="230" w:lineRule="exact" w:before="406" w:after="0"/>
        <w:ind w:left="112" w:right="20" w:firstLine="0"/>
        <w:jc w:val="both"/>
      </w:pPr>
      <w:r>
        <w:rPr>
          <w:spacing w:val="4.5"/>
          <w:rFonts w:ascii="Times NR MT Pro" w:hAnsi="Times NR MT Pro" w:eastAsia="Times NR MT Pro"/>
          <w:b w:val="0"/>
          <w:i w:val="0"/>
          <w:color w:val="000000"/>
          <w:sz w:val="18"/>
        </w:rPr>
        <w:t xml:space="preserve">Fig. 1 lays all seven metrics out together. Because the target is a continuous success score, the regression metrics come first, and there XGBoost holds the best R² and RMSE; it also has the best AUC-ROC and the best value on every derived classification metric. Gradient Boosting is a close second (R² = 0.555) but needs roughly four times the training time. The pooled confusion matrices in Fig. 4 show XGBoost (95.0%) and Gradient Boosting (92.7%) clearing 90% accuracy at telling eventual hits from flops, while Random Forest reaches 89.6%.</w:t>
      </w:r>
      <w:r>
        <w:rPr>
          <w:spacing w:val="1.2259383546188474"/>
          <w:rFonts w:ascii="Times NR MT Pro" w:hAnsi="Times NR MT Pro" w:eastAsia="Times NR MT Pro"/>
          <w:b w:val="0"/>
          <w:i w:val="0"/>
          <w:color w:val="000000"/>
          <w:sz w:val="18"/>
        </w:rPr>
        <w:t xml:space="preserve"/>
      </w:r>
      <w:r>
        <w:rPr>
          <w:spacing w:val="0.7931256070733046"/>
          <w:rFonts w:ascii="Times NR MT Pro" w:hAnsi="Times NR MT Pro" w:eastAsia="Times NR MT Pro"/>
          <w:b w:val="0"/>
          <w:i w:val="0"/>
          <w:color w:val="000000"/>
          <w:sz w:val="18"/>
        </w:rPr>
        <w:t/>
      </w:r>
    </w:p>
    <w:p>
      <w:pPr>
        <w:sectPr>
          <w:pgSz w:w="12240" w:h="15840"/>
          <w:pgMar w:top="1088" w:right="1010" w:bottom="1440" w:left="968" w:header="720" w:footer="720" w:gutter="0"/>
          <w:cols w:num="1" w:equalWidth="0">
            <w:col w:w="10262" w:space="0"/>
          </w:cols>
          <w:docGrid w:linePitch="360"/>
        </w:sectPr>
      </w:pPr>
    </w:p>
    <w:p>
      <w:pPr>
        <w:autoSpaceDN w:val="0"/>
        <w:autoSpaceDE w:val="0"/>
        <w:widowControl/>
        <w:spacing w:line="132" w:lineRule="exact" w:before="0" w:after="0"/>
        <w:ind w:left="0" w:right="0"/>
      </w:pP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8385809</wp:posOffset>
                </wp:positionV>
                <wp:extent cx="6426200" cy="250190"/>
                <wp:wrapNone/>
                <wp:docPr id="12" name="Text Box 12"/>
                <wp:cNvGraphicFramePr>
                  <a:graphicFrameLocks noChangeAspect="1"/>
                </wp:cNvGraphicFramePr>
                <a:graphic>
                  <a:graphicData uri="http://schemas.microsoft.com/office/word/2010/wordprocessingShape">
                    <wps:wsp>
                      <wps:cNvSpPr txBox="1">
                        <a:spLocks noChangeArrowheads="1"/>
                      </wps:cNvSpPr>
                      <wps:spPr bwMode="auto">
                        <a:xfrm>
                          <a:off x="0" y="0"/>
                          <a:ext cx="6426200" cy="25019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3708400</wp:posOffset>
                </wp:positionV>
                <wp:extent cx="6426200" cy="368300"/>
                <wp:wrapNone/>
                <wp:docPr id="13" name="Text Box 13"/>
                <wp:cNvGraphicFramePr>
                  <a:graphicFrameLocks noChangeAspect="1"/>
                </wp:cNvGraphicFramePr>
                <a:graphic>
                  <a:graphicData uri="http://schemas.microsoft.com/office/word/2010/wordprocessingShape">
                    <wps:wsp>
                      <wps:cNvSpPr txBox="1">
                        <a:spLocks noChangeArrowheads="1"/>
                      </wps:cNvSpPr>
                      <wps:spPr bwMode="auto">
                        <a:xfrm>
                          <a:off x="0" y="0"/>
                          <a:ext cx="6426200" cy="368300"/>
                        </a:xfrm>
                        <a:prstGeom prst="rect"/>
                        <a:ln>
                          <a:no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wp:posOffset>
                </wp:positionH>
                <wp:positionV relativeFrom="page">
                  <wp:posOffset>3901440</wp:posOffset>
                </wp:positionV>
                <wp:extent cx="6230620" cy="113030"/>
                <wp:wrapNone/>
                <wp:docPr id="14" name="Text Box 14"/>
                <wp:cNvGraphicFramePr>
                  <a:graphicFrameLocks noChangeAspect="1"/>
                </wp:cNvGraphicFramePr>
                <a:graphic>
                  <a:graphicData uri="http://schemas.microsoft.com/office/word/2010/wordprocessingShape">
                    <wps:wsp>
                      <wps:cNvSpPr txBox="1">
                        <a:spLocks noChangeArrowheads="1"/>
                      </wps:cNvSpPr>
                      <wps:spPr bwMode="auto">
                        <a:xfrm>
                          <a:off x="0" y="0"/>
                          <a:ext cx="6230620" cy="11303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1188720</wp:posOffset>
                </wp:positionH>
                <wp:positionV relativeFrom="page">
                  <wp:posOffset>685800</wp:posOffset>
                </wp:positionV>
                <wp:extent cx="5394959" cy="3055620"/>
                <wp:wrapNone/>
                <wp:docPr id="15" name="Text Box 15"/>
                <wp:cNvGraphicFramePr>
                  <a:graphicFrameLocks noChangeAspect="1"/>
                </wp:cNvGraphicFramePr>
                <a:graphic>
                  <a:graphicData uri="http://schemas.microsoft.com/office/word/2010/wordprocessingShape">
                    <wps:wsp>
                      <wps:cNvSpPr txBox="1">
                        <a:spLocks noChangeArrowheads="1"/>
                      </wps:cNvSpPr>
                      <wps:spPr bwMode="auto">
                        <a:xfrm>
                          <a:off x="0" y="0"/>
                          <a:ext cx="5394959" cy="305562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1188720</wp:posOffset>
                </wp:positionH>
                <wp:positionV relativeFrom="page">
                  <wp:posOffset>6836409</wp:posOffset>
                </wp:positionV>
                <wp:extent cx="5393689" cy="1435100"/>
                <wp:wrapNone/>
                <wp:docPr id="16" name="Text Box 16"/>
                <wp:cNvGraphicFramePr>
                  <a:graphicFrameLocks noChangeAspect="1"/>
                </wp:cNvGraphicFramePr>
                <a:graphic>
                  <a:graphicData uri="http://schemas.microsoft.com/office/word/2010/wordprocessingShape">
                    <wps:wsp>
                      <wps:cNvSpPr txBox="1">
                        <a:spLocks noChangeArrowheads="1"/>
                      </wps:cNvSpPr>
                      <wps:spPr bwMode="auto">
                        <a:xfrm>
                          <a:off x="0" y="0"/>
                          <a:ext cx="5393689" cy="14351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0" w:after="0"/>
        <w:ind w:left="792" w:right="0" w:firstLine="0"/>
        <w:jc w:val="left"/>
      </w:pPr>
      <w:r>
        <w:drawing>
          <wp:inline xmlns:a="http://schemas.openxmlformats.org/drawingml/2006/main" xmlns:pic="http://schemas.openxmlformats.org/drawingml/2006/picture">
            <wp:extent cx="5394959" cy="2432050"/>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59" cy="2432050"/>
                    </a:xfrm>
                    <a:prstGeom prst="rect"/>
                  </pic:spPr>
                </pic:pic>
              </a:graphicData>
            </a:graphic>
          </wp:inline>
        </w:drawing>
      </w:r>
    </w:p>
    <w:p>
      <w:pPr>
        <w:autoSpaceDN w:val="0"/>
        <w:autoSpaceDE w:val="0"/>
        <w:widowControl/>
        <w:spacing w:line="162" w:lineRule="exact" w:before="432" w:after="0"/>
        <w:ind w:left="0" w:right="144" w:firstLine="0"/>
        <w:jc w:val="left"/>
      </w:pPr>
      <w:r>
        <w:rPr>
          <w:spacing w:val="3.5"/>
          <w:rFonts w:ascii="Times New Roman" w:hAnsi="Times New Roman" w:eastAsia="Times New Roman"/>
          <w:b w:val="0"/>
          <w:i w:val="0"/>
          <w:color w:val="000000"/>
          <w:sz w:val="14"/>
        </w:rPr>
        <w:t xml:space="preserve">Figure 1. All evaluation metrics across six algorithms on the standardized benchmark feature set (LLM-derived aspect means/mention rates + brand tier; price and category excluded; 5-fold CV, n=631)</w:t>
      </w:r>
      <w:r>
        <w:rPr>
          <w:spacing w:val="1.2212374726521646"/>
          <w:rFonts w:ascii="Times New Roman" w:hAnsi="Times New Roman" w:eastAsia="Times New Roman"/>
          <w:b w:val="0"/>
          <w:i w:val="0"/>
          <w:color w:val="000000"/>
          <w:sz w:val="14"/>
        </w:rPr>
        <w:t xml:space="preserve">. Metrics: R², Accuracy, Precision, Recall, F1, AUC-ROC, MCC.</w:t>
      </w:r>
    </w:p>
    <w:p>
      <w:pPr>
        <w:autoSpaceDN w:val="0"/>
        <w:autoSpaceDE w:val="0"/>
        <w:widowControl/>
        <w:spacing w:line="240" w:lineRule="auto" w:before="126" w:after="0"/>
        <w:ind w:left="792" w:right="0" w:firstLine="0"/>
        <w:jc w:val="left"/>
      </w:pPr>
      <w:r>
        <w:drawing>
          <wp:inline xmlns:a="http://schemas.openxmlformats.org/drawingml/2006/main" xmlns:pic="http://schemas.openxmlformats.org/drawingml/2006/picture">
            <wp:extent cx="5393689" cy="2096770"/>
            <wp:docPr id="10" name="Picture 1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393689" cy="2096770"/>
                    </a:xfrm>
                    <a:prstGeom prst="rect"/>
                  </pic:spPr>
                </pic:pic>
              </a:graphicData>
            </a:graphic>
          </wp:inline>
        </w:drawing>
      </w:r>
    </w:p>
    <w:p>
      <w:pPr>
        <w:autoSpaceDN w:val="0"/>
        <w:autoSpaceDE w:val="0"/>
        <w:widowControl/>
        <w:spacing w:line="212" w:lineRule="exact" w:before="196" w:after="0"/>
        <w:ind w:left="0" w:right="0" w:firstLine="0"/>
        <w:jc w:val="center"/>
      </w:pPr>
      <w:r>
        <w:rPr>
          <w:spacing w:val="0.381476151315788"/>
          <w:rFonts w:ascii="Liberation Serif" w:hAnsi="Liberation Serif" w:eastAsia="Liberation Serif"/>
          <w:b w:val="0"/>
          <w:i/>
          <w:color w:val="000000"/>
          <w:sz w:val="16"/>
        </w:rPr>
        <w:t xml:space="preserve">Figure 2. Three-panel accuracy–efficiency trade-off: predictive accuracy (R²), training time, and error magnitude (RMSE). XGBoost leads on accuracy and error at moderate training cost (timings are hardware dependent).</w:t>
      </w:r>
      <w:r>
        <w:rPr>
          <w:spacing w:val="-0.031788793103456114"/>
          <w:rFonts w:ascii="Liberation Serif" w:hAnsi="Liberation Serif" w:eastAsia="Liberation Serif"/>
          <w:b w:val="0"/>
          <w:i/>
          <w:color w:val="000000"/>
          <w:sz w:val="16"/>
        </w:rPr>
        <w:t xml:space="preserve"/>
      </w:r>
    </w:p>
    <w:p>
      <w:pPr>
        <w:autoSpaceDN w:val="0"/>
        <w:autoSpaceDE w:val="0"/>
        <w:widowControl/>
        <w:spacing w:line="240" w:lineRule="auto" w:before="126" w:after="0"/>
        <w:ind w:left="792" w:right="0" w:firstLine="0"/>
        <w:jc w:val="left"/>
      </w:pPr>
      <w:r>
        <w:drawing>
          <wp:inline xmlns:a="http://schemas.openxmlformats.org/drawingml/2006/main" xmlns:pic="http://schemas.openxmlformats.org/drawingml/2006/picture">
            <wp:extent cx="5393689" cy="1435100"/>
            <wp:docPr id="11" name="Picture 1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393689" cy="1435100"/>
                    </a:xfrm>
                    <a:prstGeom prst="rect"/>
                  </pic:spPr>
                </pic:pic>
              </a:graphicData>
            </a:graphic>
          </wp:inline>
        </w:drawing>
      </w:r>
    </w:p>
    <w:p>
      <w:pPr>
        <w:autoSpaceDN w:val="0"/>
        <w:autoSpaceDE w:val="0"/>
        <w:widowControl/>
        <w:spacing w:line="194" w:lineRule="exact" w:before="238" w:after="0"/>
        <w:ind w:left="0" w:right="0" w:firstLine="0"/>
        <w:jc w:val="left"/>
      </w:pPr>
      <w:r>
        <w:rPr>
          <w:spacing w:val="3.5"/>
          <w:rFonts w:ascii="Times New Roman" w:hAnsi="Times New Roman" w:eastAsia="Times New Roman"/>
          <w:b w:val="0"/>
          <w:i w:val="0"/>
          <w:color w:val="000000"/>
          <w:sz w:val="14"/>
        </w:rPr>
        <w:t xml:space="preserve">Figure 3. Standardized algorithm benchmark across six algorithms on LLM-derived aspect means/mention rates + brand tier (price and category excluded).</w:t>
      </w:r>
    </w:p>
    <w:p>
      <w:pPr>
        <w:sectPr>
          <w:pgSz w:w="12240" w:h="15840"/>
          <w:pgMar w:top="1440" w:right="1062" w:bottom="1440" w:left="1080" w:header="720" w:footer="720" w:gutter="0"/>
          <w:cols w:num="1" w:equalWidth="0">
            <w:col w:w="10098" w:space="0"/>
          </w:cols>
          <w:docGrid w:linePitch="360"/>
        </w:sectPr>
      </w:pPr>
    </w:p>
    <w:p>
      <w:pPr>
        <w:autoSpaceDN w:val="0"/>
        <w:autoSpaceDE w:val="0"/>
        <w:widowControl/>
        <w:spacing w:line="240" w:lineRule="auto" w:before="0" w:after="0"/>
        <w:ind w:left="792" w:right="0" w:firstLine="0"/>
        <w:jc w:val="left"/>
      </w:pPr>
      <w:r>
        <w:drawing>
          <wp:inline xmlns:a="http://schemas.openxmlformats.org/drawingml/2006/main" xmlns:pic="http://schemas.openxmlformats.org/drawingml/2006/picture">
            <wp:extent cx="5394959" cy="1577339"/>
            <wp:docPr id="17" name="Picture 1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394959" cy="1577339"/>
                    </a:xfrm>
                    <a:prstGeom prst="rect"/>
                  </pic:spPr>
                </pic:pic>
              </a:graphicData>
            </a:graphic>
          </wp:inline>
        </w:drawing>
      </w:r>
    </w:p>
    <w:p>
      <w:pPr>
        <w:autoSpaceDN w:val="0"/>
        <w:autoSpaceDE w:val="0"/>
        <w:widowControl/>
        <w:spacing w:line="210" w:lineRule="exact" w:before="198" w:after="0"/>
        <w:ind w:left="0" w:right="0" w:firstLine="0"/>
        <w:jc w:val="center"/>
      </w:pPr>
      <w:r>
        <w:rPr>
          <w:spacing w:val="0.3553124999999985"/>
          <w:rFonts w:ascii="Liberation Serif" w:hAnsi="Liberation Serif" w:eastAsia="Liberation Serif"/>
          <w:b w:val="0"/>
          <w:i/>
          <w:color w:val="000000"/>
          <w:sz w:val="16"/>
        </w:rPr>
        <w:t xml:space="preserve">Figure 4. Aggregated confusion matrices (5-fold CV, top-20% vs. bottom-20% products; 260 pooled products). Counts and percentages for each quadrant: true negatives (flops </w:t>
      </w:r>
      <w:r>
        <w:rPr>
          <w:spacing w:val="-0.03996394230769012"/>
          <w:rFonts w:ascii="Liberation Serif" w:hAnsi="Liberation Serif" w:eastAsia="Liberation Serif"/>
          <w:b w:val="0"/>
          <w:i/>
          <w:color w:val="000000"/>
          <w:sz w:val="16"/>
        </w:rPr>
        <w:t>correctly identified), false positives, false negatives, and true positives (hits correctly identified).</w:t>
      </w:r>
    </w:p>
    <w:p>
      <w:pPr>
        <w:autoSpaceDN w:val="0"/>
        <w:autoSpaceDE w:val="0"/>
        <w:widowControl/>
        <w:spacing w:line="210" w:lineRule="exact" w:before="136" w:after="0"/>
        <w:ind w:left="0" w:right="0" w:firstLine="0"/>
        <w:jc w:val="left"/>
      </w:pPr>
      <w:r>
        <w:rPr>
          <w:spacing w:val="-1.6757429534313881"/>
          <w:rFonts w:ascii="Liberation Serif" w:hAnsi="Liberation Serif" w:eastAsia="Liberation Serif"/>
          <w:b/>
          <w:i/>
          <w:color w:val="000000"/>
          <w:sz w:val="18"/>
        </w:rPr>
        <w:t>C. Bridging: Estimating Aspects from Specifications</w:t>
      </w:r>
    </w:p>
    <w:p>
      <w:pPr>
        <w:autoSpaceDN w:val="0"/>
        <w:autoSpaceDE w:val="0"/>
        <w:widowControl/>
        <w:spacing w:line="230" w:lineRule="exact" w:before="40" w:after="0"/>
        <w:ind w:left="0" w:right="20" w:firstLine="0"/>
        <w:jc w:val="both"/>
      </w:pPr>
      <w:r>
        <w:rPr>
          <w:spacing w:val="4.5"/>
          <w:rFonts w:ascii="Times NR MT Pro" w:hAnsi="Times NR MT Pro" w:eastAsia="Times NR MT Pro"/>
          <w:b w:val="0"/>
          <w:i w:val="0"/>
          <w:color w:val="000000"/>
          <w:sz w:val="18"/>
        </w:rPr>
        <w:t xml:space="preserve">The bridging layer asks an LLM for the aspect profile a product would earn after months of real use, given nothing but its </w:t>
      </w:r>
      <w:r>
        <w:rPr>
          <w:spacing w:val="1.2636099040956392"/>
          <w:rFonts w:ascii="Times NR MT Pro" w:hAnsi="Times NR MT Pro" w:eastAsia="Times NR MT Pro"/>
          <w:b w:val="0"/>
          <w:i w:val="0"/>
          <w:color w:val="000000"/>
          <w:sz w:val="18"/>
        </w:rPr>
        <w:t xml:space="preserve">specification and a category profile: price quartiles, mean aspect scores, and the leading pain points and strengths mined from real </w:t>
      </w:r>
      <w:r>
        <w:rPr>
          <w:spacing w:val="2.2822735065763613"/>
          <w:rFonts w:ascii="Times NR MT Pro" w:hAnsi="Times NR MT Pro" w:eastAsia="Times NR MT Pro"/>
          <w:b w:val="0"/>
          <w:i w:val="0"/>
          <w:color w:val="000000"/>
          <w:sz w:val="18"/>
        </w:rPr>
        <w:t xml:space="preserve">reviews. Our first prompt believed what it read, and it failed in an instructive way. Marketing copy is optimistic by construction, </w:t>
      </w:r>
      <w:r>
        <w:rPr>
          <w:spacing w:val="0.6766165852546657"/>
          <w:rFonts w:ascii="Times NR MT Pro" w:hAnsi="Times NR MT Pro" w:eastAsia="Times NR MT Pro"/>
          <w:b w:val="0"/>
          <w:i w:val="0"/>
          <w:color w:val="000000"/>
          <w:sz w:val="18"/>
        </w:rPr>
        <w:t xml:space="preserve">selling flops and hits with equal conviction, and the predictions bunched into a narrow, rosy band. The production prompt runs on </w:t>
      </w:r>
      <w:r>
        <w:rPr>
          <w:spacing w:val="1.5880311285004403"/>
          <w:rFonts w:ascii="Times NR MT Pro" w:hAnsi="Times NR MT Pro" w:eastAsia="Times NR MT Pro"/>
          <w:b w:val="0"/>
          <w:i w:val="0"/>
          <w:color w:val="000000"/>
          <w:sz w:val="18"/>
        </w:rPr>
        <w:t xml:space="preserve">three rules of skepticism. Under adjective blindness, only verifiable facts justify a score—materials, standards, numbers, warranty </w:t>
      </w:r>
      <w:r>
        <w:rPr>
          <w:spacing w:val="1.8378797534740332"/>
          <w:rFonts w:ascii="Times NR MT Pro" w:hAnsi="Times NR MT Pro" w:eastAsia="Times NR MT Pro"/>
          <w:b w:val="0"/>
          <w:i w:val="0"/>
          <w:color w:val="000000"/>
          <w:sz w:val="18"/>
        </w:rPr>
        <w:t xml:space="preserve">terms: "powerful bass" is noise, while "50 mm drivers" is evidence. Under the absence rule, a spec that offers no concrete evidence </w:t>
      </w:r>
      <w:r>
        <w:rPr>
          <w:spacing w:val="4.5"/>
          <w:rFonts w:ascii="Times NR MT Pro" w:hAnsi="Times NR MT Pro" w:eastAsia="Times NR MT Pro"/>
          <w:b w:val="0"/>
          <w:i w:val="0"/>
          <w:color w:val="000000"/>
          <w:sz w:val="18"/>
        </w:rPr>
        <w:t xml:space="preserve">for an aspect is itself the signal, since a competent team states its strengths, so the aspect is scored below the category mean and </w:t>
      </w:r>
      <w:r>
        <w:rPr>
          <w:spacing w:val="2.3817470007472568"/>
          <w:rFonts w:ascii="Times NR MT Pro" w:hAnsi="Times NR MT Pro" w:eastAsia="Times NR MT Pro"/>
          <w:b w:val="0"/>
          <w:i w:val="0"/>
          <w:color w:val="000000"/>
          <w:sz w:val="18"/>
        </w:rPr>
        <w:t xml:space="preserve">flagged as ungrounded. Under anchor discipline, the category mean is whatever the median real product achieves, and any score </w:t>
      </w:r>
      <w:r>
        <w:rPr>
          <w:spacing w:val="-1.008922252288235"/>
          <w:rFonts w:ascii="Times NR MT Pro" w:hAnsi="Times NR MT Pro" w:eastAsia="Times NR MT Pro"/>
          <w:b w:val="0"/>
          <w:i w:val="0"/>
          <w:color w:val="000000"/>
          <w:sz w:val="18"/>
        </w:rPr>
        <w:t>more than two points above it has to point to a fact in the spec.</w:t>
      </w:r>
    </w:p>
    <w:p>
      <w:pPr>
        <w:autoSpaceDN w:val="0"/>
        <w:autoSpaceDE w:val="0"/>
        <w:widowControl/>
        <w:spacing w:line="210" w:lineRule="exact" w:before="118" w:after="0"/>
        <w:ind w:left="0" w:right="0" w:firstLine="0"/>
        <w:jc w:val="left"/>
      </w:pPr>
      <w:r>
        <w:rPr>
          <w:spacing w:val="-0.7571244673295429"/>
          <w:rFonts w:ascii="Liberation Serif" w:hAnsi="Liberation Serif" w:eastAsia="Liberation Serif"/>
          <w:b/>
          <w:i/>
          <w:color w:val="000000"/>
          <w:sz w:val="18"/>
        </w:rPr>
        <w:t>D. The Interpretability and Governance Layer</w:t>
      </w:r>
    </w:p>
    <w:p>
      <w:pPr>
        <w:autoSpaceDN w:val="0"/>
        <w:autoSpaceDE w:val="0"/>
        <w:widowControl/>
        <w:spacing w:line="240" w:lineRule="auto" w:before="42" w:after="0"/>
        <w:ind w:left="0" w:right="20" w:firstLine="0"/>
        <w:jc w:val="both"/>
      </w:pPr>
      <w:r>
        <w:rPr>
          <w:spacing w:val="2.2022908789510947"/>
          <w:rFonts w:ascii="Times NR MT Pro" w:hAnsi="Times NR MT Pro" w:eastAsia="Times NR MT Pro"/>
          <w:b w:val="0"/>
          <w:i w:val="0"/>
          <w:color w:val="000000"/>
          <w:sz w:val="18"/>
        </w:rPr>
        <w:t xml:space="preserve">Some aspects bridge more reliably than others, and rather than hide that, the system measures it directly and acts on it. For each </w:t>
      </w:r>
      <w:r>
        <w:rPr>
          <w:spacing w:val="2.2639380533864215"/>
          <w:rFonts w:ascii="Times NR MT Pro" w:hAnsi="Times NR MT Pro" w:eastAsia="Times NR MT Pro"/>
          <w:b w:val="0"/>
          <w:i w:val="0"/>
          <w:color w:val="000000"/>
          <w:sz w:val="18"/>
        </w:rPr>
        <w:t xml:space="preserve">aspect we compute the correlation between the bridged estimate and the review-derived ground truth across all bridged products </w:t>
      </w:r>
      <w:r>
        <w:rPr>
          <w:spacing w:val="1.132647879421711"/>
          <w:rFonts w:ascii="Times NR MT Pro" w:hAnsi="Times NR MT Pro" w:eastAsia="Times NR MT Pro"/>
          <w:b w:val="0"/>
          <w:i w:val="0"/>
          <w:color w:val="000000"/>
          <w:sz w:val="18"/>
        </w:rPr>
        <w:t xml:space="preserve">(the Validation section), which gives an empirical fidelity weight per aspect. A prediction's confidence is then a reliability-weighted </w:t>
      </w:r>
      <w:r>
        <w:rPr>
          <w:spacing w:val="2.6103886707808623"/>
          <w:rFonts w:ascii="Times NR MT Pro" w:hAnsi="Times NR MT Pro" w:eastAsia="Times NR MT Pro"/>
          <w:b w:val="0"/>
          <w:i w:val="0"/>
          <w:color w:val="000000"/>
          <w:sz w:val="18"/>
        </w:rPr>
        <w:t xml:space="preserve">grounded fraction: each aspect adds to confidence in proportion to how well it actually bridges, so aspects a spec cannot convey </w:t>
      </w:r>
      <w:r>
        <w:drawing>
          <wp:inline xmlns:a="http://schemas.openxmlformats.org/drawingml/2006/main" xmlns:pic="http://schemas.openxmlformats.org/drawingml/2006/picture">
            <wp:extent cx="508000" cy="139700"/>
            <wp:docPr id="18" name="Picture 1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8000" cy="139700"/>
                    </a:xfrm>
                    <a:prstGeom prst="rect"/>
                  </pic:spPr>
                </pic:pic>
              </a:graphicData>
            </a:graphic>
          </wp:inline>
        </w:drawing>
      </w:r>
      <w:r>
        <w:rPr>
          <w:spacing w:val="4.5"/>
          <w:rFonts w:ascii="Times NR MT Pro" w:hAnsi="Times NR MT Pro" w:eastAsia="Times NR MT Pro"/>
          <w:b w:val="0"/>
          <w:i w:val="0"/>
          <w:color w:val="000000"/>
          <w:sz w:val="18"/>
        </w:rPr>
        <w:t xml:space="preserve">(after-sales, r ≈ 0.07) no longer move confidence, while the high-fidelity ones (utility, durability, ease of use, build quality, </w:t>
      </w:r>
      <w:r>
        <w:rPr>
          <w:spacing w:val="1.9097019945507585"/>
          <w:rFonts w:ascii="Times NR MT Pro" w:hAnsi="Times NR MT Pro" w:eastAsia="Times NR MT Pro"/>
          <w:b w:val="0"/>
          <w:i w:val="0"/>
          <w:color w:val="000000"/>
          <w:sz w:val="18"/>
        </w:rPr>
        <w:t xml:space="preserve">reliability, all r ≈ 0.5) carry it. The same measurement sets each aspect's trust badge: STRONG (utility, ease of use, build quality, </w:t>
      </w:r>
      <w:r>
        <w:rPr>
          <w:spacing w:val="4.5"/>
          <w:rFonts w:ascii="Times NR MT Pro" w:hAnsi="Times NR MT Pro" w:eastAsia="Times NR MT Pro"/>
          <w:b w:val="0"/>
          <w:i w:val="0"/>
          <w:color w:val="000000"/>
          <w:sz w:val="18"/>
        </w:rPr>
        <w:t xml:space="preserve">durability, reliability), MODERATE (value for money, repairability), or WEAK (design appeal, after-sales). When confidence drops below a warning threshold, the interface says outright that the estimate is leaning on category averages; below a lower </w:t>
      </w:r>
      <w:r>
        <w:rPr>
          <w:spacing w:val="0.4235565476947327"/>
          <w:rFonts w:ascii="Times NR MT Pro" w:hAnsi="Times NR MT Pro" w:eastAsia="Times NR MT Pro"/>
          <w:b w:val="0"/>
          <w:i w:val="0"/>
          <w:color w:val="000000"/>
          <w:sz w:val="18"/>
        </w:rPr>
        <w:t xml:space="preserve">threshold it hides the number entirely and sends the user to the spec coach. The headline viability is rank-calibrated onto a readable </w:t>
      </w:r>
      <w:r>
        <w:rPr>
          <w:spacing w:val="-0.13639255723015578"/>
          <w:rFonts w:ascii="Times NR MT Pro" w:hAnsi="Times NR MT Pro" w:eastAsia="Times NR MT Pro"/>
          <w:b w:val="0"/>
          <w:i w:val="0"/>
          <w:color w:val="000000"/>
          <w:sz w:val="18"/>
        </w:rPr>
        <w:t>0–100 scale against a reference distribution of real products, and shown as a range rather than a false-precision decimal.</w:t>
      </w:r>
    </w:p>
    <w:p>
      <w:pPr>
        <w:autoSpaceDN w:val="0"/>
        <w:autoSpaceDE w:val="0"/>
        <w:widowControl/>
        <w:spacing w:line="240" w:lineRule="auto" w:before="110" w:after="0"/>
        <w:ind w:left="792" w:right="0" w:firstLine="0"/>
        <w:jc w:val="left"/>
      </w:pPr>
      <w:r>
        <w:drawing>
          <wp:inline xmlns:a="http://schemas.openxmlformats.org/drawingml/2006/main" xmlns:pic="http://schemas.openxmlformats.org/drawingml/2006/picture">
            <wp:extent cx="5394959" cy="3596640"/>
            <wp:docPr id="19" name="Picture 1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394959" cy="3596640"/>
                    </a:xfrm>
                    <a:prstGeom prst="rect"/>
                  </pic:spPr>
                </pic:pic>
              </a:graphicData>
            </a:graphic>
          </wp:inline>
        </w:drawing>
      </w:r>
    </w:p>
    <w:p>
      <w:pPr>
        <w:sectPr>
          <w:pgSz w:w="12240" w:h="15840"/>
          <w:pgMar w:top="1080" w:right="1010" w:bottom="1146" w:left="1080" w:header="720" w:footer="720" w:gutter="0"/>
          <w:cols w:num="1" w:equalWidth="0">
            <w:col w:w="10150" w:space="0"/>
          </w:cols>
          <w:docGrid w:linePitch="360"/>
        </w:sectPr>
      </w:pPr>
    </w:p>
    <w:p>
      <w:pPr>
        <w:autoSpaceDN w:val="0"/>
        <w:autoSpaceDE w:val="0"/>
        <w:widowControl/>
        <w:spacing w:line="196" w:lineRule="exact" w:before="0" w:after="0"/>
        <w:ind w:left="288" w:right="288" w:firstLine="0"/>
        <w:jc w:val="center"/>
      </w:pPr>
      <w:r>
        <w:rPr>
          <w:spacing w:val="0.659311655405413"/>
          <w:rFonts w:ascii="Liberation Serif" w:hAnsi="Liberation Serif" w:eastAsia="Liberation Serif"/>
          <w:b w:val="0"/>
          <w:i/>
          <w:color w:val="000000"/>
          <w:sz w:val="16"/>
        </w:rPr>
        <w:t xml:space="preserve">Figure 5. Pipeline overview across five physical categories: extraction, label engineering, feature assembly, training, category profiling, and the </w:t>
      </w:r>
      <w:r>
        <w:rPr>
          <w:spacing w:val="0.6300223214285795"/>
          <w:rFonts w:ascii="Liberation Serif" w:hAnsi="Liberation Serif" w:eastAsia="Liberation Serif"/>
          <w:b w:val="0"/>
          <w:i/>
          <w:color w:val="000000"/>
          <w:sz w:val="16"/>
        </w:rPr>
        <w:t>bridging/prediction service.</w:t>
      </w: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4140200</wp:posOffset>
                </wp:positionV>
                <wp:extent cx="6432550" cy="1917700"/>
                <wp:wrapNone/>
                <wp:docPr id="21" name="Text Box 21"/>
                <wp:cNvGraphicFramePr>
                  <a:graphicFrameLocks noChangeAspect="1"/>
                </wp:cNvGraphicFramePr>
                <a:graphic>
                  <a:graphicData uri="http://schemas.microsoft.com/office/word/2010/wordprocessingShape">
                    <wps:wsp>
                      <wps:cNvSpPr txBox="1">
                        <a:spLocks noChangeArrowheads="1"/>
                      </wps:cNvSpPr>
                      <wps:spPr bwMode="auto">
                        <a:xfrm>
                          <a:off x="0" y="0"/>
                          <a:ext cx="6432550" cy="19177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wp:posOffset>
                </wp:positionH>
                <wp:positionV relativeFrom="page">
                  <wp:posOffset>2413000</wp:posOffset>
                </wp:positionV>
                <wp:extent cx="6654800" cy="1714500"/>
                <wp:wrapNone/>
                <wp:docPr id="22" name="Text Box 22"/>
                <wp:cNvGraphicFramePr>
                  <a:graphicFrameLocks noChangeAspect="1"/>
                </wp:cNvGraphicFramePr>
                <a:graphic>
                  <a:graphicData uri="http://schemas.microsoft.com/office/word/2010/wordprocessingShape">
                    <wps:wsp>
                      <wps:cNvSpPr txBox="1">
                        <a:spLocks noChangeArrowheads="1"/>
                      </wps:cNvSpPr>
                      <wps:spPr bwMode="auto">
                        <a:xfrm>
                          <a:off x="0" y="0"/>
                          <a:ext cx="6654800" cy="17145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744220</wp:posOffset>
                </wp:positionH>
                <wp:positionV relativeFrom="page">
                  <wp:posOffset>2204720</wp:posOffset>
                </wp:positionV>
                <wp:extent cx="6310630" cy="113030"/>
                <wp:wrapNone/>
                <wp:docPr id="23" name="Text Box 23"/>
                <wp:cNvGraphicFramePr>
                  <a:graphicFrameLocks noChangeAspect="1"/>
                </wp:cNvGraphicFramePr>
                <a:graphic>
                  <a:graphicData uri="http://schemas.microsoft.com/office/word/2010/wordprocessingShape">
                    <wps:wsp>
                      <wps:cNvSpPr txBox="1">
                        <a:spLocks noChangeArrowheads="1"/>
                      </wps:cNvSpPr>
                      <wps:spPr bwMode="auto">
                        <a:xfrm>
                          <a:off x="0" y="0"/>
                          <a:ext cx="6310630" cy="11303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20" w:lineRule="exact" w:before="176" w:after="0"/>
        <w:ind w:left="3426" w:right="0" w:firstLine="0"/>
        <w:jc w:val="left"/>
      </w:pPr>
      <w:r>
        <w:rPr>
          <w:spacing w:val="0.5381798377403758"/>
          <w:rFonts w:ascii="Liberation Serif" w:hAnsi="Liberation Serif" w:eastAsia="Liberation Serif"/>
          <w:b/>
          <w:i w:val="0"/>
          <w:color w:val="000000"/>
          <w:sz w:val="19"/>
        </w:rPr>
        <w:t>V. EXPERIMENTAL VALIDATION</w:t>
      </w:r>
    </w:p>
    <w:p>
      <w:pPr>
        <w:autoSpaceDN w:val="0"/>
        <w:autoSpaceDE w:val="0"/>
        <w:widowControl/>
        <w:spacing w:line="228" w:lineRule="exact" w:before="86" w:after="0"/>
        <w:ind w:left="0" w:right="0" w:firstLine="0"/>
        <w:jc w:val="left"/>
      </w:pPr>
      <w:r>
        <w:rPr>
          <w:spacing w:val="4.5"/>
          <w:rFonts w:ascii="Times NR MT Pro" w:hAnsi="Times NR MT Pro" w:eastAsia="Times NR MT Pro"/>
          <w:b w:val="0"/>
          <w:i w:val="0"/>
          <w:color w:val="000000"/>
          <w:sz w:val="18"/>
        </w:rPr>
        <w:t xml:space="preserve"> The question behind our validation is a counterfactual: if this system had existed on the day a real product launched, would its </w:t>
      </w:r>
      <w:r>
        <w:rPr>
          <w:spacing w:val="2.415360699176781"/>
          <w:rFonts w:ascii="Times NR MT Pro" w:hAnsi="Times NR MT Pro" w:eastAsia="Times NR MT Pro"/>
          <w:b w:val="0"/>
          <w:i w:val="0"/>
          <w:color w:val="000000"/>
          <w:sz w:val="18"/>
        </w:rPr>
        <w:t>launch-available specification-and-metadata estimate have called that product's eventual market outcome? We answer it launch-</w:t>
      </w:r>
      <w:r>
        <w:rPr>
          <w:spacing w:val="2.1185836594874465"/>
          <w:rFonts w:ascii="Times NR MT Pro" w:hAnsi="Times NR MT Pro" w:eastAsia="Times NR MT Pro"/>
          <w:b w:val="0"/>
          <w:i w:val="0"/>
          <w:color w:val="000000"/>
          <w:sz w:val="18"/>
        </w:rPr>
        <w:t xml:space="preserve">blind and out of sample. For every product we evaluate, the bridging layer sees only what was knowable at launch: name, brand, </w:t>
      </w:r>
      <w:r>
        <w:rPr>
          <w:spacing w:val="0.6597046079459014"/>
          <w:rFonts w:ascii="Times NR MT Pro" w:hAnsi="Times NR MT Pro" w:eastAsia="Times NR MT Pro"/>
          <w:b w:val="0"/>
          <w:i w:val="0"/>
          <w:color w:val="000000"/>
          <w:sz w:val="18"/>
        </w:rPr>
        <w:t xml:space="preserve">price, and the manufacturer's specification copy. Reviews, ratings, and sales signals are held back. The bridged profile goes into the </w:t>
      </w:r>
      <w:r>
        <w:rPr>
          <w:spacing w:val="0.787425122026248"/>
          <w:rFonts w:ascii="Times NR MT Pro" w:hAnsi="Times NR MT Pro" w:eastAsia="Times NR MT Pro"/>
          <w:b w:val="0"/>
          <w:i w:val="0"/>
          <w:color w:val="000000"/>
          <w:sz w:val="18"/>
        </w:rPr>
        <w:t xml:space="preserve">aspects-only model, and its estimate is checked against the product's real within-category success score, computed from the reviews </w:t>
      </w:r>
      <w:r>
        <w:rPr>
          <w:spacing w:val="-0.16991205008133398"/>
          <w:rFonts w:ascii="Times NR MT Pro" w:hAnsi="Times NR MT Pro" w:eastAsia="Times NR MT Pro"/>
          <w:b w:val="0"/>
          <w:i w:val="0"/>
          <w:color w:val="000000"/>
          <w:sz w:val="18"/>
        </w:rPr>
        <w:t xml:space="preserve">the product went on to collect. Table 2 lays out the evaluations; the retrained and temporal holdouts are where the evidence is.</w:t>
      </w:r>
    </w:p>
    <w:p>
      <w:pPr>
        <w:spacing w:before="120" w:after="60"/>
      </w:pPr>
      <w:r>
        <w:rPr>
          <w:rFonts w:ascii="Times New Roman" w:hAnsi="Times New Roman"/>
          <w:sz w:val="16"/>
        </w:rPr>
        <w:t xml:space="preserve">TABLE 2. Out-of-sample evaluation cohorts: Spearman ρ (95% CI), top- vs. bottom-quintile AUC, and mean within-category ρ. The last two rows use true review-derived aspect scores (no bridging) and give the attainable ceiling.</w:t>
      </w:r>
    </w:p>
    <w:tbl>
      <w:tblPr>
        <w:tblW w:w="9800" w:type="dxa"/>
        <w:tblLayout w:type="fixed"/>
      </w:tblPr>
      <w:tblGrid>
        <w:gridCol w:w="3500"/>
        <w:gridCol w:w="2500"/>
        <w:gridCol w:w="1900"/>
        <w:gridCol w:w="1900"/>
      </w:tblGrid>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Evaluation cohort</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Spearman ρ (95% CI)</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Top vs. bottom AUC</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Within-category ρ</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Cross-validation (5-fold CV, n = 631)</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CV R² = 0.577 ± 0.015</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mean per-category R² = 0.45</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First-generation holdout (n = 59; overlapped training; earlier six-category data)</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0.317 [0.059, 0.543] (p = 0.014)</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0.743 [0.507, 0.931]</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0.28</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First-generation holdout on final corpus (n = 41)</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0.280 (p = 0.076)</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0.764</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Retrained holdout (n = 118 successfully evaluated)</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0.529 [0.377, 0.654] (p &lt; 10⁻⁹)</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0.903 [0.812, 0.965]</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0.39</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Extended temporal, 80/20 launch-date split (125/126 evaluated)</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0.590 [0.464, 0.692]</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0.942</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 0.16</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Reference: true review-derived aspects, random holdouts (n = 117, 40 draws)</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0.774 [0.710, 0.842]</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0.981</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0.68</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Reference: true review-derived aspects, 80/20 temporal split</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0.738</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0.997</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0.63</w:t>
            </w:r>
          </w:p>
        </w:tc>
      </w:tr>
    </w:tbl>
    <w:p>
      <w:pPr>
        <w:autoSpaceDN w:val="0"/>
        <w:autoSpaceDE w:val="0"/>
        <w:widowControl/>
        <w:spacing w:line="182" w:lineRule="exact" w:before="120" w:after="0"/>
        <w:ind w:left="0" w:right="0" w:firstLine="0"/>
        <w:jc w:val="left"/>
      </w:pPr>
      <w:r>
        <w:rPr>
          <w:spacing w:val="3.5"/>
          <w:rFonts w:ascii="Times New Roman" w:hAnsi="Times New Roman" w:eastAsia="Times New Roman"/>
          <w:b w:val="0"/>
          <w:i w:val="0"/>
          <w:color w:val="000000"/>
          <w:sz w:val="14"/>
        </w:rPr>
        <w:t xml:space="preserve">A. Retrained Holdout and Earlier Evaluation. We evaluated our frozen production bridging pipeline on a predefined out-of-sample holdout of n = 59 products (from 60 drawn under seed 4242; 1 product lacked parseable feature copy). The holdout was drawn from the earlier six-category collection (wireless headphones, Bluetooth speakers, smartwatches, power banks, kitchen appliances, and smartphones) before kitchen appliances and smartphones were replaced by ice makers; 18 kitchen-appliance products are absent from the final five-category corpus, leaving 41 scoreable products. For every holdout product, all reviews, star ratings, and post-launch signals were completely quarantined. The model saw only launch-available metadata (name, category, price, brand tier) and manufacturer specification copy.</w:t>
      </w:r>
    </w:p>
    <w:p>
      <w:pPr>
        <w:autoSpaceDN w:val="0"/>
        <w:autoSpaceDE w:val="0"/>
        <w:widowControl/>
        <w:spacing w:line="182" w:lineRule="exact" w:before="22" w:after="0"/>
        <w:ind w:left="0" w:right="0" w:firstLine="0"/>
        <w:jc w:val="left"/>
      </w:pPr>
      <w:r>
        <w:rPr>
          <w:spacing w:val="3.5"/>
          <w:rFonts w:ascii="Times New Roman" w:hAnsi="Times New Roman" w:eastAsia="Times New Roman"/>
          <w:b w:val="0"/>
          <w:i w:val="0"/>
          <w:color w:val="000000"/>
          <w:sz w:val="14"/>
        </w:rPr>
        <w:t xml:space="preserve">The category profile used by the bridging layer was constructed across the broader corpus and therefore not fully isolated from the holdout. Because unmasked commercial product names were supplied, the LLM may retain pre-training world knowledge regarding established brands. Predicted viability correlates with actual post-launch market success at ρ = 0.317 (p = 0.014), with a 10,000-sample bootstrap 95% CI of [0.059, 0.543], AUC = 0.743, and mean within-category ρ = 0.28; viability quintile means rise monotonically from 58.5 to 64.1. This first-generation run is superseded: the success model had been trained on the full corpus, including the holdout products, and the result does not carry over to the final corpus, where only the 41 surviving products can be scored (ρ = 0.280, p = 0.076, AUC = 0.764). In the retrained prompt-v2 evaluation, 118 products were successfully evaluated after the held-out set was removed before retraining (a clean retrain on 513 products); ρ = 0.529 (95% CI [0.377, 0.654], p &lt; 10⁻⁹ by an analytic t-test), AUC = 0.903 (95% CI [0.812, 0.965]), and mean within-category ρ = 0.39. For reference, true review-derived aspect scores (no bridging) on random category-stratified holdouts of 117 products reach ρ = 0.774 (95% range 0.710–0.842), AUC = 0.981, and mean within-category ρ = 0.677, so the bridged estimate recovers about two-thirds of the attainable pooled rank correlation. Category profiles were compiled across the broader corpus rather than re-partitioned by split, so this is validation evidence rather than an untouched final test.</w:t>
      </w:r>
    </w:p>
    <w:p>
      <w:pPr>
        <w:sectPr>
          <w:pgSz w:w="12240" w:h="15840"/>
          <w:pgMar w:top="1088" w:right="1010" w:bottom="1440" w:left="1080" w:header="720" w:footer="720" w:gutter="0"/>
          <w:cols w:num="1" w:equalWidth="0">
            <w:col w:w="10150" w:space="0"/>
          </w:cols>
          <w:docGrid w:linePitch="360"/>
        </w:sectPr>
      </w:pPr>
    </w:p>
    <w:p>
      <w:pPr>
        <w:autoSpaceDN w:val="0"/>
        <w:autoSpaceDE w:val="0"/>
        <w:widowControl/>
        <w:spacing w:line="240" w:lineRule="auto" w:before="0" w:after="0"/>
        <w:ind w:left="792" w:right="0" w:firstLine="0"/>
        <w:jc w:val="left"/>
      </w:pPr>
      <w:r>
        <w:drawing>
          <wp:inline xmlns:a="http://schemas.openxmlformats.org/drawingml/2006/main" xmlns:pic="http://schemas.openxmlformats.org/drawingml/2006/picture">
            <wp:extent cx="5394959" cy="3723640"/>
            <wp:docPr id="24" name="Picture 2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394959" cy="3723640"/>
                    </a:xfrm>
                    <a:prstGeom prst="rect"/>
                  </pic:spPr>
                </pic:pic>
              </a:graphicData>
            </a:graphic>
          </wp:inline>
        </w:drawing>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8515350</wp:posOffset>
                </wp:positionV>
                <wp:extent cx="6431280" cy="716279"/>
                <wp:wrapNone/>
                <wp:docPr id="26" name="Text Box 26"/>
                <wp:cNvGraphicFramePr>
                  <a:graphicFrameLocks noChangeAspect="1"/>
                </wp:cNvGraphicFramePr>
                <a:graphic>
                  <a:graphicData uri="http://schemas.microsoft.com/office/word/2010/wordprocessingShape">
                    <wps:wsp>
                      <wps:cNvSpPr txBox="1">
                        <a:spLocks noChangeArrowheads="1"/>
                      </wps:cNvSpPr>
                      <wps:spPr bwMode="auto">
                        <a:xfrm>
                          <a:off x="0" y="0"/>
                          <a:ext cx="6431280" cy="716279"/>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4913630</wp:posOffset>
                </wp:positionV>
                <wp:extent cx="6338570" cy="2588260"/>
                <wp:wrapNone/>
                <wp:docPr id="27" name="Text Box 27"/>
                <wp:cNvGraphicFramePr>
                  <a:graphicFrameLocks noChangeAspect="1"/>
                </wp:cNvGraphicFramePr>
                <a:graphic>
                  <a:graphicData uri="http://schemas.microsoft.com/office/word/2010/wordprocessingShape">
                    <wps:wsp>
                      <wps:cNvSpPr txBox="1">
                        <a:spLocks noChangeArrowheads="1"/>
                      </wps:cNvSpPr>
                      <wps:spPr bwMode="auto">
                        <a:xfrm>
                          <a:off x="0" y="0"/>
                          <a:ext cx="6338570" cy="258826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196" w:after="0"/>
        <w:ind w:left="0" w:right="0" w:firstLine="0"/>
        <w:jc w:val="center"/>
      </w:pPr>
      <w:r>
        <w:drawing>
          <wp:inline xmlns:a="http://schemas.openxmlformats.org/drawingml/2006/main" xmlns:pic="http://schemas.openxmlformats.org/drawingml/2006/picture">
            <wp:extent cx="952500" cy="152400"/>
            <wp:docPr id="25" name="Picture 2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952500" cy="152400"/>
                    </a:xfrm>
                    <a:prstGeom prst="rect"/>
                  </pic:spPr>
                </pic:pic>
              </a:graphicData>
            </a:graphic>
          </wp:inline>
        </w:drawing>
      </w:r>
      <w:r>
        <w:rPr>
          <w:spacing w:val="0.7189542483660205"/>
          <w:rFonts w:ascii="Liberation Serif" w:hAnsi="Liberation Serif" w:eastAsia="Liberation Serif"/>
          <w:b w:val="0"/>
          <w:i/>
          <w:color w:val="000000"/>
          <w:sz w:val="16"/>
        </w:rPr>
        <w:t xml:space="preserve">Figure 6. Predefined frozen out-of-sample holdout (n = 59): launch-available specification-and-metadata predicted viability versus actual market success </w:t>
      </w:r>
      <w:r>
        <w:rPr>
          <w:spacing w:val="0.27489837398373246"/>
          <w:rFonts w:ascii="Liberation Serif" w:hAnsi="Liberation Serif" w:eastAsia="Liberation Serif"/>
          <w:b w:val="0"/>
          <w:i/>
          <w:color w:val="000000"/>
          <w:sz w:val="16"/>
        </w:rPr>
        <w:t>score (Spearman ρ = 0.317, p = 0.014). Dashed line shows the linear OLS fit; solid markers show success-quintile mean ±SEM.</w:t>
      </w:r>
    </w:p>
    <w:p>
      <w:pPr>
        <w:autoSpaceDN w:val="0"/>
        <w:autoSpaceDE w:val="0"/>
        <w:widowControl/>
        <w:spacing w:line="214" w:lineRule="exact" w:before="118" w:after="0"/>
        <w:ind w:left="0" w:right="144" w:firstLine="0"/>
        <w:jc w:val="left"/>
      </w:pPr>
      <w:r>
        <w:rPr>
          <w:spacing w:val="1.7068577732358594"/>
          <w:rFonts w:ascii="Times New Roman" w:hAnsi="Times New Roman" w:eastAsia="Times New Roman"/>
          <w:b w:val="0"/>
          <w:i w:val="0"/>
          <w:color w:val="000000"/>
          <w:sz w:val="14"/>
        </w:rPr>
        <w:t xml:space="preserve">B. Forward-in-Time Temporal Holdout. A random split can still leak contemporaneous market regularities, so we executed a forward-in-time temporal evaluation predicting products launched in the future. Because public marketplace catalogs lack factory release timestamps, we define the launch date strictly as a first-review launch proxy: first_review_ts = min(review_timestamps). Products were ordered by launch date and split 80/20: the earliest 80% (launched on or before October 20, 2021) form the training period and the latest 20% form the test set, with no maturity filter. The extended temporal test set contains 126 products; 125 were successfully evaluated and 1 lacked parseable specs. The extended model achieves ρ = 0.590 (95% CI [0.464, 0.692]), AUC = 0.942, and mean within-category ρ ≈ 0.16 (power banks −0.03, ice makers −0.03, headphones 0.31, smartwatches 0.41). With true review-derived aspect scores in place of bridged ones, a split of this kind reaches ρ = 0.738, so bridging recovers about four-fifths of the attainable pooled rank correlation but little within-category skill. For reference, a calendar cutoff at October 31, 2021 divides the 640 products into 510 launched on or before and 130 after; 6 of the post-cutoff products were excluded by fraud filtering (the other 3 flagged products launched earlier) and 73 further products had fewer than 30 accumulated reviews, leaving 51 mature products.</w:t>
      </w:r>
      <w:r>
        <w:rPr>
          <w:spacing w:val="3.5"/>
          <w:rFonts w:ascii="Times New Roman" w:hAnsi="Times New Roman" w:eastAsia="Times New Roman"/>
          <w:b w:val="0"/>
          <w:i w:val="0"/>
          <w:color w:val="000000"/>
          <w:sz w:val="14"/>
        </w:rPr>
        <w:t xml:space="preserve"/>
      </w:r>
    </w:p>
    <w:p>
      <w:pPr>
        <w:autoSpaceDN w:val="0"/>
        <w:autoSpaceDE w:val="0"/>
        <w:widowControl/>
        <w:spacing w:line="228" w:lineRule="exact" w:before="2394" w:after="0"/>
        <w:ind w:left="0" w:right="20" w:firstLine="0"/>
        <w:jc w:val="both"/>
      </w:pPr>
      <w:r>
        <w:rPr>
          <w:spacing w:val="0.9130778193473886"/>
          <w:rFonts w:ascii="Times NR MT Pro" w:hAnsi="Times NR MT Pro" w:eastAsia="Times NR MT Pro"/>
          <w:b w:val="0"/>
          <w:i w:val="0"/>
          <w:color w:val="000000"/>
          <w:sz w:val="18"/>
        </w:rPr>
        <w:t xml:space="preserve">The pooled numbers do get some help from between-category structure, since the target is normalized within category. The stricter </w:t>
      </w:r>
      <w:r>
        <w:rPr>
          <w:spacing w:val="4.5"/>
          <w:rFonts w:ascii="Times NR MT Pro" w:hAnsi="Times NR MT Pro" w:eastAsia="Times NR MT Pro"/>
          <w:b w:val="0"/>
          <w:i w:val="0"/>
          <w:color w:val="000000"/>
          <w:sz w:val="18"/>
        </w:rPr>
        <w:t xml:space="preserve">yardstick is the mean within-category ρ, and there the two holdouts part ways honestly: 0.39 on the random split falls to 0.16 forward-in-time. Predicting the future inside a single category is genuinely harder than interpolating across a random split, and </w:t>
      </w:r>
      <w:r>
        <w:rPr>
          <w:spacing w:val="-0.1566909703993225"/>
          <w:rFonts w:ascii="Times NR MT Pro" w:hAnsi="Times NR MT Pro" w:eastAsia="Times NR MT Pro"/>
          <w:b w:val="0"/>
          <w:i w:val="0"/>
          <w:color w:val="000000"/>
          <w:sz w:val="18"/>
        </w:rPr>
        <w:t>exposing that is precisely what a temporal test is for. We report both and take the within-category figure as the conservative claim.</w:t>
      </w:r>
    </w:p>
    <w:p>
      <w:pPr>
        <w:autoSpaceDN w:val="0"/>
        <w:autoSpaceDE w:val="0"/>
        <w:widowControl/>
        <w:spacing w:line="210" w:lineRule="exact" w:before="122" w:after="0"/>
        <w:ind w:left="0" w:right="0" w:firstLine="0"/>
        <w:jc w:val="left"/>
      </w:pPr>
      <w:r>
        <w:rPr>
          <w:spacing w:val="-0.6656358506944413"/>
          <w:rFonts w:ascii="Liberation Serif" w:hAnsi="Liberation Serif" w:eastAsia="Liberation Serif"/>
          <w:b/>
          <w:i/>
          <w:color w:val="000000"/>
          <w:sz w:val="18"/>
        </w:rPr>
        <w:t>C. Baselines and Price Orthogonality</w:t>
      </w:r>
    </w:p>
    <w:p>
      <w:pPr>
        <w:autoSpaceDN w:val="0"/>
        <w:autoSpaceDE w:val="0"/>
        <w:widowControl/>
        <w:spacing w:line="218" w:lineRule="exact" w:before="46" w:after="0"/>
        <w:ind w:left="0" w:right="0" w:firstLine="0"/>
        <w:jc w:val="left"/>
      </w:pPr>
      <w:r>
        <w:rPr>
          <w:spacing w:val="3.5"/>
          <w:rFonts w:ascii="Times New Roman" w:hAnsi="Times New Roman" w:eastAsia="Times New Roman"/>
          <w:b w:val="0"/>
          <w:i w:val="0"/>
          <w:color w:val="000000"/>
          <w:sz w:val="14"/>
        </w:rPr>
        <w:t xml:space="preserve">A launch-blind correlation is only valuable if it captures genuine design information rather than proxying for price or brand recognition. Brand tier is an ordinal feature (0–3) computed from the full collected catalog's distinct-product footprint: Tier 0 (1 SKU/greenfield), Tier 1 (2–4 SKUs), Tier 2 (5–10 SKUs), and Tier 3 (11+ SKUs). Because this footprint is computed across the full catalog rather than only products available before each prediction point, the brand tier can contain post-launch information and is therefore an additional temporal leakage caveat. Zero post-launch reviews, star ratings, or sales information were used.</w:t>
      </w:r>
    </w:p>
    <w:p>
      <w:pPr>
        <w:sectPr>
          <w:pgSz w:w="12240" w:h="15840"/>
          <w:pgMar w:top="1080" w:right="1016" w:bottom="1352" w:left="1080" w:header="720" w:footer="720" w:gutter="0"/>
          <w:cols w:num="1" w:equalWidth="0">
            <w:col w:w="10144" w:space="0"/>
          </w:cols>
          <w:docGrid w:linePitch="360"/>
        </w:sectPr>
      </w:pPr>
    </w:p>
    <w:p>
      <w:pPr>
        <w:autoSpaceDN w:val="0"/>
        <w:autoSpaceDE w:val="0"/>
        <w:widowControl/>
        <w:spacing w:line="218" w:lineRule="exact" w:before="0" w:after="0"/>
        <w:ind w:left="0" w:right="288" w:firstLine="0"/>
        <w:jc w:val="left"/>
      </w:pPr>
      <w:r>
        <w:rPr>
          <w:spacing w:val="3.75"/>
          <w:rFonts w:ascii="Times New Roman" w:hAnsi="Times New Roman" w:eastAsia="Times New Roman"/>
          <w:b w:val="0"/>
          <w:i w:val="0"/>
          <w:color w:val="000000"/>
          <w:sz w:val="15"/>
        </w:rPr>
        <w:t xml:space="preserve">Price enters the model as a monotone non-increasing feature. A price-free ablation removes product price and the deterministic value-for-money ratio while retaining LLM-extracted aspect scores, mention rates, category indicators, and brand-recognition tier; it maintains ρ = 0.475 on the extended deployment cohort (n = 118). A price-only baseline is weak: within-category price percentile correlates with the success score at ρ = 0.147 across all 631 products (95% range 0.023–0.271 over 40 random category-stratified draws of 117 products), far below the model's 0.529, and the relationship differs sharply by category (smartwatches 0.54, headphones 0.35, speakers 0.22, power banks 0.01, ice makers −0.26). On the small n = 59 frozen holdout a simple brand-tier baseline (ρ ≈ 0.41 in our re-analysis) ranks products about as well as the model, and it is itself subject to the full-catalog leakage caveat above. These baseline and ablation figures are supporting evidence from the archived evaluation sample.</w:t>
      </w:r>
      <w:r>
        <w:rPr>
          <w:spacing w:val="2.1685321385210274"/>
          <w:rFonts w:ascii="Times New Roman" w:hAnsi="Times New Roman" w:eastAsia="Times New Roman"/>
          <w:b w:val="0"/>
          <w:i w:val="0"/>
          <w:color w:val="000000"/>
          <w:sz w:val="15"/>
        </w:rPr>
        <w:t xml:space="preserve"/>
      </w:r>
      <w:r>
        <w:rPr>
          <w:spacing w:val="2.212162976732119"/>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w: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690880</wp:posOffset>
                </wp:positionV>
                <wp:extent cx="6431280" cy="722630"/>
                <wp:wrapNone/>
                <wp:docPr id="34" name="Text Box 34"/>
                <wp:cNvGraphicFramePr>
                  <a:graphicFrameLocks noChangeAspect="1"/>
                </wp:cNvGraphicFramePr>
                <a:graphic>
                  <a:graphicData uri="http://schemas.microsoft.com/office/word/2010/wordprocessingShape">
                    <wps:wsp>
                      <wps:cNvSpPr txBox="1">
                        <a:spLocks noChangeArrowheads="1"/>
                      </wps:cNvSpPr>
                      <wps:spPr bwMode="auto">
                        <a:xfrm>
                          <a:off x="0" y="0"/>
                          <a:ext cx="6431280" cy="72263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10" w:lineRule="exact" w:before="376" w:after="0"/>
        <w:ind w:left="0" w:right="0" w:firstLine="0"/>
        <w:jc w:val="left"/>
      </w:pPr>
      <w:r>
        <w:rPr>
          <w:spacing w:val="-2.092331220518879"/>
          <w:rFonts w:ascii="Liberation Serif" w:hAnsi="Liberation Serif" w:eastAsia="Liberation Serif"/>
          <w:b/>
          <w:i/>
          <w:color w:val="000000"/>
          <w:sz w:val="18"/>
        </w:rPr>
        <w:t>D. Which Aspects Can Be Estimated from Specifications</w:t>
      </w:r>
    </w:p>
    <w:p>
      <w:pPr>
        <w:autoSpaceDN w:val="0"/>
        <w:autoSpaceDE w:val="0"/>
        <w:widowControl/>
        <w:spacing w:line="240" w:lineRule="auto" w:before="40" w:after="0"/>
        <w:ind w:left="0" w:right="22" w:firstLine="0"/>
        <w:jc w:val="both"/>
      </w:pPr>
      <w:r>
        <w:rPr>
          <w:spacing w:val="1.2029636877554433"/>
          <w:rFonts w:ascii="Times NR MT Pro" w:hAnsi="Times NR MT Pro" w:eastAsia="Times NR MT Pro"/>
          <w:b w:val="0"/>
          <w:i w:val="0"/>
          <w:color w:val="000000"/>
          <w:sz w:val="18"/>
        </w:rPr>
        <w:t xml:space="preserve">Aspect by aspect, the bridged estimates track the review-derived ground truth at r = 0.53 for utility and durability, 0.52 for ease of </w:t>
      </w:r>
      <w:r>
        <w:drawing>
          <wp:inline xmlns:a="http://schemas.openxmlformats.org/drawingml/2006/main" xmlns:pic="http://schemas.openxmlformats.org/drawingml/2006/picture">
            <wp:extent cx="444500" cy="139700"/>
            <wp:docPr id="28" name="Picture 2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44500" cy="139700"/>
                    </a:xfrm>
                    <a:prstGeom prst="rect"/>
                  </pic:spPr>
                </pic:pic>
              </a:graphicData>
            </a:graphic>
          </wp:inline>
        </w:drawing>
      </w:r>
      <w:r>
        <w:rPr>
          <w:spacing w:val="1.096522440081054"/>
          <w:rFonts w:ascii="Times NR MT Pro" w:hAnsi="Times NR MT Pro" w:eastAsia="Times NR MT Pro"/>
          <w:b w:val="0"/>
          <w:i w:val="0"/>
          <w:color w:val="000000"/>
          <w:sz w:val="18"/>
        </w:rPr>
        <w:t xml:space="preserve">use, 0.51 for build quality, and 0.50 for reliability (Fig. 7). Value for money reaches r = 0.34 and repairability r = 0.27. In contrast, </w:t>
      </w:r>
      <w:r>
        <w:rPr>
          <w:spacing w:val="0.7007413908287263"/>
          <w:rFonts w:ascii="Times NR MT Pro" w:hAnsi="Times NR MT Pro" w:eastAsia="Times NR MT Pro"/>
          <w:b w:val="0"/>
          <w:i w:val="0"/>
          <w:color w:val="000000"/>
          <w:sz w:val="18"/>
        </w:rPr>
        <w:t xml:space="preserve">design appeal (r = 0.21) and after-sales service (r = 0.07) demonstrate minimal spec-to-review correlation, and are explicitly flagged </w:t>
      </w:r>
      <w:r>
        <w:rPr>
          <w:spacing w:val="-0.2535706928798171"/>
          <w:rFonts w:ascii="Times NR MT Pro" w:hAnsi="Times NR MT Pro" w:eastAsia="Times NR MT Pro"/>
          <w:b w:val="0"/>
          <w:i w:val="0"/>
          <w:color w:val="000000"/>
          <w:sz w:val="18"/>
        </w:rPr>
        <w:t>at runtime as unestimable from specification copy alone.</w:t>
      </w:r>
    </w:p>
    <w:p>
      <w:pPr>
        <w:autoSpaceDN w:val="0"/>
        <w:autoSpaceDE w:val="0"/>
        <w:widowControl/>
        <w:spacing w:line="240" w:lineRule="auto" w:before="110" w:after="0"/>
        <w:ind w:left="792" w:right="0" w:firstLine="0"/>
        <w:jc w:val="left"/>
      </w:pPr>
      <w:r>
        <w:drawing>
          <wp:inline xmlns:a="http://schemas.openxmlformats.org/drawingml/2006/main" xmlns:pic="http://schemas.openxmlformats.org/drawingml/2006/picture">
            <wp:extent cx="5394959" cy="3585210"/>
            <wp:docPr id="29" name="Picture 29"/>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394959" cy="3585210"/>
                    </a:xfrm>
                    <a:prstGeom prst="rect"/>
                  </pic:spPr>
                </pic:pic>
              </a:graphicData>
            </a:graphic>
          </wp:inline>
        </w:drawing>
      </w:r>
    </w:p>
    <w:p>
      <w:pPr>
        <w:autoSpaceDN w:val="0"/>
        <w:autoSpaceDE w:val="0"/>
        <w:widowControl/>
        <w:spacing w:line="240" w:lineRule="auto" w:before="200" w:after="0"/>
        <w:ind w:left="0" w:right="0" w:firstLine="0"/>
        <w:jc w:val="center"/>
      </w:pPr>
      <w:r>
        <w:rPr>
          <w:spacing w:val="0.7384815705128162"/>
          <w:rFonts w:ascii="Liberation Serif" w:hAnsi="Liberation Serif" w:eastAsia="Liberation Serif"/>
          <w:b w:val="0"/>
          <w:i/>
          <w:color w:val="000000"/>
          <w:sz w:val="16"/>
        </w:rPr>
        <w:t xml:space="preserve">Figure 7. Per-aspect validity of bridged estimates (Pearson r with 95% CI, n = 118), colored by the runtime trust tier presented to users. Sample sizes per </w:t>
      </w:r>
      <w:r>
        <w:drawing>
          <wp:inline xmlns:a="http://schemas.openxmlformats.org/drawingml/2006/main" xmlns:pic="http://schemas.openxmlformats.org/drawingml/2006/picture">
            <wp:extent cx="711200" cy="139700"/>
            <wp:docPr id="30" name="Picture 30"/>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711200" cy="139700"/>
                    </a:xfrm>
                    <a:prstGeom prst="rect"/>
                  </pic:spPr>
                </pic:pic>
              </a:graphicData>
            </a:graphic>
          </wp:inline>
        </w:drawing>
      </w:r>
      <w:r>
        <w:rPr>
          <w:spacing w:val="0.4587461890243972"/>
          <w:rFonts w:ascii="Liberation Serif" w:hAnsi="Liberation Serif" w:eastAsia="Liberation Serif"/>
          <w:b w:val="0"/>
          <w:i/>
          <w:color w:val="000000"/>
          <w:sz w:val="16"/>
        </w:rPr>
        <w:t xml:space="preserve">aspect reflect non-null pairwise pairs under null-forcing extraction (55 to 118 pairs). High-fidelity experiential aspects (utility, durability, ease of use, build </w:t>
      </w:r>
      <w:r>
        <w:rPr>
          <w:spacing w:val="1.229461477987413"/>
          <w:rFonts w:ascii="Liberation Serif" w:hAnsi="Liberation Serif" w:eastAsia="Liberation Serif"/>
          <w:b w:val="0"/>
          <w:i/>
          <w:color w:val="000000"/>
          <w:sz w:val="16"/>
        </w:rPr>
        <w:t xml:space="preserve">quality, reliability: r = 0.50–0.53) receive high-trust status, whereas design appeal (r = 0.21) and after-sales service (r = 0.07) are flagged as unestimable </w:t>
      </w:r>
      <w:r>
        <w:rPr>
          <w:spacing w:val="-0.33125000000003035"/>
          <w:rFonts w:ascii="Liberation Serif" w:hAnsi="Liberation Serif" w:eastAsia="Liberation Serif"/>
          <w:b w:val="0"/>
          <w:i/>
          <w:color w:val="000000"/>
          <w:sz w:val="16"/>
        </w:rPr>
        <w:t>from specification copy alone.</w:t>
      </w:r>
    </w:p>
    <w:p>
      <w:pPr>
        <w:autoSpaceDN w:val="0"/>
        <w:autoSpaceDE w:val="0"/>
        <w:widowControl/>
        <w:spacing w:line="222" w:lineRule="exact" w:before="176" w:after="0"/>
        <w:ind w:left="3032" w:right="0" w:firstLine="0"/>
        <w:jc w:val="left"/>
      </w:pPr>
      <w:r>
        <w:rPr>
          <w:spacing w:val="-0.988473603219697"/>
          <w:rFonts w:ascii="Liberation Serif" w:hAnsi="Liberation Serif" w:eastAsia="Liberation Serif"/>
          <w:b/>
          <w:i w:val="0"/>
          <w:color w:val="000000"/>
          <w:sz w:val="19"/>
        </w:rPr>
        <w:t>VI. SCOPE AND BOUNDARY CONDITIONS</w:t>
      </w:r>
    </w:p>
    <w:p>
      <w:pPr>
        <w:autoSpaceDN w:val="0"/>
        <w:autoSpaceDE w:val="0"/>
        <w:widowControl/>
        <w:spacing w:line="230" w:lineRule="exact" w:before="84" w:after="0"/>
        <w:ind w:left="0" w:right="20" w:firstLine="0"/>
        <w:jc w:val="both"/>
      </w:pPr>
      <w:r>
        <w:rPr>
          <w:spacing w:val="4.5"/>
          <w:rFonts w:ascii="Times NR MT Pro" w:hAnsi="Times NR MT Pro" w:eastAsia="Times NR MT Pro"/>
          <w:b w:val="0"/>
          <w:i w:val="0"/>
          <w:color w:val="000000"/>
          <w:sz w:val="18"/>
        </w:rPr>
        <w:t xml:space="preserve"> A system meant to inform real decisions ought to name where it breaks as plainly as where it works, so we give a diagnosed boundary condition the same prominence as the positive results. The method's predictive validity tracks how well a category's </w:t>
      </w:r>
      <w:r>
        <w:rPr>
          <w:spacing w:val="0.6027508631348582"/>
          <w:rFonts w:ascii="Times NR MT Pro" w:hAnsi="Times NR MT Pro" w:eastAsia="Times NR MT Pro"/>
          <w:b w:val="0"/>
          <w:i w:val="0"/>
          <w:color w:val="000000"/>
          <w:sz w:val="18"/>
        </w:rPr>
        <w:t>specifications encode experiential quality, and the clearest case is ice makers.</w:t>
      </w:r>
    </w:p>
    <w:p>
      <w:pPr>
        <w:autoSpaceDN w:val="0"/>
        <w:autoSpaceDE w:val="0"/>
        <w:widowControl/>
        <w:spacing w:line="240" w:lineRule="auto" w:before="38" w:after="0"/>
        <w:ind w:left="0" w:right="0" w:firstLine="0"/>
        <w:jc w:val="left"/>
      </w:pPr>
      <w:r>
        <w:drawing>
          <wp:inline xmlns:a="http://schemas.openxmlformats.org/drawingml/2006/main" xmlns:pic="http://schemas.openxmlformats.org/drawingml/2006/picture">
            <wp:extent cx="558800" cy="152400"/>
            <wp:docPr id="31" name="Picture 3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58800" cy="152400"/>
                    </a:xfrm>
                    <a:prstGeom prst="rect"/>
                  </pic:spPr>
                </pic:pic>
              </a:graphicData>
            </a:graphic>
          </wp:inline>
        </w:drawing>
      </w:r>
      <w:r>
        <w:rPr>
          <w:spacing w:val="0.6866674739302941"/>
          <w:rFonts w:ascii="Times NR MT Pro" w:hAnsi="Times NR MT Pro" w:eastAsia="Times NR MT Pro"/>
          <w:b w:val="0"/>
          <w:i w:val="0"/>
          <w:color w:val="000000"/>
          <w:sz w:val="18"/>
        </w:rPr>
        <w:t xml:space="preserve">On the surface ice makers are a paradox: of every category they have the strongest within-category link between real review aspects </w:t>
      </w:r>
      <w:r>
        <w:rPr>
          <w:spacing w:val="4.5"/>
          <w:rFonts w:ascii="Times NR MT Pro" w:hAnsi="Times NR MT Pro" w:eastAsia="Times NR MT Pro"/>
          <w:b w:val="0"/>
          <w:i w:val="0"/>
          <w:color w:val="000000"/>
          <w:sz w:val="18"/>
        </w:rPr>
        <w:t xml:space="preserve">and success (mean |r| = 0.32, against 0.09–0.25 elsewhere) and the highest aspect coverage in extraction, yet their bridged </w:t>
      </w:r>
      <w:r>
        <w:drawing>
          <wp:inline xmlns:a="http://schemas.openxmlformats.org/drawingml/2006/main" xmlns:pic="http://schemas.openxmlformats.org/drawingml/2006/picture">
            <wp:extent cx="457200" cy="139700"/>
            <wp:docPr id="32" name="Picture 3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 cy="139700"/>
                    </a:xfrm>
                    <a:prstGeom prst="rect"/>
                  </pic:spPr>
                </pic:pic>
              </a:graphicData>
            </a:graphic>
          </wp:inline>
        </w:drawing>
      </w:r>
      <w:r>
        <w:rPr>
          <w:spacing w:val="-0.39264623207204147"/>
          <w:rFonts w:ascii="Times NR MT Pro" w:hAnsi="Times NR MT Pro" w:eastAsia="Times NR MT Pro"/>
          <w:b w:val="0"/>
          <w:i w:val="0"/>
          <w:color w:val="000000"/>
          <w:sz w:val="18"/>
        </w:rPr>
        <w:t xml:space="preserve">predictions are the weakest of all (holdout ρ ≈ 0.11; forward-in-time ρ ≈ −0.03). The observed pattern is consistent with the bridging step </w:t>
      </w:r>
      <w:r>
        <w:rPr>
          <w:spacing w:val="0.5554553758014263"/>
          <w:rFonts w:ascii="Times NR MT Pro" w:hAnsi="Times NR MT Pro" w:eastAsia="Times NR MT Pro"/>
          <w:b w:val="0"/>
          <w:i w:val="0"/>
          <w:color w:val="000000"/>
          <w:sz w:val="18"/>
        </w:rPr>
        <w:t>being the principal bottleneck rather than extraction or target labeling. The LLM estimates nearly uniform aspect scores across ice-</w:t>
      </w:r>
      <w:r>
        <w:rPr>
          <w:spacing w:val="1.5553497380988506"/>
          <w:rFonts w:ascii="Times NR MT Pro" w:hAnsi="Times NR MT Pro" w:eastAsia="Times NR MT Pro"/>
          <w:b w:val="0"/>
          <w:i w:val="0"/>
          <w:color w:val="000000"/>
          <w:sz w:val="18"/>
        </w:rPr>
        <w:t xml:space="preserve">maker products—a bridged-score standard deviation of just 0.10 for reliability, 0.11 for build quality, and 0.13 for durability—because </w:t>
      </w:r>
      <w:r>
        <w:rPr>
          <w:spacing w:val="4.5"/>
          <w:rFonts w:ascii="Times NR MT Pro" w:hAnsi="Times NR MT Pro" w:eastAsia="Times NR MT Pro"/>
          <w:b w:val="0"/>
          <w:i w:val="0"/>
          <w:color w:val="000000"/>
          <w:sz w:val="18"/>
        </w:rPr>
        <w:t xml:space="preserve">commodity appliance specifications concentrate on nominal capacity and cycle metrics ('26 lb/day, 9 cubes in 6 minutes') while </w:t>
      </w:r>
      <w:r>
        <w:rPr>
          <w:spacing w:val="1.1668663896731442"/>
          <w:rFonts w:ascii="Times NR MT Pro" w:hAnsi="Times NR MT Pro" w:eastAsia="Times NR MT Pro"/>
          <w:b w:val="0"/>
          <w:i w:val="0"/>
          <w:color w:val="000000"/>
          <w:sz w:val="18"/>
        </w:rPr>
        <w:t xml:space="preserve">omitting technical detail on compressor longevity, seal integrity, or noise damping. With limited differentiating specification copy, </w:t>
      </w:r>
      <w:r>
        <w:rPr>
          <w:spacing w:val="0.6406210891960239"/>
          <w:rFonts w:ascii="Times NR MT Pro" w:hAnsi="Times NR MT Pro" w:eastAsia="Times NR MT Pro"/>
          <w:b w:val="0"/>
          <w:i w:val="0"/>
          <w:color w:val="000000"/>
          <w:sz w:val="18"/>
        </w:rPr>
        <w:t>the bridged aspect projections regress toward the category prior, yielding minimal variance for downstream ranking. Measured ice-</w:t>
      </w:r>
      <w:r>
        <w:drawing>
          <wp:inline xmlns:a="http://schemas.openxmlformats.org/drawingml/2006/main" xmlns:pic="http://schemas.openxmlformats.org/drawingml/2006/picture">
            <wp:extent cx="469900" cy="127000"/>
            <wp:docPr id="33" name="Picture 3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69900" cy="127000"/>
                    </a:xfrm>
                    <a:prstGeom prst="rect"/>
                  </pic:spPr>
                </pic:pic>
              </a:graphicData>
            </a:graphic>
          </wp:inline>
        </w:drawing>
      </w:r>
      <w:r>
        <w:rPr>
          <w:spacing w:val="4.5"/>
          <w:rFonts w:ascii="Times NR MT Pro" w:hAnsi="Times NR MT Pro" w:eastAsia="Times NR MT Pro"/>
          <w:b w:val="0"/>
          <w:i w:val="0"/>
          <w:color w:val="000000"/>
          <w:sz w:val="18"/>
        </w:rPr>
        <w:t xml:space="preserve">maker aspect-bridging correspondence reaches only r ≈ 0.04 (compared to r ≈ 0.39 across pooled categories and 0.45–0.56 in </w:t>
      </w:r>
      <w:r>
        <w:rPr>
          <w:spacing w:val="0.5873693855185258"/>
          <w:rFonts w:ascii="Times NR MT Pro" w:hAnsi="Times NR MT Pro" w:eastAsia="Times NR MT Pro"/>
          <w:b w:val="0"/>
          <w:i w:val="0"/>
          <w:color w:val="000000"/>
          <w:sz w:val="18"/>
        </w:rPr>
        <w:t>personal electronics), bounding predictive viability in spec-unexpressive commodity categories.</w:t>
      </w:r>
    </w:p>
    <w:p>
      <w:pPr>
        <w:autoSpaceDN w:val="0"/>
        <w:autoSpaceDE w:val="0"/>
        <w:widowControl/>
        <w:spacing w:line="230" w:lineRule="exact" w:before="38" w:after="0"/>
        <w:ind w:left="0" w:right="22" w:firstLine="0"/>
        <w:jc w:val="both"/>
      </w:pPr>
      <w:r>
        <w:rPr>
          <w:spacing w:val="4.5"/>
          <w:rFonts w:ascii="Times NR MT Pro" w:hAnsi="Times NR MT Pro" w:eastAsia="Times NR MT Pro"/>
          <w:b w:val="0"/>
          <w:i w:val="0"/>
          <w:color w:val="000000"/>
          <w:sz w:val="18"/>
        </w:rPr>
        <w:t xml:space="preserve">The lesson generalizes. Where a category's specifications describe experiential attributes—sound, comfort, battery life for headphones, speakers, and smartwatches—bridging fidelity is high and forward prediction works. Where they describe only </w:t>
      </w:r>
      <w:r>
        <w:rPr>
          <w:spacing w:val="-0.4346555116522438"/>
          <w:rFonts w:ascii="Times NR MT Pro" w:hAnsi="Times NR MT Pro" w:eastAsia="Times NR MT Pro"/>
          <w:b w:val="0"/>
          <w:i w:val="0"/>
          <w:color w:val="000000"/>
          <w:sz w:val="18"/>
        </w:rPr>
        <w:t xml:space="preserve">physical capacity, bridging cannot tell products apart and the method is bounded, no matter how much signal the underlying reviews </w:t>
      </w:r>
    </w:p>
    <w:p>
      <w:pPr>
        <w:sectPr>
          <w:pgSz w:w="12240" w:h="15840"/>
          <w:pgMar w:top="1088" w:right="1010" w:bottom="1146" w:left="1080" w:header="720" w:footer="720" w:gutter="0"/>
          <w:cols w:num="1" w:equalWidth="0">
            <w:col w:w="1015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20700" cy="139700"/>
            <wp:docPr id="35" name="Picture 3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20700" cy="139700"/>
                    </a:xfrm>
                    <a:prstGeom prst="rect"/>
                  </pic:spPr>
                </pic:pic>
              </a:graphicData>
            </a:graphic>
          </wp:inline>
        </w:drawing>
      </w:r>
      <w:r>
        <w:rPr>
          <w:spacing w:val="1.6553134759888088"/>
          <w:rFonts w:ascii="Times NR MT Pro" w:hAnsi="Times NR MT Pro" w:eastAsia="Times NR MT Pro"/>
          <w:b w:val="0"/>
          <w:i w:val="0"/>
          <w:color w:val="000000"/>
          <w:sz w:val="18"/>
        </w:rPr>
        <w:t xml:space="preserve">hold. The temporal holdout shows a cousin of this effect: power banks rank well on a random split (ρ = 0.43) but not forward-in-time (ρ ≈ −0.03)</w:t>
      </w:r>
      <w:r>
        <w:rPr>
          <w:spacing w:val="0.42656568352503416"/>
          <w:rFonts w:ascii="Times NR MT Pro" w:hAnsi="Times NR MT Pro" w:eastAsia="Times NR MT Pro"/>
          <w:b w:val="0"/>
          <w:i w:val="0"/>
          <w:color w:val="000000"/>
          <w:sz w:val="18"/>
        </w:rPr>
        <w:t xml:space="preserve">, which fits real technological drift—newer gallium-nitride and USB-C designs a model trained on older stock has never </w:t>
      </w:r>
      <w:r>
        <w:rPr>
          <w:spacing w:val="1.0940917906436087"/>
          <w:rFonts w:ascii="Times NR MT Pro" w:hAnsi="Times NR MT Pro" w:eastAsia="Times NR MT Pro"/>
          <w:b w:val="0"/>
          <w:i w:val="0"/>
          <w:color w:val="000000"/>
          <w:sz w:val="18"/>
        </w:rPr>
        <w:t xml:space="preserve">seen. We therefore scope the method to spec-expressive, technologically stable categories, and the interface's abstention machinery </w:t>
      </w:r>
      <w:r>
        <w:rPr>
          <w:spacing w:val="-0.8669759118279718"/>
          <w:rFonts w:ascii="Times NR MT Pro" w:hAnsi="Times NR MT Pro" w:eastAsia="Times NR MT Pro"/>
          <w:b w:val="0"/>
          <w:i w:val="0"/>
          <w:color w:val="000000"/>
          <w:sz w:val="18"/>
        </w:rPr>
        <w:t>is that same boundary expressed at runtime.</w:t>
      </w:r>
    </w:p>
    <w:p>
      <w:pPr>
        <w:autoSpaceDN w:val="0"/>
        <w:autoSpaceDE w:val="0"/>
        <w:widowControl/>
        <w:spacing w:line="220" w:lineRule="exact" w:before="160" w:after="0"/>
        <w:ind w:left="3122" w:right="0" w:firstLine="0"/>
        <w:jc w:val="left"/>
      </w:pPr>
      <w:r>
        <w:rPr>
          <w:spacing w:val="1.5893110795454477"/>
          <w:rFonts w:ascii="Liberation Serif" w:hAnsi="Liberation Serif" w:eastAsia="Liberation Serif"/>
          <w:b/>
          <w:i w:val="0"/>
          <w:color w:val="000000"/>
          <w:sz w:val="19"/>
        </w:rPr>
        <w:t>VII. DECISION-SUPPORT APPLICATION</w:t>
      </w:r>
    </w:p>
    <w:p>
      <w:pPr>
        <w:autoSpaceDN w:val="0"/>
        <w:autoSpaceDE w:val="0"/>
        <w:widowControl/>
        <w:spacing w:line="230" w:lineRule="exact" w:before="84" w:after="0"/>
        <w:ind w:left="0" w:right="20" w:firstLine="0"/>
        <w:jc w:val="both"/>
      </w:pPr>
      <w:r>
        <w:rPr>
          <w:spacing w:val="2.3222911030281557"/>
          <w:rFonts w:ascii="Times NR MT Pro" w:hAnsi="Times NR MT Pro" w:eastAsia="Times NR MT Pro"/>
          <w:b w:val="0"/>
          <w:i w:val="0"/>
          <w:color w:val="000000"/>
          <w:sz w:val="18"/>
        </w:rPr>
        <w:t xml:space="preserve"> The pipeline is a chain of independently re-runnable stages (Fig. 5). Each one writes its output to disk and skips expensive work </w:t>
      </w:r>
      <w:r>
        <w:rPr>
          <w:spacing w:val="0.4240883962951437"/>
          <w:rFonts w:ascii="Times NR MT Pro" w:hAnsi="Times NR MT Pro" w:eastAsia="Times NR MT Pro"/>
          <w:b w:val="0"/>
          <w:i w:val="0"/>
          <w:color w:val="000000"/>
          <w:sz w:val="18"/>
        </w:rPr>
        <w:t xml:space="preserve">unless told to redo it. Extraction is crash-safe and resumable, which mattered in practice: the full batch runs for days of rate-limited </w:t>
      </w:r>
      <w:r>
        <w:rPr>
          <w:spacing w:val="0.42573625024626904"/>
          <w:rFonts w:ascii="Times NR MT Pro" w:hAnsi="Times NR MT Pro" w:eastAsia="Times NR MT Pro"/>
          <w:b w:val="0"/>
          <w:i w:val="0"/>
          <w:color w:val="000000"/>
          <w:sz w:val="18"/>
        </w:rPr>
        <w:t xml:space="preserve">API calls across a rotating provider pool. Feature manifests are serialized to disk and the prediction code builds its input vectors by </w:t>
      </w:r>
      <w:r>
        <w:rPr>
          <w:spacing w:val="2.450308505388403"/>
          <w:rFonts w:ascii="Times NR MT Pro" w:hAnsi="Times NR MT Pro" w:eastAsia="Times NR MT Pro"/>
          <w:b w:val="0"/>
          <w:i w:val="0"/>
          <w:color w:val="000000"/>
          <w:sz w:val="18"/>
        </w:rPr>
        <w:t xml:space="preserve">walking them, so the serving path cannot quietly drift out of step with training. One end-to-end smoke test regenerates synthetic </w:t>
      </w:r>
      <w:r>
        <w:rPr>
          <w:spacing w:val="-0.30444357958104873"/>
          <w:rFonts w:ascii="Times NR MT Pro" w:hAnsi="Times NR MT Pro" w:eastAsia="Times NR MT Pro"/>
          <w:b w:val="0"/>
          <w:i w:val="0"/>
          <w:color w:val="000000"/>
          <w:sz w:val="18"/>
        </w:rPr>
        <w:t>data, runs every stage in a sandbox, and gates every change to the code.</w:t>
      </w:r>
    </w:p>
    <w:p>
      <w:pPr>
        <w:autoSpaceDN w:val="0"/>
        <w:autoSpaceDE w:val="0"/>
        <w:widowControl/>
        <w:spacing w:line="230" w:lineRule="exact" w:before="38" w:after="0"/>
        <w:ind w:left="0" w:right="0" w:firstLine="0"/>
        <w:jc w:val="left"/>
      </w:pPr>
      <w:r>
        <w:rPr>
          <w:spacing w:val="4.5"/>
          <w:rFonts w:ascii="Times NR MT Pro" w:hAnsi="Times NR MT Pro" w:eastAsia="Times NR MT Pro"/>
          <w:b w:val="0"/>
          <w:i w:val="0"/>
          <w:color w:val="000000"/>
          <w:sz w:val="18"/>
        </w:rPr>
        <w:t xml:space="preserve">The user-facing application (Fig. 8a) is a React front end over a FastAPI backend, deployed under Docker. A founder enters a </w:t>
      </w:r>
      <w:r>
        <w:rPr>
          <w:spacing w:val="0.7498538542319679"/>
          <w:rFonts w:ascii="Times NR MT Pro" w:hAnsi="Times NR MT Pro" w:eastAsia="Times NR MT Pro"/>
          <w:b w:val="0"/>
          <w:i w:val="0"/>
          <w:color w:val="000000"/>
          <w:sz w:val="18"/>
        </w:rPr>
        <w:t xml:space="preserve">product's category, price, and specification and gets the whole analysis back: a rank-calibrated viability range, a percentile position </w:t>
      </w:r>
      <w:r>
        <w:rPr>
          <w:spacing w:val="-0.5493225199835675"/>
          <w:rFonts w:ascii="Times NR MT Pro" w:hAnsi="Times NR MT Pro" w:eastAsia="Times NR MT Pro"/>
          <w:b w:val="0"/>
          <w:i w:val="0"/>
          <w:color w:val="000000"/>
          <w:sz w:val="18"/>
        </w:rPr>
        <w:t xml:space="preserve">against real products, per-aspect estimates drawn against category averages, and top risks and strengths from SHAP [42] attributions </w:t>
      </w:r>
      <w:r>
        <w:rPr>
          <w:spacing w:val="0.8959709041154207"/>
          <w:rFonts w:ascii="Times NR MT Pro" w:hAnsi="Times NR MT Pro" w:eastAsia="Times NR MT Pro"/>
          <w:b w:val="0"/>
          <w:i w:val="0"/>
          <w:color w:val="000000"/>
          <w:sz w:val="18"/>
        </w:rPr>
        <w:t>taken relative to the category-average product. Because the attributions are relative in that way, the cards agree with the aspect-vs-</w:t>
      </w:r>
      <w:r>
        <w:rPr>
          <w:spacing w:val="0.011693234168573187"/>
          <w:rFonts w:ascii="Times NR MT Pro" w:hAnsi="Times NR MT Pro" w:eastAsia="Times NR MT Pro"/>
          <w:b w:val="0"/>
          <w:i w:val="0"/>
          <w:color w:val="000000"/>
          <w:sz w:val="18"/>
        </w:rPr>
        <w:t xml:space="preserve">average chart by construction, and under the model's monotonic constraints an above-average aspect always reads as a strength and </w:t>
      </w:r>
      <w:r>
        <w:rPr>
          <w:spacing w:val="2.0615756492915045"/>
          <w:rFonts w:ascii="Times NR MT Pro" w:hAnsi="Times NR MT Pro" w:eastAsia="Times NR MT Pro"/>
          <w:b w:val="0"/>
          <w:i w:val="0"/>
          <w:color w:val="000000"/>
          <w:sz w:val="18"/>
        </w:rPr>
        <w:t xml:space="preserve">a below-average one as a risk—each phrased as a design lever the founder can actually move. A market-gap report rounds it out, </w:t>
      </w:r>
      <w:r>
        <w:rPr>
          <w:spacing w:val="1.7406258499249816"/>
          <w:rFonts w:ascii="Times NR MT Pro" w:hAnsi="Times NR MT Pro" w:eastAsia="Times NR MT Pro"/>
          <w:b w:val="0"/>
          <w:i w:val="0"/>
          <w:color w:val="000000"/>
          <w:sz w:val="18"/>
        </w:rPr>
        <w:t xml:space="preserve">quoting verbatim customer complaints for the category pain points a design does not convincingly address. Every aspect estimate </w:t>
      </w:r>
      <w:r>
        <w:rPr>
          <w:spacing w:val="2.441970647284479"/>
          <w:rFonts w:ascii="Times NR MT Pro" w:hAnsi="Times NR MT Pro" w:eastAsia="Times NR MT Pro"/>
          <w:b w:val="0"/>
          <w:i w:val="0"/>
          <w:color w:val="000000"/>
          <w:sz w:val="18"/>
        </w:rPr>
        <w:t xml:space="preserve">shows its trust badge and grounding flag, and confidence is reliability-weighted, so a specification that grounds only low-fidelity </w:t>
      </w:r>
      <w:r>
        <w:rPr>
          <w:spacing w:val="4.5"/>
          <w:rFonts w:ascii="Times NR MT Pro" w:hAnsi="Times NR MT Pro" w:eastAsia="Times NR MT Pro"/>
          <w:b w:val="0"/>
          <w:i w:val="0"/>
          <w:color w:val="000000"/>
          <w:sz w:val="18"/>
        </w:rPr>
        <w:t xml:space="preserve">aspects is reported at low confidence and, below threshold, replaced by an explanation rather than a number. The model also </w:t>
      </w:r>
      <w:r>
        <w:rPr>
          <w:spacing w:val="0.43922580489816593"/>
          <w:rFonts w:ascii="Times NR MT Pro" w:hAnsi="Times NR MT Pro" w:eastAsia="Times NR MT Pro"/>
          <w:b w:val="0"/>
          <w:i w:val="0"/>
          <w:color w:val="000000"/>
          <w:sz w:val="18"/>
        </w:rPr>
        <w:t xml:space="preserve">conditions on company and product maturity, so a first product from an unknown brand is judged differently from a line extension </w:t>
      </w:r>
      <w:r>
        <w:rPr>
          <w:spacing w:val="-0.17818069458007293"/>
          <w:rFonts w:ascii="Times NR MT Pro" w:hAnsi="Times NR MT Pro" w:eastAsia="Times NR MT Pro"/>
          <w:b w:val="0"/>
          <w:i w:val="0"/>
          <w:color w:val="000000"/>
          <w:sz w:val="18"/>
        </w:rPr>
        <w:t>by an established one.</w:t>
      </w:r>
    </w:p>
    <w:p>
      <w:pPr>
        <w:autoSpaceDN w:val="0"/>
        <w:autoSpaceDE w:val="0"/>
        <w:widowControl/>
        <w:spacing w:line="230" w:lineRule="exact" w:before="40" w:after="0"/>
        <w:ind w:left="0" w:right="20" w:firstLine="0"/>
        <w:jc w:val="both"/>
      </w:pPr>
      <w:r>
        <w:rPr>
          <w:spacing w:val="4.5"/>
          <w:rFonts w:ascii="Times NR MT Pro" w:hAnsi="Times NR MT Pro" w:eastAsia="Times NR MT Pro"/>
          <w:b w:val="0"/>
          <w:i w:val="0"/>
          <w:color w:val="000000"/>
          <w:sz w:val="18"/>
        </w:rPr>
        <w:t xml:space="preserve">The spec coach (Fig. 8b) closes the loop for users who are not practiced at writing specs. A single LLM call rates the draft's coverage of each aspect as covered, vague, or missing, asks at most five questions ordered by how much each answer would sharpen the prediction, and rewrites the spec while keeping every fact the user stated and inserting explicit placeholders for the </w:t>
      </w:r>
      <w:r>
        <w:rPr>
          <w:spacing w:val="-0.5609367322176695"/>
          <w:rFonts w:ascii="Times NR MT Pro" w:hAnsi="Times NR MT Pro" w:eastAsia="Times NR MT Pro"/>
          <w:b w:val="0"/>
          <w:i w:val="0"/>
          <w:color w:val="000000"/>
          <w:sz w:val="18"/>
        </w:rPr>
        <w:t>decisions still to be made. By construction, the coach may not invent a material, a number, or a feature the user did not state.</w:t>
      </w:r>
    </w:p>
    <w:p>
      <w:pPr>
        <w:autoSpaceDN w:val="0"/>
        <w:autoSpaceDE w:val="0"/>
        <w:widowControl/>
        <w:spacing w:line="240" w:lineRule="auto" w:before="108" w:after="0"/>
        <w:ind w:left="1296" w:right="0" w:firstLine="0"/>
        <w:jc w:val="left"/>
      </w:pPr>
      <w:r>
        <w:drawing>
          <wp:inline xmlns:a="http://schemas.openxmlformats.org/drawingml/2006/main" xmlns:pic="http://schemas.openxmlformats.org/drawingml/2006/picture">
            <wp:extent cx="4754880" cy="3302000"/>
            <wp:docPr id="36" name="Picture 3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754880" cy="3302000"/>
                    </a:xfrm>
                    <a:prstGeom prst="rect"/>
                  </pic:spPr>
                </pic:pic>
              </a:graphicData>
            </a:graphic>
          </wp:inline>
        </w:drawing>
      </w:r>
    </w:p>
    <w:p>
      <w:pPr>
        <w:sectPr>
          <w:pgSz w:w="12240" w:h="15840"/>
          <w:pgMar w:top="1088" w:right="1010" w:bottom="1440" w:left="1080" w:header="720" w:footer="720" w:gutter="0"/>
          <w:cols w:num="1" w:equalWidth="0">
            <w:col w:w="10150" w:space="0"/>
          </w:cols>
          <w:docGrid w:linePitch="360"/>
        </w:sectPr>
      </w:pPr>
    </w:p>
    <w:p>
      <w:pPr>
        <w:autoSpaceDN w:val="0"/>
        <w:autoSpaceDE w:val="0"/>
        <w:widowControl/>
        <w:spacing w:line="240" w:lineRule="auto" w:before="0" w:after="0"/>
        <w:ind w:left="2880" w:right="0" w:firstLine="0"/>
        <w:jc w:val="left"/>
      </w:pPr>
      <w:r>
        <w:drawing>
          <wp:inline xmlns:a="http://schemas.openxmlformats.org/drawingml/2006/main" xmlns:pic="http://schemas.openxmlformats.org/drawingml/2006/picture">
            <wp:extent cx="2743200" cy="1905000"/>
            <wp:docPr id="37" name="Picture 3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743200" cy="1905000"/>
                    </a:xfrm>
                    <a:prstGeom prst="rect"/>
                  </pic:spPr>
                </pic:pic>
              </a:graphicData>
            </a:graphic>
          </wp:inline>
        </w:drawing>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7504430</wp:posOffset>
                </wp:positionV>
                <wp:extent cx="6432550" cy="1590040"/>
                <wp:wrapNone/>
                <wp:docPr id="39" name="Text Box 39"/>
                <wp:cNvGraphicFramePr>
                  <a:graphicFrameLocks noChangeAspect="1"/>
                </wp:cNvGraphicFramePr>
                <a:graphic>
                  <a:graphicData uri="http://schemas.microsoft.com/office/word/2010/wordprocessingShape">
                    <wps:wsp>
                      <wps:cNvSpPr txBox="1">
                        <a:spLocks noChangeArrowheads="1"/>
                      </wps:cNvSpPr>
                      <wps:spPr bwMode="auto">
                        <a:xfrm>
                          <a:off x="0" y="0"/>
                          <a:ext cx="6432550" cy="159004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222" w:after="0"/>
        <w:ind w:left="2880" w:right="0" w:firstLine="0"/>
        <w:jc w:val="left"/>
      </w:pPr>
      <w:r>
        <w:drawing>
          <wp:inline xmlns:a="http://schemas.openxmlformats.org/drawingml/2006/main" xmlns:pic="http://schemas.openxmlformats.org/drawingml/2006/picture">
            <wp:extent cx="2743200" cy="1905000"/>
            <wp:docPr id="38" name="Picture 3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743200" cy="1905000"/>
                    </a:xfrm>
                    <a:prstGeom prst="rect"/>
                  </pic:spPr>
                </pic:pic>
              </a:graphicData>
            </a:graphic>
          </wp:inline>
        </w:drawing>
      </w:r>
    </w:p>
    <w:p>
      <w:pPr>
        <w:autoSpaceDN w:val="0"/>
        <w:autoSpaceDE w:val="0"/>
        <w:widowControl/>
        <w:spacing w:line="210" w:lineRule="exact" w:before="198" w:after="0"/>
        <w:ind w:left="0" w:right="0" w:firstLine="0"/>
        <w:jc w:val="center"/>
      </w:pPr>
      <w:r>
        <w:rPr>
          <w:spacing w:val="0.6586693548387037"/>
          <w:rFonts w:ascii="Liberation Serif" w:hAnsi="Liberation Serif" w:eastAsia="Liberation Serif"/>
          <w:b w:val="0"/>
          <w:i/>
          <w:color w:val="000000"/>
          <w:sz w:val="16"/>
        </w:rPr>
        <w:t xml:space="preserve">Figure 8. The application. (a) Prediction dashboard with viability range, percentile rank, and aspect-vs-category chart. (b) Spec coach. (c) Analyzer view </w:t>
      </w:r>
      <w:r>
        <w:rPr>
          <w:spacing w:val="0.4397865853658592"/>
          <w:rFonts w:ascii="Liberation Serif" w:hAnsi="Liberation Serif" w:eastAsia="Liberation Serif"/>
          <w:b w:val="0"/>
          <w:i/>
          <w:color w:val="000000"/>
          <w:sz w:val="16"/>
        </w:rPr>
        <w:t>showing the standardized benchmark table.</w:t>
      </w:r>
    </w:p>
    <w:p>
      <w:pPr>
        <w:autoSpaceDN w:val="0"/>
        <w:autoSpaceDE w:val="0"/>
        <w:widowControl/>
        <w:spacing w:line="222" w:lineRule="exact" w:before="176" w:after="0"/>
        <w:ind w:left="4112" w:right="0" w:firstLine="0"/>
        <w:jc w:val="left"/>
      </w:pPr>
      <w:r>
        <w:rPr>
          <w:spacing w:val="2.418169806985237"/>
          <w:rFonts w:ascii="Liberation Serif" w:hAnsi="Liberation Serif" w:eastAsia="Liberation Serif"/>
          <w:b/>
          <w:i w:val="0"/>
          <w:color w:val="000000"/>
          <w:sz w:val="19"/>
        </w:rPr>
        <w:t>VIII. LIMITATIONS</w:t>
      </w:r>
    </w:p>
    <w:p>
      <w:pPr>
        <w:autoSpaceDN w:val="0"/>
        <w:autoSpaceDE w:val="0"/>
        <w:widowControl/>
        <w:spacing w:line="228" w:lineRule="exact" w:before="86" w:after="0"/>
        <w:ind w:left="0" w:right="22" w:firstLine="0"/>
        <w:jc w:val="both"/>
      </w:pPr>
      <w:r>
        <w:rPr>
          <w:spacing w:val="4.5"/>
          <w:rFonts w:ascii="Times NR MT Pro" w:hAnsi="Times NR MT Pro" w:eastAsia="Times NR MT Pro"/>
          <w:b w:val="0"/>
          <w:i w:val="0"/>
          <w:color w:val="000000"/>
          <w:sz w:val="18"/>
        </w:rPr>
        <w:t xml:space="preserve"> Survivorship bias is the biggest limitation, and it bounds every claim in this paper. The corpus asks for at least five reviews per product, so products that launched and drew no attention—arguably the truest flops—simply are not there. Every result here is </w:t>
      </w:r>
      <w:r>
        <w:rPr>
          <w:spacing w:val="-1.1499991457570717"/>
          <w:rFonts w:ascii="Times NR MT Pro" w:hAnsi="Times NR MT Pro" w:eastAsia="Times NR MT Pro"/>
          <w:b w:val="0"/>
          <w:i w:val="0"/>
          <w:color w:val="000000"/>
          <w:sz w:val="18"/>
        </w:rPr>
        <w:t xml:space="preserve">about ranking among products that reached the market's attention. Whether the system could flag a product headed for no traction at </w:t>
      </w:r>
      <w:r>
        <w:rPr>
          <w:spacing w:val="-0.8042849004268605"/>
          <w:rFonts w:ascii="Times NR MT Pro" w:hAnsi="Times NR MT Pro" w:eastAsia="Times NR MT Pro"/>
          <w:b w:val="0"/>
          <w:i w:val="0"/>
          <w:color w:val="000000"/>
          <w:sz w:val="18"/>
        </w:rPr>
        <w:t>all is untested, and with this data it cannot be tested.</w:t>
      </w:r>
    </w:p>
    <w:p>
      <w:pPr>
        <w:autoSpaceDN w:val="0"/>
        <w:autoSpaceDE w:val="0"/>
        <w:widowControl/>
        <w:spacing w:line="230" w:lineRule="exact" w:before="40" w:after="0"/>
        <w:ind w:left="0" w:right="0" w:firstLine="0"/>
        <w:jc w:val="left"/>
      </w:pPr>
      <w:r>
        <w:rPr>
          <w:spacing w:val="1.0931307013708147"/>
          <w:rFonts w:ascii="Times NR MT Pro" w:hAnsi="Times NR MT Pro" w:eastAsia="Times NR MT Pro"/>
          <w:b w:val="0"/>
          <w:i w:val="0"/>
          <w:color w:val="000000"/>
          <w:sz w:val="18"/>
        </w:rPr>
        <w:t xml:space="preserve">The second limitation concerns the target construct: our viability score is a review-derived market-success proxy combining review </w:t>
      </w:r>
      <w:r>
        <w:rPr>
          <w:spacing w:val="1.0592431326707203"/>
          <w:rFonts w:ascii="Times NR MT Pro" w:hAnsi="Times NR MT Pro" w:eastAsia="Times NR MT Pro"/>
          <w:b w:val="0"/>
          <w:i w:val="0"/>
          <w:color w:val="000000"/>
          <w:sz w:val="18"/>
        </w:rPr>
        <w:t xml:space="preserve">volume, star rating, and review velocity, rather than commercial sales telemetry. While the literature demonstrates strong coupling </w:t>
      </w:r>
      <w:r>
        <w:rPr>
          <w:spacing w:val="4.5"/>
          <w:rFonts w:ascii="Times NR MT Pro" w:hAnsi="Times NR MT Pro" w:eastAsia="Times NR MT Pro"/>
          <w:b w:val="0"/>
          <w:i w:val="0"/>
          <w:color w:val="000000"/>
          <w:sz w:val="18"/>
        </w:rPr>
        <w:t xml:space="preserve">between consumer review dynamics and commercial revenues, sales volume remains unobserved. The third limitation is domain generalizability: the empirical findings reflect five physical consumer hardware categories and do not automatically extend to enterprise goods, fast-moving consumer goods, or digital services. Fourth, while post-launch product-specific signals were quarantined, category reference distributions were compiled across the broader corpus and were not strictly isolated from the </w:t>
      </w:r>
      <w:r>
        <w:rPr>
          <w:spacing w:val="0.6090484800792804"/>
          <w:rFonts w:ascii="Times NR MT Pro" w:hAnsi="Times NR MT Pro" w:eastAsia="Times NR MT Pro"/>
          <w:b w:val="0"/>
          <w:i w:val="0"/>
          <w:color w:val="000000"/>
          <w:sz w:val="18"/>
        </w:rPr>
        <w:t xml:space="preserve">evaluation products; additionally, unmasked commercial product names in specification headers may allow the LLM to access pre-trained real-world brand knowledge. Fifth, several pipeline choices make the reported numbers optimistic: XGBoost early stopping is scored on the validation fold (cross-validated R² 0.577 vs. 0.554 when early stopping uses only the training fold); the Table 1 classification metrics threshold predictions at the median of the true validation values (AUC is unaffected); brand tier is computed from the SKU footprint of the full 640-product corpus (true-aspect temporal ρ falls from 0.749 to 0.715 when tiers use only the training period); and labels are min–max normalized within category over all products, test products included. Sixth, the success target counts sampled reviews (capped at 300 per product, median 47) rather than lifetime popularity; the sampled review count correlates only ρ = 0.52 with lifetime rating counts, although a label rebuilt from lifetime counts agrees with ours at ρ = 0.69 overall (0.75–0.84 within category). Seventh, pooled rank correlations are dominated by between-category separation: forward-in-time skill within categories is much lower (mean ρ ≈ 0.16).</w:t>
      </w:r>
      <w:r>
        <w:rPr>
          <w:spacing w:val="-0.8325701202665121"/>
          <w:rFonts w:ascii="Times NR MT Pro" w:hAnsi="Times NR MT Pro" w:eastAsia="Times NR MT Pro"/>
          <w:b w:val="0"/>
          <w:i w:val="0"/>
          <w:color w:val="000000"/>
          <w:sz w:val="18"/>
        </w:rPr>
        <w:t xml:space="preserve"/>
      </w:r>
    </w:p>
    <w:p>
      <w:pPr>
        <w:autoSpaceDN w:val="0"/>
        <w:autoSpaceDE w:val="0"/>
        <w:widowControl/>
        <w:spacing w:line="222" w:lineRule="exact" w:before="162" w:after="0"/>
        <w:ind w:left="4200" w:right="0" w:firstLine="0"/>
        <w:jc w:val="left"/>
      </w:pPr>
      <w:r>
        <w:rPr>
          <w:spacing w:val="0.28571428571428975"/>
          <w:rFonts w:ascii="Liberation Serif" w:hAnsi="Liberation Serif" w:eastAsia="Liberation Serif"/>
          <w:b/>
          <w:i w:val="0"/>
          <w:color w:val="000000"/>
          <w:sz w:val="19"/>
        </w:rPr>
        <w:t>IX. CONCLUSION</w:t>
      </w:r>
    </w:p>
    <w:p>
      <w:pPr>
        <w:autoSpaceDN w:val="0"/>
        <w:autoSpaceDE w:val="0"/>
        <w:widowControl/>
        <w:spacing w:line="222" w:lineRule="exact" w:before="84" w:after="0"/>
        <w:ind w:left="0" w:right="144" w:firstLine="0"/>
        <w:jc w:val="left"/>
      </w:pPr>
      <w:r>
        <w:rPr>
          <w:spacing w:val="3.75"/>
          <w:rFonts w:ascii="Times New Roman" w:hAnsi="Times New Roman" w:eastAsia="Times New Roman"/>
          <w:b w:val="0"/>
          <w:i w:val="0"/>
          <w:color w:val="000000"/>
          <w:sz w:val="15"/>
        </w:rPr>
        <w:t xml:space="preserve">We evaluated the production bridging pipeline on a predefined frozen n = 59 holdout and report it as a superseded first-generation evaluation because the success model had been trained on the full corpus and the result does not carry over to the final corpus (n = 41, ρ = 0.280, p = 0.076). The retrained deployment evaluation successfully evaluated 118 held-out products after excluding the held-out set before retraining and achieved ρ = 0.529 (95% CI [0.377, 0.654], p &lt; 10⁻⁹) and AUC = 0.903. The extended temporal evaluation successfully evaluated 125 of 126 test products on an 80/20 launch-date split and achieved ρ = 0.590 (95% CI [0.464, 0.692]) and AUC = 0.942, with mean within-category ρ of about 0.16.</w:t>
      </w:r>
    </w:p>
    <w:p>
      <w:pPr>
        <w:sectPr>
          <w:pgSz w:w="12240" w:h="15840"/>
          <w:pgMar w:top="1080" w:right="1010" w:bottom="1440" w:left="1080" w:header="720" w:footer="720" w:gutter="0"/>
          <w:cols w:num="1" w:equalWidth="0">
            <w:col w:w="10150" w:space="0"/>
          </w:cols>
          <w:docGrid w:linePitch="360"/>
        </w:sectPr>
      </w:pPr>
    </w:p>
    <w:p>
      <w:pPr>
        <w:autoSpaceDN w:val="0"/>
        <w:autoSpaceDE w:val="0"/>
        <w:widowControl/>
        <w:spacing w:line="168" w:lineRule="exact" w:before="0" w:after="0"/>
        <w:ind w:left="0" w:right="0"/>
      </w:pP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690880</wp:posOffset>
                </wp:positionV>
                <wp:extent cx="6432550" cy="287020"/>
                <wp:wrapNone/>
                <wp:docPr id="41" name="Text Box 41"/>
                <wp:cNvGraphicFramePr>
                  <a:graphicFrameLocks noChangeAspect="1"/>
                </wp:cNvGraphicFramePr>
                <a:graphic>
                  <a:graphicData uri="http://schemas.microsoft.com/office/word/2010/wordprocessingShape">
                    <wps:wsp>
                      <wps:cNvSpPr txBox="1">
                        <a:spLocks noChangeArrowheads="1"/>
                      </wps:cNvSpPr>
                      <wps:spPr bwMode="auto">
                        <a:xfrm>
                          <a:off x="0" y="0"/>
                          <a:ext cx="6432550" cy="28702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0" w:after="0"/>
        <w:ind w:left="0" w:right="20" w:firstLine="0"/>
        <w:jc w:val="both"/>
      </w:pPr>
      <w:r>
        <w:rPr>
          <w:spacing w:val="4.5"/>
          <w:rFonts w:ascii="Times NR MT Pro" w:hAnsi="Times NR MT Pro" w:eastAsia="Times NR MT Pro"/>
          <w:b w:val="0"/>
          <w:i w:val="0"/>
          <w:color w:val="000000"/>
          <w:sz w:val="18"/>
        </w:rPr>
        <w:t xml:space="preserve">Beyond specific point estimates, the principal architectural contribution is the systematic characterization of bridging scope: identifying which product attributes can be reliably projected from specifications (utility, durability, ease of use, build quality, </w:t>
      </w:r>
      <w:r>
        <w:drawing>
          <wp:inline xmlns:a="http://schemas.openxmlformats.org/drawingml/2006/main" xmlns:pic="http://schemas.openxmlformats.org/drawingml/2006/picture">
            <wp:extent cx="800100" cy="139700"/>
            <wp:docPr id="40" name="Picture 4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800100" cy="139700"/>
                    </a:xfrm>
                    <a:prstGeom prst="rect"/>
                  </pic:spPr>
                </pic:pic>
              </a:graphicData>
            </a:graphic>
          </wp:inline>
        </w:drawing>
      </w:r>
      <w:r>
        <w:rPr>
          <w:spacing w:val="4.5"/>
          <w:rFonts w:ascii="Times NR MT Pro" w:hAnsi="Times NR MT Pro" w:eastAsia="Times NR MT Pro"/>
          <w:b w:val="0"/>
          <w:i w:val="0"/>
          <w:color w:val="000000"/>
          <w:sz w:val="18"/>
        </w:rPr>
        <w:t xml:space="preserve">reliability: r = 0.50–0.53) and which cannot (design appeal, after-sales service: r = 0.07–0.21). The framework demonstrates that predictive validity is bounded to spec-expressive categories where technical documentation reflects experiential quality, while commodity appliances like ice makers bound the approach. By incorporating reliability-weighted confidence heuristics and </w:t>
      </w:r>
      <w:r>
        <w:rPr>
          <w:spacing w:val="0.0024251459222851377"/>
          <w:rFonts w:ascii="Times NR MT Pro" w:hAnsi="Times NR MT Pro" w:eastAsia="Times NR MT Pro"/>
          <w:b w:val="0"/>
          <w:i w:val="0"/>
          <w:color w:val="000000"/>
          <w:sz w:val="18"/>
        </w:rPr>
        <w:t xml:space="preserve">uncalibrated runtime abstention mechanisms, the system provides an interpretable, transparent decision-support tool for early-stage </w:t>
      </w:r>
      <w:r>
        <w:rPr>
          <w:spacing w:val="-0.8668957126551622"/>
          <w:rFonts w:ascii="Times NR MT Pro" w:hAnsi="Times NR MT Pro" w:eastAsia="Times NR MT Pro"/>
          <w:b w:val="0"/>
          <w:i w:val="0"/>
          <w:color w:val="000000"/>
          <w:sz w:val="18"/>
        </w:rPr>
        <w:t>product viability evaluation.</w:t>
      </w:r>
    </w:p>
    <w:p>
      <w:pPr>
        <w:autoSpaceDN w:val="0"/>
        <w:autoSpaceDE w:val="0"/>
        <w:widowControl/>
        <w:spacing w:line="220" w:lineRule="exact" w:before="240" w:after="0"/>
        <w:ind w:left="4370" w:right="0" w:firstLine="0"/>
        <w:jc w:val="left"/>
      </w:pPr>
      <w:r>
        <w:rPr>
          <w:spacing w:val="2.772900390624983"/>
          <w:rFonts w:ascii="Liberation Serif" w:hAnsi="Liberation Serif" w:eastAsia="Liberation Serif"/>
          <w:b/>
          <w:i w:val="0"/>
          <w:color w:val="000000"/>
          <w:sz w:val="19"/>
        </w:rPr>
        <w:t>REFERENCES</w:t>
      </w:r>
    </w:p>
    <w:p>
      <w:pPr>
        <w:autoSpaceDN w:val="0"/>
        <w:autoSpaceDE w:val="0"/>
        <w:widowControl/>
        <w:spacing w:line="178" w:lineRule="exact" w:before="80" w:after="0"/>
        <w:ind w:left="0" w:right="0" w:firstLine="0"/>
        <w:jc w:val="left"/>
      </w:pPr>
      <w:r>
        <w:rPr>
          <w:spacing w:val="-4.0"/>
          <w:rFonts w:ascii="Liberation Serif" w:hAnsi="Liberation Serif" w:eastAsia="Liberation Serif"/>
          <w:b/>
          <w:i w:val="0"/>
          <w:color w:val="000000"/>
          <w:sz w:val="16"/>
        </w:rPr>
        <w:t xml:space="preserve">[1] </w:t>
      </w:r>
      <w:r>
        <w:rPr>
          <w:spacing w:val="-4.0"/>
          <w:rFonts w:ascii="Times NR MT Pro" w:hAnsi="Times NR MT Pro" w:eastAsia="Times NR MT Pro"/>
          <w:b w:val="0"/>
          <w:i w:val="0"/>
          <w:color w:val="000000"/>
          <w:sz w:val="16"/>
        </w:rPr>
        <w:t>Chevalier and Mayzlin 2006. The Effect of Word of Mouth on Sales: Online Book Reviews. Journal of Marketing Research.</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[2] </w:t>
      </w:r>
      <w:r>
        <w:rPr>
          <w:spacing w:val="-4.0"/>
          <w:rFonts w:ascii="Times NR MT Pro" w:hAnsi="Times NR MT Pro" w:eastAsia="Times NR MT Pro"/>
          <w:b w:val="0"/>
          <w:i w:val="0"/>
          <w:color w:val="000000"/>
          <w:sz w:val="16"/>
        </w:rPr>
        <w:t>Chintagunta et al. 2010. The Effects of Online User Reviews on Movie Box Office Performance. Marketing Science.</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[3] </w:t>
      </w:r>
      <w:r>
        <w:rPr>
          <w:spacing w:val="-4.0"/>
          <w:rFonts w:ascii="Times NR MT Pro" w:hAnsi="Times NR MT Pro" w:eastAsia="Times NR MT Pro"/>
          <w:b w:val="0"/>
          <w:i w:val="0"/>
          <w:color w:val="000000"/>
          <w:sz w:val="16"/>
        </w:rPr>
        <w:t>Dellarocas 2003. The Digitization of Word of Mouth: Promise and Challenges of Online Feedback Mechanisms. Management Science.</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[4] </w:t>
      </w:r>
      <w:r>
        <w:rPr>
          <w:spacing w:val="-4.0"/>
          <w:rFonts w:ascii="Times NR MT Pro" w:hAnsi="Times NR MT Pro" w:eastAsia="Times NR MT Pro"/>
          <w:b w:val="0"/>
          <w:i w:val="0"/>
          <w:color w:val="000000"/>
          <w:sz w:val="16"/>
        </w:rPr>
        <w:t>Luca 2016. Reviews, Reputation, and Revenue: The Case of Yelp.com. Harvard Business School Working Paper 12-016.</w:t>
      </w:r>
    </w:p>
    <w:p>
      <w:pPr>
        <w:autoSpaceDN w:val="0"/>
        <w:tabs>
          <w:tab w:pos="360" w:val="left"/>
        </w:tabs>
        <w:autoSpaceDE w:val="0"/>
        <w:widowControl/>
        <w:spacing w:line="184" w:lineRule="exact" w:before="30" w:after="0"/>
        <w:ind w:left="0" w:right="0" w:firstLine="0"/>
        <w:jc w:val="left"/>
      </w:pPr>
      <w:r>
        <w:rPr>
          <w:spacing w:val="-4.0"/>
          <w:rFonts w:ascii="Liberation Serif" w:hAnsi="Liberation Serif" w:eastAsia="Liberation Serif"/>
          <w:b/>
          <w:i w:val="0"/>
          <w:color w:val="000000"/>
          <w:sz w:val="16"/>
        </w:rPr>
        <w:t xml:space="preserve">[5] </w:t>
      </w:r>
      <w:r>
        <w:rPr>
          <w:spacing w:val="-4.0"/>
          <w:rFonts w:ascii="Times NR MT Pro" w:hAnsi="Times NR MT Pro" w:eastAsia="Times NR MT Pro"/>
          <w:b w:val="0"/>
          <w:i w:val="0"/>
          <w:color w:val="000000"/>
          <w:sz w:val="16"/>
        </w:rPr>
        <w:t xml:space="preserve">Shan et al. 2025. Examining Customer Satisfaction Through Transformer-Based Sentiment Analysis for Improving Bilingual E-Commerce Experiences. </w:t>
      </w:r>
      <w:r>
        <w:t xml:space="preserve">    </w:t>
      </w:r>
      <w:r>
        <w:rPr>
          <w:spacing w:val="-4.0"/>
          <w:rFonts w:ascii="Times NR MT Pro" w:hAnsi="Times NR MT Pro" w:eastAsia="Times NR MT Pro"/>
          <w:b w:val="0"/>
          <w:i w:val="0"/>
          <w:color w:val="000000"/>
          <w:sz w:val="16"/>
        </w:rPr>
        <w:t>IEEE Access.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[6] </w:t>
      </w:r>
      <w:r>
        <w:rPr>
          <w:spacing w:val="-4.0"/>
          <w:rFonts w:ascii="Times NR MT Pro" w:hAnsi="Times NR MT Pro" w:eastAsia="Times NR MT Pro"/>
          <w:b w:val="0"/>
          <w:i w:val="0"/>
          <w:color w:val="000000"/>
          <w:sz w:val="16"/>
        </w:rPr>
        <w:t>Wang et al. 2025. MultiFeature Fusion Graph Attention Network for Aspect-Based Sentiment Analysis. Knowledge-Based Systems.</w:t>
      </w:r>
    </w:p>
    <w:p>
      <w:pPr>
        <w:autoSpaceDN w:val="0"/>
        <w:tabs>
          <w:tab w:pos="360" w:val="left"/>
        </w:tabs>
        <w:autoSpaceDE w:val="0"/>
        <w:widowControl/>
        <w:spacing w:line="182" w:lineRule="exact" w:before="34" w:after="0"/>
        <w:ind w:left="0" w:right="0" w:firstLine="0"/>
        <w:jc w:val="left"/>
      </w:pPr>
      <w:r>
        <w:rPr>
          <w:spacing w:val="-4.0"/>
          <w:rFonts w:ascii="Liberation Serif" w:hAnsi="Liberation Serif" w:eastAsia="Liberation Serif"/>
          <w:b/>
          <w:i w:val="0"/>
          <w:color w:val="000000"/>
          <w:sz w:val="16"/>
        </w:rPr>
        <w:t xml:space="preserve">[7] </w:t>
      </w:r>
      <w:r>
        <w:rPr>
          <w:spacing w:val="-0.024705234695880013"/>
          <w:rFonts w:ascii="Times NR MT Pro" w:hAnsi="Times NR MT Pro" w:eastAsia="Times NR MT Pro"/>
          <w:b w:val="0"/>
          <w:i w:val="0"/>
          <w:color w:val="000000"/>
          <w:sz w:val="16"/>
        </w:rPr>
        <w:t xml:space="preserve">Zhang et al. 2023. A Survey on Aspect-Based Sentiment Analysis: Tasks, Methods, and Challenges. IEEE Transactions on Knowledge and Data </w:t>
      </w:r>
      <w:r>
        <w:t xml:space="preserve">     </w:t>
      </w:r>
      <w:r>
        <w:rPr>
          <w:spacing w:val="-4.0"/>
          <w:rFonts w:ascii="Times NR MT Pro" w:hAnsi="Times NR MT Pro" w:eastAsia="Times NR MT Pro"/>
          <w:b w:val="0"/>
          <w:i w:val="0"/>
          <w:color w:val="000000"/>
          <w:sz w:val="16"/>
        </w:rPr>
        <w:t>Engineering.</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[8] </w:t>
      </w:r>
      <w:r>
        <w:rPr>
          <w:spacing w:val="-4.0"/>
          <w:rFonts w:ascii="Times NR MT Pro" w:hAnsi="Times NR MT Pro" w:eastAsia="Times NR MT Pro"/>
          <w:b w:val="0"/>
          <w:i w:val="0"/>
          <w:color w:val="000000"/>
          <w:sz w:val="16"/>
        </w:rPr>
        <w:t>Archak et al. 2011. Deriving the Pricing Power of Product Features by Mining Consumer Reviews. Management Science.</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[9] </w:t>
      </w:r>
      <w:r>
        <w:rPr>
          <w:spacing w:val="-4.0"/>
          <w:rFonts w:ascii="Times NR MT Pro" w:hAnsi="Times NR MT Pro" w:eastAsia="Times NR MT Pro"/>
          <w:b w:val="0"/>
          <w:i w:val="0"/>
          <w:color w:val="000000"/>
          <w:sz w:val="16"/>
        </w:rPr>
        <w:t>Asur and Huberman 2010. Predicting the Future With Social Media. Proc. IEEE/WIC/ACM Int. Conf. on Web Intelligence.</w:t>
      </w:r>
    </w:p>
    <w:p>
      <w:pPr>
        <w:autoSpaceDN w:val="0"/>
        <w:tabs>
          <w:tab w:pos="360" w:val="left"/>
        </w:tabs>
        <w:autoSpaceDE w:val="0"/>
        <w:widowControl/>
        <w:spacing w:line="182" w:lineRule="exact" w:before="34" w:after="0"/>
        <w:ind w:left="0" w:right="0" w:firstLine="0"/>
        <w:jc w:val="left"/>
      </w:pPr>
      <w:r>
        <w:rPr>
          <w:spacing w:val="-4.0"/>
          <w:rFonts w:ascii="Liberation Serif" w:hAnsi="Liberation Serif" w:eastAsia="Liberation Serif"/>
          <w:b/>
          <w:i w:val="0"/>
          <w:color w:val="000000"/>
          <w:sz w:val="16"/>
        </w:rPr>
        <w:t xml:space="preserve">[10] </w:t>
      </w:r>
      <w:r>
        <w:rPr>
          <w:spacing w:val="-1.5771421841212632"/>
          <w:rFonts w:ascii="Times NR MT Pro" w:hAnsi="Times NR MT Pro" w:eastAsia="Times NR MT Pro"/>
          <w:b w:val="0"/>
          <w:i w:val="0"/>
          <w:color w:val="000000"/>
          <w:sz w:val="16"/>
        </w:rPr>
        <w:t xml:space="preserve">Ghose and Ipeirotis 2011. Estimating the Helpfulness and Economic Impact of Product Reviews: Mining Text and Reviewer Characteristics. IEEE </w:t>
      </w:r>
      <w:r>
        <w:t xml:space="preserve">     </w:t>
      </w:r>
      <w:r>
        <w:rPr>
          <w:spacing w:val="-4.0"/>
          <w:rFonts w:ascii="Times NR MT Pro" w:hAnsi="Times NR MT Pro" w:eastAsia="Times NR MT Pro"/>
          <w:b w:val="0"/>
          <w:i w:val="0"/>
          <w:color w:val="000000"/>
          <w:sz w:val="16"/>
        </w:rPr>
        <w:t>Transactions on Knowledge and Data Engineering.</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[11] </w:t>
      </w:r>
      <w:r>
        <w:rPr>
          <w:spacing w:val="-4.0"/>
          <w:rFonts w:ascii="Times NR MT Pro" w:hAnsi="Times NR MT Pro" w:eastAsia="Times NR MT Pro"/>
          <w:b w:val="0"/>
          <w:i w:val="0"/>
          <w:color w:val="000000"/>
          <w:sz w:val="16"/>
        </w:rPr>
        <w:t>Mudambi and Schuff 2010. What Makes a Helpful Online Review? A Study of Customer Reviews on Amazon.com. MIS Quarterly.</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[12] </w:t>
      </w:r>
      <w:r>
        <w:rPr>
          <w:spacing w:val="-4.0"/>
          <w:rFonts w:ascii="Times NR MT Pro" w:hAnsi="Times NR MT Pro" w:eastAsia="Times NR MT Pro"/>
          <w:b w:val="0"/>
          <w:i w:val="0"/>
          <w:color w:val="000000"/>
          <w:sz w:val="16"/>
        </w:rPr>
        <w:t>Narayanan et al. 2020. Product Pre-Launch Prediction From Resilient Distributed e-WOM Data. IEEE Access.</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[13] </w:t>
      </w:r>
      <w:r>
        <w:rPr>
          <w:spacing w:val="-4.0"/>
          <w:rFonts w:ascii="Times NR MT Pro" w:hAnsi="Times NR MT Pro" w:eastAsia="Times NR MT Pro"/>
          <w:b w:val="0"/>
          <w:i w:val="0"/>
          <w:color w:val="000000"/>
          <w:sz w:val="16"/>
        </w:rPr>
        <w:t>Jindal and Liu 2008. Opinion Spam and Analysis. Proc. Int. Conf. on Web Search and Data Mining (WSDM).</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[14] </w:t>
      </w:r>
      <w:r>
        <w:rPr>
          <w:spacing w:val="-4.0"/>
          <w:rFonts w:ascii="Times NR MT Pro" w:hAnsi="Times NR MT Pro" w:eastAsia="Times NR MT Pro"/>
          <w:b w:val="0"/>
          <w:i w:val="0"/>
          <w:color w:val="000000"/>
          <w:sz w:val="16"/>
        </w:rPr>
        <w:t>Mayzlin et al. 2014. Promotional Reviews: An Empirical Investigation of Online Review Manipulation. American Economic Review.</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[15] </w:t>
      </w:r>
      <w:r>
        <w:rPr>
          <w:spacing w:val="-4.0"/>
          <w:rFonts w:ascii="Times NR MT Pro" w:hAnsi="Times NR MT Pro" w:eastAsia="Times NR MT Pro"/>
          <w:b w:val="0"/>
          <w:i w:val="0"/>
          <w:color w:val="000000"/>
          <w:sz w:val="16"/>
        </w:rPr>
        <w:t>Ott et al. 2011. Finding Deceptive Opinion Spam by Any Stretch of the Imagination. Proc. Annual Meeting of the ACL.</w:t>
      </w:r>
    </w:p>
    <w:p>
      <w:pPr>
        <w:autoSpaceDN w:val="0"/>
        <w:autoSpaceDE w:val="0"/>
        <w:widowControl/>
        <w:spacing w:line="224" w:lineRule="exact" w:before="0" w:after="0"/>
        <w:ind w:left="0" w:right="720" w:firstLine="0"/>
        <w:jc w:val="left"/>
      </w:pPr>
      <w:r>
        <w:rPr>
          <w:spacing w:val="-4.0"/>
          <w:rFonts w:ascii="Liberation Serif" w:hAnsi="Liberation Serif" w:eastAsia="Liberation Serif"/>
          <w:b/>
          <w:i w:val="0"/>
          <w:color w:val="000000"/>
          <w:sz w:val="16"/>
        </w:rPr>
        <w:t xml:space="preserve">[16] </w:t>
      </w:r>
      <w:r>
        <w:rPr>
          <w:spacing w:val="-4.0"/>
          <w:rFonts w:ascii="Times NR MT Pro" w:hAnsi="Times NR MT Pro" w:eastAsia="Times NR MT Pro"/>
          <w:b w:val="0"/>
          <w:i w:val="0"/>
          <w:color w:val="000000"/>
          <w:sz w:val="16"/>
        </w:rPr>
        <w:t xml:space="preserve">Hu and Liu 2004. Mining and Summarizing Customer Reviews. Proc. ACM SIGKDD Int. Conf. on Knowledge Discovery and Data Mining. </w:t>
      </w:r>
      <w:r>
        <w:rPr>
          <w:spacing w:val="-4.0"/>
          <w:rFonts w:ascii="Liberation Serif" w:hAnsi="Liberation Serif" w:eastAsia="Liberation Serif"/>
          <w:b/>
          <w:i w:val="0"/>
          <w:color w:val="000000"/>
          <w:sz w:val="16"/>
        </w:rPr>
        <w:t xml:space="preserve">[17] </w:t>
      </w:r>
      <w:r>
        <w:rPr>
          <w:spacing w:val="-4.0"/>
          <w:rFonts w:ascii="Times NR MT Pro" w:hAnsi="Times NR MT Pro" w:eastAsia="Times NR MT Pro"/>
          <w:b w:val="0"/>
          <w:i w:val="0"/>
          <w:color w:val="000000"/>
          <w:sz w:val="16"/>
        </w:rPr>
        <w:t>Lange et al. 2025. Curriculum Learning for a Hybrid Approach for Aspect-Based Sentiment Analysis. Expert Systems with Applications.</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[18] </w:t>
      </w:r>
      <w:r>
        <w:rPr>
          <w:spacing w:val="-4.0"/>
          <w:rFonts w:ascii="Times NR MT Pro" w:hAnsi="Times NR MT Pro" w:eastAsia="Times NR MT Pro"/>
          <w:b w:val="0"/>
          <w:i w:val="0"/>
          <w:color w:val="000000"/>
          <w:sz w:val="16"/>
        </w:rPr>
        <w:t>Liu 2012. Sentiment Analysis and Opinion Mining. Morgan &amp; Claypool.</w:t>
      </w:r>
    </w:p>
    <w:p>
      <w:pPr>
        <w:autoSpaceDN w:val="0"/>
        <w:autoSpaceDE w:val="0"/>
        <w:widowControl/>
        <w:spacing w:line="224" w:lineRule="exact" w:before="0" w:after="0"/>
        <w:ind w:left="0" w:right="864" w:firstLine="0"/>
        <w:jc w:val="left"/>
      </w:pPr>
      <w:r>
        <w:rPr>
          <w:spacing w:val="-4.0"/>
          <w:rFonts w:ascii="Liberation Serif" w:hAnsi="Liberation Serif" w:eastAsia="Liberation Serif"/>
          <w:b/>
          <w:i w:val="0"/>
          <w:color w:val="000000"/>
          <w:sz w:val="16"/>
        </w:rPr>
        <w:t xml:space="preserve">[19] </w:t>
      </w:r>
      <w:r>
        <w:rPr>
          <w:spacing w:val="-4.0"/>
          <w:rFonts w:ascii="Times NR MT Pro" w:hAnsi="Times NR MT Pro" w:eastAsia="Times NR MT Pro"/>
          <w:b w:val="0"/>
          <w:i w:val="0"/>
          <w:color w:val="000000"/>
          <w:sz w:val="16"/>
        </w:rPr>
        <w:t xml:space="preserve">Pontiki et al. 2014. SemEval-2014 Task 4: Aspect Based Sentiment Analysis. Proc. 8th Int. Workshop on Semantic Evaluation (SemEval). </w:t>
      </w:r>
      <w:r>
        <w:rPr>
          <w:spacing w:val="-4.0"/>
          <w:rFonts w:ascii="Liberation Serif" w:hAnsi="Liberation Serif" w:eastAsia="Liberation Serif"/>
          <w:b/>
          <w:i w:val="0"/>
          <w:color w:val="000000"/>
          <w:sz w:val="16"/>
        </w:rPr>
        <w:t xml:space="preserve">[20] </w:t>
      </w:r>
      <w:r>
        <w:rPr>
          <w:spacing w:val="-4.0"/>
          <w:rFonts w:ascii="Times NR MT Pro" w:hAnsi="Times NR MT Pro" w:eastAsia="Times NR MT Pro"/>
          <w:b w:val="0"/>
          <w:i w:val="0"/>
          <w:color w:val="000000"/>
          <w:sz w:val="16"/>
        </w:rPr>
        <w:t>SESR 2025. Research on Sentiment Analysis Based on Multi-Source Data Fusion. Socio-Economic Statistics Research.</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[21] </w:t>
      </w:r>
      <w:r>
        <w:rPr>
          <w:spacing w:val="-4.0"/>
          <w:rFonts w:ascii="Times NR MT Pro" w:hAnsi="Times NR MT Pro" w:eastAsia="Times NR MT Pro"/>
          <w:b w:val="0"/>
          <w:i w:val="0"/>
          <w:color w:val="000000"/>
          <w:sz w:val="16"/>
        </w:rPr>
        <w:t>Bommasani et al. 2021. On the Opportunities and Risks of Foundation Models. arXiv preprint arXiv:2108.07258.</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[22] </w:t>
      </w:r>
      <w:r>
        <w:rPr>
          <w:spacing w:val="-4.0"/>
          <w:rFonts w:ascii="Times NR MT Pro" w:hAnsi="Times NR MT Pro" w:eastAsia="Times NR MT Pro"/>
          <w:b w:val="0"/>
          <w:i w:val="0"/>
          <w:color w:val="000000"/>
          <w:sz w:val="16"/>
        </w:rPr>
        <w:t>Brown et al. 2020. Language Models Are Few-Shot Learners. Advances in Neural Information Processing Systems.</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[23] </w:t>
      </w:r>
      <w:r>
        <w:rPr>
          <w:spacing w:val="-4.0"/>
          <w:rFonts w:ascii="Times NR MT Pro" w:hAnsi="Times NR MT Pro" w:eastAsia="Times NR MT Pro"/>
          <w:b w:val="0"/>
          <w:i w:val="0"/>
          <w:color w:val="000000"/>
          <w:sz w:val="16"/>
        </w:rPr>
        <w:t>Devlin et al. 2019. BERT: Pre-Training of Deep Bidirectional Transformers for Language Understanding. Proc. NAACL-HLT.</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[24] </w:t>
      </w:r>
      <w:r>
        <w:rPr>
          <w:spacing w:val="-4.0"/>
          <w:rFonts w:ascii="Times NR MT Pro" w:hAnsi="Times NR MT Pro" w:eastAsia="Times NR MT Pro"/>
          <w:b w:val="0"/>
          <w:i w:val="0"/>
          <w:color w:val="000000"/>
          <w:sz w:val="16"/>
        </w:rPr>
        <w:t>Gemini Team 2023. Gemini: A Family of Highly Capable Multimodal Models. arXiv preprint arXiv:2312.11805.</w:t>
      </w:r>
    </w:p>
    <w:p>
      <w:pPr>
        <w:autoSpaceDN w:val="0"/>
        <w:tabs>
          <w:tab w:pos="360" w:val="left"/>
        </w:tabs>
        <w:autoSpaceDE w:val="0"/>
        <w:widowControl/>
        <w:spacing w:line="208" w:lineRule="exact" w:before="4" w:after="0"/>
        <w:ind w:left="0" w:right="0" w:firstLine="0"/>
        <w:jc w:val="left"/>
      </w:pPr>
      <w:r>
        <w:rPr>
          <w:spacing w:val="-4.0"/>
          <w:rFonts w:ascii="Liberation Serif" w:hAnsi="Liberation Serif" w:eastAsia="Liberation Serif"/>
          <w:b/>
          <w:i w:val="0"/>
          <w:color w:val="000000"/>
          <w:sz w:val="16"/>
        </w:rPr>
        <w:t xml:space="preserve">[25] </w:t>
      </w:r>
      <w:r>
        <w:rPr>
          <w:spacing w:val="-4.0"/>
          <w:rFonts w:ascii="Times NR MT Pro" w:hAnsi="Times NR MT Pro" w:eastAsia="Times NR MT Pro"/>
          <w:b w:val="0"/>
          <w:i w:val="0"/>
          <w:color w:val="000000"/>
          <w:sz w:val="16"/>
        </w:rPr>
        <w:t xml:space="preserve">Gilardi et al. 2023. ChatGPT Outperforms Crowd Workers for Text-Annotation Tasks. Proceedings of the National Academy of Sciences. </w:t>
      </w:r>
      <w:r>
        <w:rPr>
          <w:spacing w:val="-4.0"/>
          <w:rFonts w:ascii="Liberation Serif" w:hAnsi="Liberation Serif" w:eastAsia="Liberation Serif"/>
          <w:b/>
          <w:i w:val="0"/>
          <w:color w:val="000000"/>
          <w:sz w:val="16"/>
        </w:rPr>
        <w:t xml:space="preserve">[26] </w:t>
      </w:r>
      <w:r>
        <w:rPr>
          <w:spacing w:val="-0.9639153847327536"/>
          <w:rFonts w:ascii="Times NR MT Pro" w:hAnsi="Times NR MT Pro" w:eastAsia="Times NR MT Pro"/>
          <w:b w:val="0"/>
          <w:i w:val="0"/>
          <w:color w:val="000000"/>
          <w:sz w:val="16"/>
        </w:rPr>
        <w:t xml:space="preserve">Gutierrez et al. 2025. Zero-Shot Product Description Generation From Customers Reviews. Proc. Int. Conf. on Agents and Artificial Intelligence </w:t>
      </w:r>
      <w:r>
        <w:t xml:space="preserve">    </w:t>
      </w:r>
      <w:r>
        <w:rPr>
          <w:spacing w:val="-4.0"/>
          <w:rFonts w:ascii="Times NR MT Pro" w:hAnsi="Times NR MT Pro" w:eastAsia="Times NR MT Pro"/>
          <w:b w:val="0"/>
          <w:i w:val="0"/>
          <w:color w:val="000000"/>
          <w:sz w:val="16"/>
        </w:rPr>
        <w:t>(ICAART).</w:t>
      </w:r>
    </w:p>
    <w:p>
      <w:pPr>
        <w:autoSpaceDN w:val="0"/>
        <w:tabs>
          <w:tab w:pos="360" w:val="left"/>
        </w:tabs>
        <w:autoSpaceDE w:val="0"/>
        <w:widowControl/>
        <w:spacing w:line="182" w:lineRule="exact" w:before="36" w:after="0"/>
        <w:ind w:left="0" w:right="0" w:firstLine="0"/>
        <w:jc w:val="left"/>
      </w:pPr>
      <w:r>
        <w:rPr>
          <w:spacing w:val="-4.0"/>
          <w:rFonts w:ascii="Liberation Serif" w:hAnsi="Liberation Serif" w:eastAsia="Liberation Serif"/>
          <w:b/>
          <w:i w:val="0"/>
          <w:color w:val="000000"/>
          <w:sz w:val="16"/>
        </w:rPr>
        <w:t xml:space="preserve">[27] </w:t>
      </w:r>
      <w:r>
        <w:rPr>
          <w:spacing w:val="-2.2574641805299525"/>
          <w:rFonts w:ascii="Times NR MT Pro" w:hAnsi="Times NR MT Pro" w:eastAsia="Times NR MT Pro"/>
          <w:b w:val="0"/>
          <w:i w:val="0"/>
          <w:color w:val="000000"/>
          <w:sz w:val="16"/>
        </w:rPr>
        <w:t xml:space="preserve">Hidayat et al. 2025. Leveraging Large Language Models for Discrepancy Value Prediction in Custody Transfer Systems: A Comparative Analysis of </w:t>
      </w:r>
      <w:r>
        <w:t xml:space="preserve">     </w:t>
      </w:r>
      <w:r>
        <w:rPr>
          <w:spacing w:val="-4.0"/>
          <w:rFonts w:ascii="Times NR MT Pro" w:hAnsi="Times NR MT Pro" w:eastAsia="Times NR MT Pro"/>
          <w:b w:val="0"/>
          <w:i w:val="0"/>
          <w:color w:val="000000"/>
          <w:sz w:val="16"/>
        </w:rPr>
        <w:t>Probabilistic and Point Forecasting Approaches. IEEE Access.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[28] </w:t>
      </w:r>
      <w:r>
        <w:rPr>
          <w:spacing w:val="-4.0"/>
          <w:rFonts w:ascii="Times NR MT Pro" w:hAnsi="Times NR MT Pro" w:eastAsia="Times NR MT Pro"/>
          <w:b w:val="0"/>
          <w:i w:val="0"/>
          <w:color w:val="000000"/>
          <w:sz w:val="16"/>
        </w:rPr>
        <w:t>OpenAI 2023. GPT-4 Technical Report. arXiv preprint arXiv:2303.08774.</w:t>
      </w:r>
    </w:p>
    <w:p>
      <w:pPr>
        <w:autoSpaceDN w:val="0"/>
        <w:tabs>
          <w:tab w:pos="360" w:val="left"/>
        </w:tabs>
        <w:autoSpaceDE w:val="0"/>
        <w:widowControl/>
        <w:spacing w:line="210" w:lineRule="exact" w:before="4" w:after="0"/>
        <w:ind w:left="0" w:right="0" w:firstLine="0"/>
        <w:jc w:val="left"/>
      </w:pPr>
      <w:r>
        <w:rPr>
          <w:spacing w:val="-4.0"/>
          <w:rFonts w:ascii="Liberation Serif" w:hAnsi="Liberation Serif" w:eastAsia="Liberation Serif"/>
          <w:b/>
          <w:i w:val="0"/>
          <w:color w:val="000000"/>
          <w:sz w:val="16"/>
        </w:rPr>
        <w:t xml:space="preserve">[29] </w:t>
      </w:r>
      <w:r>
        <w:rPr>
          <w:spacing w:val="-4.0"/>
          <w:rFonts w:ascii="Times NR MT Pro" w:hAnsi="Times NR MT Pro" w:eastAsia="Times NR MT Pro"/>
          <w:b w:val="0"/>
          <w:i w:val="0"/>
          <w:color w:val="000000"/>
          <w:sz w:val="16"/>
        </w:rPr>
        <w:t xml:space="preserve">Ouyang et al. 2022. Training Language Models to Follow Instructions With Human Feedback. Advances in Neural Information Processing Systems. </w:t>
      </w:r>
      <w:r>
        <w:rPr>
          <w:spacing w:val="-4.0"/>
          <w:rFonts w:ascii="Liberation Serif" w:hAnsi="Liberation Serif" w:eastAsia="Liberation Serif"/>
          <w:b/>
          <w:i w:val="0"/>
          <w:color w:val="000000"/>
          <w:sz w:val="16"/>
        </w:rPr>
        <w:t xml:space="preserve">[30] </w:t>
      </w:r>
      <w:r>
        <w:rPr>
          <w:spacing w:val="-0.8223523111904368"/>
          <w:rFonts w:ascii="Times NR MT Pro" w:hAnsi="Times NR MT Pro" w:eastAsia="Times NR MT Pro"/>
          <w:b w:val="0"/>
          <w:i w:val="0"/>
          <w:color w:val="000000"/>
          <w:sz w:val="16"/>
        </w:rPr>
        <w:t xml:space="preserve">Roumeliotis et al. 2025. LLMs for Product Classification in E-Commerce: A Zero-Shot Comparative Study of GPT and Claude Models. Natural </w:t>
      </w:r>
      <w:r>
        <w:t xml:space="preserve">     </w:t>
      </w:r>
      <w:r>
        <w:rPr>
          <w:spacing w:val="-4.0"/>
          <w:rFonts w:ascii="Times NR MT Pro" w:hAnsi="Times NR MT Pro" w:eastAsia="Times NR MT Pro"/>
          <w:b w:val="0"/>
          <w:i w:val="0"/>
          <w:color w:val="000000"/>
          <w:sz w:val="16"/>
        </w:rPr>
        <w:t>Language Processing Journal.</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[31] </w:t>
      </w:r>
      <w:r>
        <w:rPr>
          <w:spacing w:val="-4.0"/>
          <w:rFonts w:ascii="Times NR MT Pro" w:hAnsi="Times NR MT Pro" w:eastAsia="Times NR MT Pro"/>
          <w:b w:val="0"/>
          <w:i w:val="0"/>
          <w:color w:val="000000"/>
          <w:sz w:val="16"/>
        </w:rPr>
        <w:t>Touvron et al. 2023. LLaMA: Open and Efficient Foundation Language Models. arXiv preprint arXiv:2302.13971.</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[32] </w:t>
      </w:r>
      <w:r>
        <w:rPr>
          <w:spacing w:val="-4.0"/>
          <w:rFonts w:ascii="Times NR MT Pro" w:hAnsi="Times NR MT Pro" w:eastAsia="Times NR MT Pro"/>
          <w:b w:val="0"/>
          <w:i w:val="0"/>
          <w:color w:val="000000"/>
          <w:sz w:val="16"/>
        </w:rPr>
        <w:t>Vaswani et al. 2017. Attention Is All You Need. Advances in Neural Information Processing Systems.</w:t>
      </w:r>
    </w:p>
    <w:p>
      <w:pPr>
        <w:autoSpaceDN w:val="0"/>
        <w:autoSpaceDE w:val="0"/>
        <w:widowControl/>
        <w:spacing w:line="224" w:lineRule="exact" w:before="0" w:after="0"/>
        <w:ind w:left="0" w:right="432" w:firstLine="0"/>
        <w:jc w:val="left"/>
      </w:pPr>
      <w:r>
        <w:rPr>
          <w:spacing w:val="-4.0"/>
          <w:rFonts w:ascii="Liberation Serif" w:hAnsi="Liberation Serif" w:eastAsia="Liberation Serif"/>
          <w:b/>
          <w:i w:val="0"/>
          <w:color w:val="000000"/>
          <w:sz w:val="16"/>
        </w:rPr>
        <w:t xml:space="preserve">[33] </w:t>
      </w:r>
      <w:r>
        <w:rPr>
          <w:spacing w:val="-4.0"/>
          <w:rFonts w:ascii="Times NR MT Pro" w:hAnsi="Times NR MT Pro" w:eastAsia="Times NR MT Pro"/>
          <w:b w:val="0"/>
          <w:i w:val="0"/>
          <w:color w:val="000000"/>
          <w:sz w:val="16"/>
        </w:rPr>
        <w:t xml:space="preserve">Wei et al. 2022. Chain-of-Thought Prompting Elicits Reasoning in Large Language Models. Advances in Neural Information Processing Systems. </w:t>
      </w:r>
      <w:r>
        <w:rPr>
          <w:spacing w:val="-4.0"/>
          <w:rFonts w:ascii="Liberation Serif" w:hAnsi="Liberation Serif" w:eastAsia="Liberation Serif"/>
          <w:b/>
          <w:i w:val="0"/>
          <w:color w:val="000000"/>
          <w:sz w:val="16"/>
        </w:rPr>
        <w:t xml:space="preserve">[34] </w:t>
      </w:r>
      <w:r>
        <w:rPr>
          <w:spacing w:val="-4.0"/>
          <w:rFonts w:ascii="Times NR MT Pro" w:hAnsi="Times NR MT Pro" w:eastAsia="Times NR MT Pro"/>
          <w:b w:val="0"/>
          <w:i w:val="0"/>
          <w:color w:val="000000"/>
          <w:sz w:val="16"/>
        </w:rPr>
        <w:t>Breiman 2001. Random Forests. Machine Learning.</w:t>
      </w:r>
    </w:p>
    <w:p>
      <w:pPr>
        <w:autoSpaceDN w:val="0"/>
        <w:tabs>
          <w:tab w:pos="360" w:val="left"/>
        </w:tabs>
        <w:autoSpaceDE w:val="0"/>
        <w:widowControl/>
        <w:spacing w:line="208" w:lineRule="exact" w:before="6" w:after="0"/>
        <w:ind w:left="0" w:right="0" w:firstLine="0"/>
        <w:jc w:val="left"/>
      </w:pPr>
      <w:r>
        <w:rPr>
          <w:spacing w:val="-4.0"/>
          <w:rFonts w:ascii="Liberation Serif" w:hAnsi="Liberation Serif" w:eastAsia="Liberation Serif"/>
          <w:b/>
          <w:i w:val="0"/>
          <w:color w:val="000000"/>
          <w:sz w:val="16"/>
        </w:rPr>
        <w:t xml:space="preserve">[35] </w:t>
      </w:r>
      <w:r>
        <w:rPr>
          <w:spacing w:val="-4.0"/>
          <w:rFonts w:ascii="Times NR MT Pro" w:hAnsi="Times NR MT Pro" w:eastAsia="Times NR MT Pro"/>
          <w:b w:val="0"/>
          <w:i w:val="0"/>
          <w:color w:val="000000"/>
          <w:sz w:val="16"/>
        </w:rPr>
        <w:t xml:space="preserve">Chen and Guestrin 2016. XGBoost: A Scalable Tree Boosting System. Proc. ACM SIGKDD Int. Conf. on Knowledge Discovery and Data Mining. </w:t>
      </w:r>
      <w:r>
        <w:rPr>
          <w:spacing w:val="-4.0"/>
          <w:rFonts w:ascii="Liberation Serif" w:hAnsi="Liberation Serif" w:eastAsia="Liberation Serif"/>
          <w:b/>
          <w:i w:val="0"/>
          <w:color w:val="000000"/>
          <w:sz w:val="16"/>
        </w:rPr>
        <w:t xml:space="preserve">[36] </w:t>
      </w:r>
      <w:r>
        <w:rPr>
          <w:spacing w:val="-2.1779100361155073"/>
          <w:rFonts w:ascii="Times NR MT Pro" w:hAnsi="Times NR MT Pro" w:eastAsia="Times NR MT Pro"/>
          <w:b w:val="0"/>
          <w:i w:val="0"/>
          <w:color w:val="000000"/>
          <w:sz w:val="16"/>
        </w:rPr>
        <w:t xml:space="preserve">Cristofaro and Banon-Gomis 2026. Dancing With the Algorithm: A Framework to Navigate Knowledge and Autonomy in AI-Assisted Managerial </w:t>
      </w:r>
      <w:r>
        <w:t xml:space="preserve">     </w:t>
      </w:r>
      <w:r>
        <w:rPr>
          <w:spacing w:val="-4.0"/>
          <w:rFonts w:ascii="Times NR MT Pro" w:hAnsi="Times NR MT Pro" w:eastAsia="Times NR MT Pro"/>
          <w:b w:val="0"/>
          <w:i w:val="0"/>
          <w:color w:val="000000"/>
          <w:sz w:val="16"/>
        </w:rPr>
        <w:t>Decisions. Journal of Knowledge Management.</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[37] </w:t>
      </w:r>
      <w:r>
        <w:rPr>
          <w:spacing w:val="-4.0"/>
          <w:rFonts w:ascii="Times NR MT Pro" w:hAnsi="Times NR MT Pro" w:eastAsia="Times NR MT Pro"/>
          <w:b w:val="0"/>
          <w:i w:val="0"/>
          <w:color w:val="000000"/>
          <w:sz w:val="16"/>
        </w:rPr>
        <w:t>Efron 1979. Bootstrap Methods: Another Look at the Jackknife. Annals of Statistics.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[38] </w:t>
      </w:r>
      <w:r>
        <w:rPr>
          <w:spacing w:val="-4.0"/>
          <w:rFonts w:ascii="Times NR MT Pro" w:hAnsi="Times NR MT Pro" w:eastAsia="Times NR MT Pro"/>
          <w:b w:val="0"/>
          <w:i w:val="0"/>
          <w:color w:val="000000"/>
          <w:sz w:val="16"/>
        </w:rPr>
        <w:t>Friedman 2001. Greedy Function Approximation: A Gradient Boosting Machine. Annals of Statistics.</w:t>
      </w:r>
    </w:p>
    <w:p>
      <w:pPr>
        <w:autoSpaceDN w:val="0"/>
        <w:tabs>
          <w:tab w:pos="360" w:val="left"/>
        </w:tabs>
        <w:autoSpaceDE w:val="0"/>
        <w:widowControl/>
        <w:spacing w:line="182" w:lineRule="exact" w:before="32" w:after="0"/>
        <w:ind w:left="0" w:right="0" w:firstLine="0"/>
        <w:jc w:val="left"/>
      </w:pPr>
      <w:r>
        <w:rPr>
          <w:spacing w:val="-4.0"/>
          <w:rFonts w:ascii="Liberation Serif" w:hAnsi="Liberation Serif" w:eastAsia="Liberation Serif"/>
          <w:b/>
          <w:i w:val="0"/>
          <w:color w:val="000000"/>
          <w:sz w:val="16"/>
        </w:rPr>
        <w:t xml:space="preserve">[39] </w:t>
      </w:r>
      <w:r>
        <w:rPr>
          <w:spacing w:val="-4.0"/>
          <w:rFonts w:ascii="Times NR MT Pro" w:hAnsi="Times NR MT Pro" w:eastAsia="Times NR MT Pro"/>
          <w:b w:val="0"/>
          <w:i w:val="0"/>
          <w:color w:val="000000"/>
          <w:sz w:val="16"/>
        </w:rPr>
        <w:t xml:space="preserve">He and McAuley 2016. Ups and Downs: Modeling the Visual Evolution of Fashion Trends With One-Class Collaborative Filtering. Proc. Int. Conf. on </w:t>
      </w:r>
      <w:r>
        <w:t xml:space="preserve">    </w:t>
      </w:r>
      <w:r>
        <w:rPr>
          <w:spacing w:val="-4.0"/>
          <w:rFonts w:ascii="Times NR MT Pro" w:hAnsi="Times NR MT Pro" w:eastAsia="Times NR MT Pro"/>
          <w:b w:val="0"/>
          <w:i w:val="0"/>
          <w:color w:val="000000"/>
          <w:sz w:val="16"/>
        </w:rPr>
        <w:t>World Wide Web (WWW).</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[40] </w:t>
      </w:r>
      <w:r>
        <w:rPr>
          <w:spacing w:val="-4.0"/>
          <w:rFonts w:ascii="Times NR MT Pro" w:hAnsi="Times NR MT Pro" w:eastAsia="Times NR MT Pro"/>
          <w:b w:val="0"/>
          <w:i w:val="0"/>
          <w:color w:val="000000"/>
          <w:sz w:val="16"/>
        </w:rPr>
        <w:t>Hou et al. 2024. Bridging Language and Items for Retrieval and Recommendation. arXiv preprint arXiv:2403.03952.</w:t>
      </w:r>
    </w:p>
    <w:p>
      <w:pPr>
        <w:sectPr>
          <w:pgSz w:w="12240" w:h="15840"/>
          <w:pgMar w:top="1440" w:right="1010" w:bottom="1288" w:left="1080" w:header="720" w:footer="720" w:gutter="0"/>
          <w:cols w:num="1" w:equalWidth="0">
            <w:col w:w="10150" w:space="0"/>
          </w:cols>
          <w:docGrid w:linePitch="360"/>
        </w:sectPr>
      </w:pPr>
    </w:p>
    <w:p>
      <w:pPr>
        <w:autoSpaceDN w:val="0"/>
        <w:autoSpaceDE w:val="0"/>
        <w:widowControl/>
        <w:spacing w:line="178" w:lineRule="exact" w:before="0" w:after="0"/>
        <w:ind w:left="0" w:right="0" w:firstLine="0"/>
        <w:jc w:val="left"/>
      </w:pPr>
      <w:r>
        <w:rPr>
          <w:spacing w:val="-4.0"/>
          <w:rFonts w:ascii="Liberation Serif" w:hAnsi="Liberation Serif" w:eastAsia="Liberation Serif"/>
          <w:b/>
          <w:i w:val="0"/>
          <w:color w:val="000000"/>
          <w:sz w:val="16"/>
        </w:rPr>
        <w:t xml:space="preserve">[41] </w:t>
      </w:r>
      <w:r>
        <w:rPr>
          <w:spacing w:val="-4.0"/>
          <w:rFonts w:ascii="Times NR MT Pro" w:hAnsi="Times NR MT Pro" w:eastAsia="Times NR MT Pro"/>
          <w:b w:val="0"/>
          <w:i w:val="0"/>
          <w:color w:val="000000"/>
          <w:sz w:val="16"/>
        </w:rPr>
        <w:t>Ke et al. 2017. LightGBM: A Highly Efficient Gradient Boosting Decision Tree. Advances in Neural Information Processing Systems.</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[42] </w:t>
      </w:r>
      <w:r>
        <w:rPr>
          <w:spacing w:val="-4.0"/>
          <w:rFonts w:ascii="Times NR MT Pro" w:hAnsi="Times NR MT Pro" w:eastAsia="Times NR MT Pro"/>
          <w:b w:val="0"/>
          <w:i w:val="0"/>
          <w:color w:val="000000"/>
          <w:sz w:val="16"/>
        </w:rPr>
        <w:t>Lundberg and Lee 2017. A Unified Approach to Interpreting Model Predictions. Advances in Neural Information Processing Systems.</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[43] </w:t>
      </w:r>
      <w:r>
        <w:rPr>
          <w:spacing w:val="-4.0"/>
          <w:rFonts w:ascii="Times NR MT Pro" w:hAnsi="Times NR MT Pro" w:eastAsia="Times NR MT Pro"/>
          <w:b w:val="0"/>
          <w:i w:val="0"/>
          <w:color w:val="000000"/>
          <w:sz w:val="16"/>
        </w:rPr>
        <w:t>Rakee et al. 2025. TEMUL: Tensor-Based Deep Learning Approach for Multi-Criteria Recommender System. IEEE Access.</w:t>
      </w:r>
    </w:p>
    <w:p>
      <w:pPr>
        <w:autoSpaceDN w:val="0"/>
        <w:tabs>
          <w:tab w:pos="360" w:val="left"/>
        </w:tabs>
        <w:autoSpaceDE w:val="0"/>
        <w:widowControl/>
        <w:spacing w:line="210" w:lineRule="exact" w:before="2" w:after="0"/>
        <w:ind w:left="0" w:right="0" w:firstLine="0"/>
        <w:jc w:val="left"/>
      </w:pPr>
      <w:r>
        <w:rPr>
          <w:spacing w:val="-4.0"/>
          <w:rFonts w:ascii="Liberation Serif" w:hAnsi="Liberation Serif" w:eastAsia="Liberation Serif"/>
          <w:b/>
          <w:i w:val="0"/>
          <w:color w:val="000000"/>
          <w:sz w:val="16"/>
        </w:rPr>
        <w:t xml:space="preserve">[44] </w:t>
      </w:r>
      <w:r>
        <w:rPr>
          <w:spacing w:val="-4.0"/>
          <w:rFonts w:ascii="Times NR MT Pro" w:hAnsi="Times NR MT Pro" w:eastAsia="Times NR MT Pro"/>
          <w:b w:val="0"/>
          <w:i w:val="0"/>
          <w:color w:val="000000"/>
          <w:sz w:val="16"/>
        </w:rPr>
        <w:t xml:space="preserve">Sayyad et al. 2024. Optimizing e-Commerce Supply Chains With Categorical Boosting: A Predictive Modeling Framework. IEEE Access. </w:t>
      </w:r>
      <w:r>
        <w:rPr>
          <w:spacing w:val="-4.0"/>
          <w:rFonts w:ascii="Liberation Serif" w:hAnsi="Liberation Serif" w:eastAsia="Liberation Serif"/>
          <w:b/>
          <w:i w:val="0"/>
          <w:color w:val="000000"/>
          <w:sz w:val="16"/>
        </w:rPr>
        <w:t xml:space="preserve">[45] </w:t>
      </w:r>
      <w:r>
        <w:rPr>
          <w:spacing w:val="-1.5941599755391602"/>
          <w:rFonts w:ascii="Times NR MT Pro" w:hAnsi="Times NR MT Pro" w:eastAsia="Times NR MT Pro"/>
          <w:b w:val="0"/>
          <w:i w:val="0"/>
          <w:color w:val="000000"/>
          <w:sz w:val="16"/>
        </w:rPr>
        <w:t xml:space="preserve">Shang 2025. Sentiment-Driven Bitcoin Price Range Forecasting: Enhancing CART Decision Trees With High-Dimensional Indicators and Twitter </w:t>
      </w:r>
      <w:r>
        <w:t xml:space="preserve">    </w:t>
      </w:r>
      <w:r>
        <w:rPr>
          <w:spacing w:val="-4.0"/>
          <w:rFonts w:ascii="Times NR MT Pro" w:hAnsi="Times NR MT Pro" w:eastAsia="Times NR MT Pro"/>
          <w:b w:val="0"/>
          <w:i w:val="0"/>
          <w:color w:val="000000"/>
          <w:sz w:val="16"/>
        </w:rPr>
        <w:t>Dynamics. IEEE Access.</w:t>
      </w:r>
    </w:p>
    <w:p>
      <w:pPr>
        <w:autoSpaceDN w:val="0"/>
        <w:autoSpaceDE w:val="0"/>
        <w:widowControl/>
        <w:spacing w:line="224" w:lineRule="exact" w:before="0" w:after="0"/>
        <w:ind w:left="0" w:right="864" w:firstLine="0"/>
        <w:jc w:val="left"/>
      </w:pPr>
      <w:r>
        <w:rPr>
          <w:spacing w:val="-4.0"/>
          <w:rFonts w:ascii="Liberation Serif" w:hAnsi="Liberation Serif" w:eastAsia="Liberation Serif"/>
          <w:b/>
          <w:i w:val="0"/>
          <w:color w:val="000000"/>
          <w:sz w:val="16"/>
        </w:rPr>
        <w:t xml:space="preserve">[46] </w:t>
      </w:r>
      <w:r>
        <w:rPr>
          <w:spacing w:val="-4.0"/>
          <w:rFonts w:ascii="Times NR MT Pro" w:hAnsi="Times NR MT Pro" w:eastAsia="Times NR MT Pro"/>
          <w:b w:val="0"/>
          <w:i w:val="0"/>
          <w:color w:val="000000"/>
          <w:sz w:val="16"/>
        </w:rPr>
        <w:t xml:space="preserve">Zhen et al. 2025. A Multi-Feature Selection Fused With Investor Sentiment for Stock Price Prediction. Expert Systems with Applications. </w:t>
      </w:r>
      <w:r>
        <w:rPr>
          <w:spacing w:val="-4.0"/>
          <w:rFonts w:ascii="Liberation Serif" w:hAnsi="Liberation Serif" w:eastAsia="Liberation Serif"/>
          <w:b/>
          <w:i w:val="0"/>
          <w:color w:val="000000"/>
          <w:sz w:val="16"/>
        </w:rPr>
        <w:t xml:space="preserve">[47] </w:t>
      </w:r>
      <w:r>
        <w:rPr>
          <w:spacing w:val="-4.0"/>
          <w:rFonts w:ascii="Times NR MT Pro" w:hAnsi="Times NR MT Pro" w:eastAsia="Times NR MT Pro"/>
          <w:b w:val="0"/>
          <w:i w:val="0"/>
          <w:color w:val="000000"/>
          <w:sz w:val="16"/>
        </w:rPr>
        <w:t>Cortes and Vapnik 1995. Support-Vector Networks. Machine Learning.</w:t>
      </w:r>
    </w:p>
    <w:p>
      <w:pPr>
        <w:autoSpaceDN w:val="0"/>
        <w:tabs>
          <w:tab w:pos="360" w:val="left"/>
        </w:tabs>
        <w:autoSpaceDE w:val="0"/>
        <w:widowControl/>
        <w:spacing w:line="182" w:lineRule="exact" w:before="34" w:after="0"/>
        <w:ind w:left="0" w:right="0" w:firstLine="0"/>
        <w:jc w:val="left"/>
      </w:pPr>
      <w:r>
        <w:rPr>
          <w:spacing w:val="-4.0"/>
          <w:rFonts w:ascii="Liberation Serif" w:hAnsi="Liberation Serif" w:eastAsia="Liberation Serif"/>
          <w:b/>
          <w:i w:val="0"/>
          <w:color w:val="000000"/>
          <w:sz w:val="16"/>
        </w:rPr>
        <w:t xml:space="preserve">[48] </w:t>
      </w:r>
      <w:r>
        <w:rPr>
          <w:spacing w:val="-0.654598020289076"/>
          <w:rFonts w:ascii="Times NR MT Pro" w:hAnsi="Times NR MT Pro" w:eastAsia="Times NR MT Pro"/>
          <w:b w:val="0"/>
          <w:i w:val="0"/>
          <w:color w:val="000000"/>
          <w:sz w:val="16"/>
        </w:rPr>
        <w:t xml:space="preserve">Grinsztajn et al. 2022. Why Do Tree-Based Models Still Outperform Deep Learning on Typical Tabular Data?. Advances in Neural Information </w:t>
      </w:r>
      <w:r>
        <w:t xml:space="preserve">     </w:t>
      </w:r>
      <w:r>
        <w:rPr>
          <w:spacing w:val="-2.185262127926475"/>
          <w:rFonts w:ascii="Times NR MT Pro" w:hAnsi="Times NR MT Pro" w:eastAsia="Times NR MT Pro"/>
          <w:b w:val="0"/>
          <w:i w:val="0"/>
          <w:color w:val="000000"/>
          <w:sz w:val="16"/>
        </w:rPr>
        <w:t>Processing Systems.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[49] </w:t>
      </w:r>
      <w:r>
        <w:rPr>
          <w:spacing w:val="-4.0"/>
          <w:rFonts w:ascii="Times NR MT Pro" w:hAnsi="Times NR MT Pro" w:eastAsia="Times NR MT Pro"/>
          <w:b w:val="0"/>
          <w:i w:val="0"/>
          <w:color w:val="000000"/>
          <w:sz w:val="16"/>
        </w:rPr>
        <w:t>Hoerl and Kennard 1970. Ridge Regression: Biased Estimation for Nonorthogonal Problems. Technometrics.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[50] </w:t>
      </w:r>
      <w:r>
        <w:rPr>
          <w:spacing w:val="-4.0"/>
          <w:rFonts w:ascii="Times NR MT Pro" w:hAnsi="Times NR MT Pro" w:eastAsia="Times NR MT Pro"/>
          <w:b w:val="0"/>
          <w:i w:val="0"/>
          <w:color w:val="000000"/>
          <w:sz w:val="16"/>
        </w:rPr>
        <w:t>Shwartz-Ziv and Armon 2022. Tabular Data: Deep Learning Is Not All You Need. Information Fusion.</w:t>
      </w:r>
    </w:p>
    <w:sectPr w:rsidR="00FC693F" w:rsidRPr="0006063C" w:rsidSect="00034616">
      <w:pgSz w:w="12240" w:h="15840"/>
      <w:pgMar w:top="1086" w:right="1020" w:bottom="1440" w:left="1080" w:header="720" w:footer="720" w:gutter="0"/>
      <w:cols w:num="1" w:equalWidth="0">
        <w:col w:w="1014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