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pgSz w:w="12240" w:h="15840"/>
          <w:pgMar w:top="1082" w:right="1302" w:bottom="1212" w:left="1140" w:header="720" w:footer="720" w:gutter="0"/>
          <w:cols w:space="720"/>
          <w:docGrid w:linePitch="360"/>
        </w:sectPr>
      </w:pPr>
    </w:p>
    <w:p>
      <w:pPr>
        <w:autoSpaceDN w:val="0"/>
        <w:autoSpaceDE w:val="0"/>
        <w:widowControl/>
        <w:spacing w:line="398" w:lineRule="exact" w:before="0" w:after="0"/>
        <w:ind w:left="554" w:right="0" w:firstLine="0"/>
        <w:jc w:val="left"/>
      </w:pPr>
      <w:r>
        <w:rPr>
          <w:spacing w:val="-4.984375000000014"/>
          <w:rFonts w:ascii="Liberation Serif" w:hAnsi="Liberation Serif" w:eastAsia="Liberation Serif" w:cs="Liberation Serif"/>
          <w:b/>
          <w:bCs/>
          <w:i w:val="0"/>
          <w:color w:val="000000"/>
          <w:sz w:val="36"/>
          <w:szCs w:val="36"/>
        </w:rPr>
        <w:t xml:space="preserve">Hybrid Intelligence for </w:t>
      </w:r>
    </w:p>
    <w:p>
      <w:pPr>
        <w:autoSpaceDN w:val="0"/>
        <w:autoSpaceDE w:val="0"/>
        <w:widowControl/>
        <w:spacing w:line="400" w:lineRule="exact" w:before="56" w:after="0"/>
        <w:ind w:left="0" w:right="0" w:firstLine="0"/>
        <w:jc w:val="left"/>
      </w:pPr>
      <w:r>
        <w:rPr>
          <w:spacing w:val="-9.0"/>
          <w:rFonts w:ascii="Liberation Serif" w:hAnsi="Liberation Serif" w:eastAsia="Liberation Serif" w:cs="Liberation Serif"/>
          <w:b/>
          <w:bCs/>
          <w:i w:val="0"/>
          <w:color w:val="000000"/>
          <w:sz w:val="36"/>
          <w:szCs w:val="36"/>
        </w:rPr>
        <w:t xml:space="preserve">Product Success Prediction: A </w:t>
      </w:r>
    </w:p>
    <w:p>
      <w:pPr>
        <w:autoSpaceDN w:val="0"/>
        <w:autoSpaceDE w:val="0"/>
        <w:widowControl/>
        <w:spacing w:line="398" w:lineRule="exact" w:before="58" w:after="0"/>
        <w:ind w:left="176" w:right="0" w:firstLine="0"/>
        <w:jc w:val="left"/>
      </w:pPr>
      <w:r>
        <w:rPr>
          <w:spacing w:val="-9.0"/>
          <w:rFonts w:ascii="Liberation Serif" w:hAnsi="Liberation Serif" w:eastAsia="Liberation Serif" w:cs="Liberation Serif"/>
          <w:b/>
          <w:bCs/>
          <w:i w:val="0"/>
          <w:color w:val="000000"/>
          <w:sz w:val="36"/>
          <w:szCs w:val="36"/>
        </w:rPr>
        <w:t xml:space="preserve">Survey of Sentiment-Driven </w:t>
      </w:r>
    </w:p>
    <w:p>
      <w:pPr>
        <w:autoSpaceDN w:val="0"/>
        <w:autoSpaceDE w:val="0"/>
        <w:widowControl/>
        <w:spacing w:line="398" w:lineRule="exact" w:before="58" w:after="0"/>
        <w:ind w:left="480" w:right="0" w:firstLine="0"/>
        <w:jc w:val="left"/>
      </w:pPr>
      <w:r>
        <w:rPr>
          <w:spacing w:val="-4.614435369318166"/>
          <w:rFonts w:ascii="Liberation Serif" w:hAnsi="Liberation Serif" w:eastAsia="Liberation Serif" w:cs="Liberation Serif"/>
          <w:b/>
          <w:bCs/>
          <w:i w:val="0"/>
          <w:color w:val="000000"/>
          <w:sz w:val="36"/>
          <w:szCs w:val="36"/>
        </w:rPr>
        <w:t>Machine Learning in E-</w:t>
      </w:r>
    </w:p>
    <w:p>
      <w:pPr>
        <w:autoSpaceDN w:val="0"/>
        <w:autoSpaceDE w:val="0"/>
        <w:widowControl/>
        <w:spacing w:line="400" w:lineRule="exact" w:before="56" w:after="0"/>
        <w:ind w:left="0" w:right="1974" w:firstLine="0"/>
        <w:jc w:val="right"/>
      </w:pPr>
      <w:r>
        <w:rPr>
          <w:spacing w:val="-9.0"/>
          <w:rFonts w:ascii="Liberation Serif" w:hAnsi="Liberation Serif" w:eastAsia="Liberation Serif" w:cs="Liberation Serif"/>
          <w:b/>
          <w:bCs/>
          <w:i w:val="0"/>
          <w:color w:val="000000"/>
          <w:sz w:val="36"/>
          <w:szCs w:val="36"/>
        </w:rPr>
        <w:t>Commerce</w:t>
      </w:r>
    </w:p>
    <w:p>
      <w:pPr>
        <w:autoSpaceDN w:val="0"/>
        <w:autoSpaceDE w:val="0"/>
        <w:widowControl/>
        <w:spacing w:line="264" w:lineRule="exact" w:before="166" w:after="0"/>
        <w:ind w:left="144" w:right="576" w:firstLine="0"/>
        <w:jc w:val="center"/>
      </w:pPr>
      <w:r>
        <w:rPr>
          <w:spacing w:val="4.75"/>
          <w:rFonts w:ascii="Liberation Serif" w:hAnsi="Liberation Serif" w:eastAsia="Liberation Serif" w:cs="Liberation Serif"/>
          <w:b/>
          <w:bCs/>
          <w:i w:val="0"/>
          <w:color w:val="000000"/>
          <w:sz w:val="19"/>
          <w:szCs w:val="19"/>
        </w:rPr>
        <w:t xml:space="preserve">Rajvardhan Ajitrao Jagtap, Jyotiraditya Abhijeet Shinde, Tanishq Parag Choudhari, </w:t>
      </w:r>
      <w:r>
        <w:br/>
      </w:r>
      <w:r>
        <w:rPr>
          <w:spacing w:val="1.2662836119186072"/>
          <w:rFonts w:ascii="Liberation Serif" w:hAnsi="Liberation Serif" w:eastAsia="Liberation Serif" w:cs="Liberation Serif"/>
          <w:b/>
          <w:bCs/>
          <w:i w:val="0"/>
          <w:color w:val="000000"/>
          <w:sz w:val="19"/>
          <w:szCs w:val="19"/>
        </w:rPr>
        <w:t>Yash Ashok Mohite, Yogesh Malakari Honamore</w:t>
      </w:r>
    </w:p>
    <w:p>
      <w:pPr>
        <w:autoSpaceDN w:val="0"/>
        <w:autoSpaceDE w:val="0"/>
        <w:widowControl/>
        <w:spacing w:line="238" w:lineRule="exact" w:before="42" w:after="0"/>
        <w:ind w:left="0" w:right="576" w:firstLine="0"/>
        <w:jc w:val="center"/>
      </w:pPr>
      <w:r>
        <w:rPr>
          <w:spacing w:val="-4.5"/>
          <w:rFonts w:ascii="Times NR MT Pro" w:hAnsi="Times NR MT Pro" w:eastAsia="Times NR MT Pro" w:cs="Times NR MT Pro"/>
          <w:b w:val="0"/>
          <w:i w:val="0"/>
          <w:color w:val="000000"/>
          <w:sz w:val="18"/>
          <w:szCs w:val="18"/>
        </w:rPr>
        <w:t xml:space="preserve">Department of Computer Science and Engineering </w:t>
      </w:r>
      <w:r>
        <w:br/>
      </w:r>
      <w:r>
        <w:rPr>
          <w:spacing w:val="-4.5"/>
          <w:rFonts w:ascii="Times NR MT Pro" w:hAnsi="Times NR MT Pro" w:eastAsia="Times NR MT Pro" w:cs="Times NR MT Pro"/>
          <w:b w:val="0"/>
          <w:i w:val="0"/>
          <w:color w:val="000000"/>
          <w:sz w:val="18"/>
          <w:szCs w:val="18"/>
        </w:rPr>
        <w:t xml:space="preserve">Rajarambapu Institute of Technology, Rajaramnagar, Sangli, Maharashtra, India</w:t>
      </w:r>
    </w:p>
    <w:p>
      <w:pPr>
        <w:autoSpaceDN w:val="0"/>
        <w:autoSpaceDE w:val="0"/>
        <w:widowControl/>
        <w:spacing w:line="296" w:lineRule="exact" w:before="256" w:after="0"/>
        <w:ind w:left="228" w:right="576" w:firstLine="0"/>
        <w:jc w:val="left"/>
      </w:pPr>
      <w:r>
        <w:rPr>
          <w:spacing w:val="5.5"/>
          <w:rFonts w:ascii="Liberation Serif" w:hAnsi="Liberation Serif" w:eastAsia="Liberation Serif" w:cs="Liberation Serif"/>
          <w:b w:val="0"/>
          <w:i w:val="0"/>
          <w:color w:val="000000"/>
          <w:sz w:val="22"/>
          <w:szCs w:val="22"/>
        </w:rPr>
        <w:t xml:space="preserve">Abstract—Forecasting new product success in digital marketplaces is a high-stakes </w:t>
      </w:r>
      <w:r>
        <w:br/>
      </w:r>
      <w:r>
        <w:rPr>
          <w:spacing w:val="5.5"/>
          <w:rFonts w:ascii="Liberation Serif" w:hAnsi="Liberation Serif" w:eastAsia="Liberation Serif" w:cs="Liberation Serif"/>
          <w:b w:val="0"/>
          <w:i w:val="0"/>
          <w:color w:val="000000"/>
          <w:sz w:val="22"/>
          <w:szCs w:val="22"/>
        </w:rPr>
        <w:t xml:space="preserve">challenge where historical sales telemetry is unavailable at launch. This survey </w:t>
      </w:r>
      <w:r>
        <w:br/>
      </w:r>
      <w:r>
        <w:rPr>
          <w:spacing w:val="5.5"/>
          <w:rFonts w:ascii="Liberation Serif" w:hAnsi="Liberation Serif" w:eastAsia="Liberation Serif" w:cs="Liberation Serif"/>
          <w:b w:val="0"/>
          <w:i w:val="0"/>
          <w:color w:val="000000"/>
          <w:sz w:val="22"/>
          <w:szCs w:val="22"/>
        </w:rPr>
        <w:t xml:space="preserve">synthesizes 28 selected publications, </w:t>
      </w:r>
      <w:r>
        <w:br/>
      </w:r>
      <w:r>
        <w:rPr>
          <w:spacing w:val="5.5"/>
          <w:rFonts w:ascii="Liberation Serif" w:hAnsi="Liberation Serif" w:eastAsia="Liberation Serif" w:cs="Liberation Serif"/>
          <w:b w:val="0"/>
          <w:i w:val="0"/>
          <w:color w:val="000000"/>
          <w:sz w:val="22"/>
          <w:szCs w:val="22"/>
        </w:rPr>
        <w:t xml:space="preserve">including peer-reviewed studies and </w:t>
      </w:r>
      <w:r>
        <w:br/>
      </w:r>
      <w:r>
        <w:rPr>
          <w:spacing w:val="5.5"/>
          <w:rFonts w:ascii="Liberation Serif" w:hAnsi="Liberation Serif" w:eastAsia="Liberation Serif" w:cs="Liberation Serif"/>
          <w:b w:val="0"/>
          <w:i w:val="0"/>
          <w:color w:val="000000"/>
          <w:sz w:val="22"/>
          <w:szCs w:val="22"/>
        </w:rPr>
        <w:t xml:space="preserve">relevant technical reports published </w:t>
      </w:r>
      <w:r>
        <w:br/>
      </w:r>
      <w:r>
        <w:rPr>
          <w:spacing w:val="2.674560546874986"/>
          <w:rFonts w:ascii="Liberation Serif" w:hAnsi="Liberation Serif" w:eastAsia="Liberation Serif" w:cs="Liberation Serif"/>
          <w:b w:val="0"/>
          <w:i w:val="0"/>
          <w:color w:val="000000"/>
          <w:sz w:val="22"/>
          <w:szCs w:val="22"/>
        </w:rPr>
        <w:t xml:space="preserve">between 2018 and 2025 across IEEE, ACM, </w:t>
      </w:r>
      <w:r>
        <w:rPr>
          <w:spacing w:val="3.0042568108974335"/>
          <w:rFonts w:ascii="Liberation Serif" w:hAnsi="Liberation Serif" w:eastAsia="Liberation Serif" w:cs="Liberation Serif"/>
          <w:b w:val="0"/>
          <w:i w:val="0"/>
          <w:color w:val="000000"/>
          <w:sz w:val="22"/>
          <w:szCs w:val="22"/>
        </w:rPr>
        <w:t xml:space="preserve">Springer, ScienceDirect, and Elsevier, </w:t>
      </w:r>
      <w:r>
        <w:br/>
      </w:r>
      <w:r>
        <w:rPr>
          <w:spacing w:val="5.5"/>
          <w:rFonts w:ascii="Liberation Serif" w:hAnsi="Liberation Serif" w:eastAsia="Liberation Serif" w:cs="Liberation Serif"/>
          <w:b w:val="0"/>
          <w:i w:val="0"/>
          <w:color w:val="000000"/>
          <w:sz w:val="22"/>
          <w:szCs w:val="22"/>
        </w:rPr>
        <w:t xml:space="preserve">examining the convergence of Natural </w:t>
      </w:r>
      <w:r>
        <w:br/>
      </w:r>
      <w:r>
        <w:rPr>
          <w:spacing w:val="5.5"/>
          <w:rFonts w:ascii="Liberation Serif" w:hAnsi="Liberation Serif" w:eastAsia="Liberation Serif" w:cs="Liberation Serif"/>
          <w:b w:val="0"/>
          <w:i w:val="0"/>
          <w:color w:val="000000"/>
          <w:sz w:val="22"/>
          <w:szCs w:val="22"/>
        </w:rPr>
        <w:t xml:space="preserve">Language Processing and tabular predictive modeling for e-commerce viability </w:t>
      </w:r>
      <w:r>
        <w:br/>
      </w:r>
      <w:r>
        <w:rPr>
          <w:spacing w:val="5.5"/>
          <w:rFonts w:ascii="Liberation Serif" w:hAnsi="Liberation Serif" w:eastAsia="Liberation Serif" w:cs="Liberation Serif"/>
          <w:b w:val="0"/>
          <w:i w:val="0"/>
          <w:color w:val="000000"/>
          <w:sz w:val="22"/>
          <w:szCs w:val="22"/>
        </w:rPr>
        <w:t xml:space="preserve">forecasting. Building upon secondary </w:t>
      </w:r>
      <w:r>
        <w:br/>
      </w:r>
      <w:r>
        <w:rPr>
          <w:spacing w:val="5.5"/>
          <w:rFonts w:ascii="Liberation Serif" w:hAnsi="Liberation Serif" w:eastAsia="Liberation Serif" w:cs="Liberation Serif"/>
          <w:b w:val="0"/>
          <w:i w:val="0"/>
          <w:color w:val="000000"/>
          <w:sz w:val="22"/>
          <w:szCs w:val="22"/>
        </w:rPr>
        <w:t xml:space="preserve">PRISMA bibliometric syntheses (notably Daza et al., 2024), we review core </w:t>
      </w:r>
      <w:r>
        <w:br/>
      </w:r>
      <w:r>
        <w:rPr>
          <w:spacing w:val="5.5"/>
          <w:rFonts w:ascii="Liberation Serif" w:hAnsi="Liberation Serif" w:eastAsia="Liberation Serif" w:cs="Liberation Serif"/>
          <w:b w:val="0"/>
          <w:i w:val="0"/>
          <w:color w:val="000000"/>
          <w:sz w:val="22"/>
          <w:szCs w:val="22"/>
        </w:rPr>
        <w:t xml:space="preserve">methodological paradigms: Support Vector Machines and LSTMs dominate historical text mining, while F1-score is the </w:t>
      </w:r>
      <w:r>
        <w:br/>
      </w:r>
      <w:r>
        <w:rPr>
          <w:spacing w:val="5.5"/>
          <w:rFonts w:ascii="Liberation Serif" w:hAnsi="Liberation Serif" w:eastAsia="Liberation Serif" w:cs="Liberation Serif"/>
          <w:b w:val="0"/>
          <w:i w:val="0"/>
          <w:color w:val="000000"/>
          <w:sz w:val="22"/>
          <w:szCs w:val="22"/>
        </w:rPr>
        <w:t xml:space="preserve">predominant evaluation metric across 75% of studies. However, conventional sentiment systems evaluate post-launch customer </w:t>
      </w:r>
      <w:r>
        <w:br/>
      </w:r>
      <w:r>
        <w:rPr>
          <w:spacing w:val="5.5"/>
          <w:rFonts w:ascii="Liberation Serif" w:hAnsi="Liberation Serif" w:eastAsia="Liberation Serif" w:cs="Liberation Serif"/>
          <w:b w:val="0"/>
          <w:i w:val="0"/>
          <w:color w:val="000000"/>
          <w:sz w:val="22"/>
          <w:szCs w:val="22"/>
        </w:rPr>
        <w:t xml:space="preserve">feedback. To address the launch-blind cold-start problem, we examine hybrid </w:t>
      </w:r>
      <w:r>
        <w:br/>
      </w:r>
      <w:r>
        <w:rPr>
          <w:spacing w:val="5.5"/>
          <w:rFonts w:ascii="Liberation Serif" w:hAnsi="Liberation Serif" w:eastAsia="Liberation Serif" w:cs="Liberation Serif"/>
          <w:b w:val="0"/>
          <w:i w:val="0"/>
          <w:color w:val="000000"/>
          <w:sz w:val="22"/>
          <w:szCs w:val="22"/>
        </w:rPr>
        <w:t xml:space="preserve">architectures that bridge unstructured text with structured regressors. As an illustrative case study, we review the LaunchSight </w:t>
      </w:r>
      <w:r>
        <w:br/>
      </w:r>
      <w:r>
        <w:rPr>
          <w:spacing w:val="5.5"/>
          <w:rFonts w:ascii="Liberation Serif" w:hAnsi="Liberation Serif" w:eastAsia="Liberation Serif" w:cs="Liberation Serif"/>
          <w:b w:val="0"/>
          <w:i w:val="0"/>
          <w:color w:val="000000"/>
          <w:sz w:val="22"/>
          <w:szCs w:val="22"/>
        </w:rPr>
        <w:t xml:space="preserve">architecture: (1) open-weight and hosted </w:t>
      </w:r>
      <w:r>
        <w:rPr>
          <w:spacing w:val="2.739182692307695"/>
          <w:rFonts w:ascii="Liberation Serif" w:hAnsi="Liberation Serif" w:eastAsia="Liberation Serif" w:cs="Liberation Serif"/>
          <w:b w:val="0"/>
          <w:i w:val="0"/>
          <w:color w:val="000000"/>
          <w:sz w:val="22"/>
          <w:szCs w:val="22"/>
        </w:rPr>
        <w:t xml:space="preserve">LLMs perform null-forcing Aspect-Based </w:t>
      </w:r>
      <w:r>
        <w:rPr>
          <w:spacing w:val="5.5"/>
          <w:rFonts w:ascii="Liberation Serif" w:hAnsi="Liberation Serif" w:eastAsia="Liberation Serif" w:cs="Liberation Serif"/>
          <w:b w:val="0"/>
          <w:i w:val="0"/>
          <w:color w:val="000000"/>
          <w:sz w:val="22"/>
          <w:szCs w:val="22"/>
        </w:rPr>
        <w:t xml:space="preserve">Sentiment Analysis on customer reviews to establish category reference distributions, and (2) a skeptic-prompted bridging layer </w:t>
      </w:r>
    </w:p>
    <w:p>
      <w:pPr>
        <w:autoSpaceDN w:val="0"/>
        <w:autoSpaceDE w:val="0"/>
        <w:widowControl/>
        <w:spacing w:line="240" w:lineRule="auto" w:before="0" w:after="0"/>
        <w:ind w:left="400" w:right="0" w:firstLine="0"/>
        <w:jc w:val="left"/>
      </w:pPr>
      <w:r>
        <w:rPr>
          <w:spacing w:val="5.5"/>
          <w:rFonts w:ascii="Liberation Serif" w:hAnsi="Liberation Serif" w:eastAsia="Liberation Serif" w:cs="Liberation Serif"/>
          <w:b w:val="0"/>
          <w:i w:val="0"/>
          <w:color w:val="000000"/>
          <w:sz w:val="22"/>
          <w:szCs w:val="22"/>
        </w:rPr>
        <w:t xml:space="preserve">maps candidate product specifications into projected aspect scores feeding a </w:t>
      </w:r>
      <w:r>
        <w:rPr>
          <w:spacing w:val="5.5"/>
          <w:rFonts w:ascii="Liberation Serif" w:hAnsi="Liberation Serif" w:eastAsia="Liberation Serif" w:cs="Liberation Serif"/>
          <w:b w:val="0"/>
          <w:i w:val="0"/>
          <w:color w:val="000000"/>
          <w:sz w:val="22"/>
          <w:szCs w:val="22"/>
        </w:rPr>
        <w:t xml:space="preserve">monotonic-constrained gradient-boosted regressor (XGBoost). Evaluated on 43,599 customer reviews across 640 initially </w:t>
      </w:r>
      <w:r>
        <w:rPr>
          <w:spacing w:val="5.5"/>
          <w:rFonts w:ascii="Liberation Serif" w:hAnsi="Liberation Serif" w:eastAsia="Liberation Serif" w:cs="Liberation Serif"/>
          <w:b w:val="0"/>
          <w:i w:val="0"/>
          <w:color w:val="000000"/>
          <w:sz w:val="22"/>
          <w:szCs w:val="22"/>
        </w:rPr>
        <w:t xml:space="preserve">collected products (631 retained after </w:t>
      </w:r>
      <w:r>
        <w:br/>
        <w:drawing>
          <wp:inline xmlns:a="http://schemas.openxmlformats.org/drawingml/2006/main" xmlns:pic="http://schemas.openxmlformats.org/drawingml/2006/picture">
            <wp:extent cx="1460500" cy="1905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460500" cy="190500"/>
                    </a:xfrm>
                    <a:prstGeom prst="rect"/>
                  </pic:spPr>
                </pic:pic>
              </a:graphicData>
            </a:graphic>
          </wp:inline>
        </w:drawing>
      </w:r>
      <w:r>
        <w:rPr>
          <w:spacing w:val="5.5"/>
          <w:rFonts w:ascii="Liberation Serif" w:hAnsi="Liberation Serif" w:eastAsia="Liberation Serif" w:cs="Liberation Serif"/>
          <w:b w:val="0"/>
          <w:i w:val="0"/>
          <w:color w:val="000000"/>
          <w:sz w:val="22"/>
          <w:szCs w:val="22"/>
        </w:rPr>
        <w:t xml:space="preserve">filtering) in five categories, this architecture </w:t>
      </w:r>
      <w:r>
        <w:rPr>
          <w:spacing w:val="2.6203031994047405"/>
          <w:rFonts w:ascii="Liberation Serif" w:hAnsi="Liberation Serif" w:eastAsia="Liberation Serif" w:cs="Liberation Serif"/>
          <w:b w:val="0"/>
          <w:i w:val="0"/>
          <w:color w:val="000000"/>
          <w:sz w:val="22"/>
          <w:szCs w:val="22"/>
        </w:rPr>
        <w:t xml:space="preserve">achieves Spearman ρ = 0.529 (AUC = 0.903) on a retrained holdout (n = 118) and ρ = 0.590 (AUC = 0.942) on an 80/20 forward-in-time split (n = 125), with a first-generation frozen holdout (n = 59) giving ρ = 0.317 (AUC = 0.743) that does not carry over to the final corpus (n = 41, ρ = 0.280).</w:t>
      </w:r>
      <w:r>
        <w:drawing>
          <wp:inline xmlns:a="http://schemas.openxmlformats.org/drawingml/2006/main" xmlns:pic="http://schemas.openxmlformats.org/drawingml/2006/picture">
            <wp:extent cx="266700" cy="1651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66700" cy="165100"/>
                    </a:xfrm>
                    <a:prstGeom prst="rect"/>
                  </pic:spPr>
                </pic:pic>
              </a:graphicData>
            </a:graphic>
          </wp:inline>
        </w:drawing>
      </w:r>
      <w:r>
        <w:rPr>
          <w:spacing w:val="5.5"/>
          <w:rFonts w:ascii="Liberation Serif" w:hAnsi="Liberation Serif" w:eastAsia="Liberation Serif" w:cs="Liberation Serif"/>
          <w:b w:val="0"/>
          <w:i w:val="0"/>
          <w:color w:val="000000"/>
          <w:sz w:val="22"/>
          <w:szCs w:val="22"/>
        </w:rPr>
        <w:t xml:space="preserve"/>
      </w:r>
      <w:r>
        <w:drawing>
          <wp:inline xmlns:a="http://schemas.openxmlformats.org/drawingml/2006/main" xmlns:pic="http://schemas.openxmlformats.org/drawingml/2006/picture">
            <wp:extent cx="1447800" cy="1905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447800" cy="190500"/>
                    </a:xfrm>
                    <a:prstGeom prst="rect"/>
                  </pic:spPr>
                </pic:pic>
              </a:graphicData>
            </a:graphic>
          </wp:inline>
        </w:drawing>
      </w:r>
      <w:r>
        <w:rPr>
          <w:spacing w:val="2.0135135135135256"/>
          <w:rFonts w:ascii="Liberation Serif" w:hAnsi="Liberation Serif" w:eastAsia="Liberation Serif" w:cs="Liberation Serif"/>
          <w:b w:val="0"/>
          <w:i w:val="0"/>
          <w:color w:val="000000"/>
          <w:sz w:val="22"/>
          <w:szCs w:val="22"/>
        </w:rPr>
        <w:t xml:space="preserve"/>
      </w:r>
      <w:r>
        <w:br/>
        <w:drawing>
          <wp:inline xmlns:a="http://schemas.openxmlformats.org/drawingml/2006/main" xmlns:pic="http://schemas.openxmlformats.org/drawingml/2006/picture">
            <wp:extent cx="520700" cy="1905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20700" cy="190500"/>
                    </a:xfrm>
                    <a:prstGeom prst="rect"/>
                  </pic:spPr>
                </pic:pic>
              </a:graphicData>
            </a:graphic>
          </wp:inline>
        </w:drawing>
      </w:r>
      <w:r>
        <w:rPr>
          <w:spacing w:val="5.5"/>
          <w:rFonts w:ascii="Liberation Serif" w:hAnsi="Liberation Serif" w:eastAsia="Liberation Serif" w:cs="Liberation Serif"/>
          <w:b w:val="0"/>
          <w:i w:val="0"/>
          <w:color w:val="000000"/>
          <w:sz w:val="22"/>
          <w:szCs w:val="22"/>
        </w:rPr>
        <w:t xml:space="preserve"/>
      </w:r>
      <w:r>
        <w:drawing>
          <wp:inline xmlns:a="http://schemas.openxmlformats.org/drawingml/2006/main" xmlns:pic="http://schemas.openxmlformats.org/drawingml/2006/picture">
            <wp:extent cx="1625600" cy="1905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1625600" cy="190500"/>
                    </a:xfrm>
                    <a:prstGeom prst="rect"/>
                  </pic:spPr>
                </pic:pic>
              </a:graphicData>
            </a:graphic>
          </wp:inline>
        </w:drawing>
      </w:r>
      <w:r>
        <w:rPr>
          <w:spacing w:val="1.2337080792683148"/>
          <w:rFonts w:ascii="Liberation Serif" w:hAnsi="Liberation Serif" w:eastAsia="Liberation Serif" w:cs="Liberation Serif"/>
          <w:b w:val="0"/>
          <w:i w:val="0"/>
          <w:color w:val="000000"/>
          <w:sz w:val="22"/>
          <w:szCs w:val="22"/>
        </w:rPr>
        <w:t xml:space="preserve"/>
      </w:r>
      <w:r>
        <w:rPr>
          <w:spacing w:val="2.8905761718750114"/>
          <w:rFonts w:ascii="Liberation Serif" w:hAnsi="Liberation Serif" w:eastAsia="Liberation Serif" w:cs="Liberation Serif"/>
          <w:b w:val="0"/>
          <w:i w:val="0"/>
          <w:color w:val="000000"/>
          <w:sz w:val="22"/>
          <w:szCs w:val="22"/>
        </w:rPr>
        <w:t xml:space="preserve"/>
      </w:r>
      <w:r>
        <w:rPr>
          <w:spacing w:val="5.5"/>
          <w:rFonts w:ascii="Liberation Serif" w:hAnsi="Liberation Serif" w:eastAsia="Liberation Serif" w:cs="Liberation Serif"/>
          <w:b w:val="0"/>
          <w:i w:val="0"/>
          <w:color w:val="000000"/>
          <w:sz w:val="22"/>
          <w:szCs w:val="22"/>
        </w:rPr>
        <w:t xml:space="preserve"> We identify critical research frontiers in </w:t>
      </w:r>
      <w:r>
        <w:rPr>
          <w:spacing w:val="5.5"/>
          <w:rFonts w:ascii="Liberation Serif" w:hAnsi="Liberation Serif" w:eastAsia="Liberation Serif" w:cs="Liberation Serif"/>
          <w:b w:val="0"/>
          <w:i w:val="0"/>
          <w:color w:val="000000"/>
          <w:sz w:val="22"/>
          <w:szCs w:val="22"/>
        </w:rPr>
        <w:t xml:space="preserve">specification-to-aspect bridging fidelity, domain adaptation, and calibrated </w:t>
      </w:r>
      <w:r>
        <w:rPr>
          <w:spacing w:val="5.5"/>
          <w:rFonts w:ascii="Liberation Serif" w:hAnsi="Liberation Serif" w:eastAsia="Liberation Serif" w:cs="Liberation Serif"/>
          <w:b w:val="0"/>
          <w:i w:val="0"/>
          <w:color w:val="000000"/>
          <w:sz w:val="22"/>
          <w:szCs w:val="22"/>
        </w:rPr>
        <w:t xml:space="preserve">uncertainty quantification. </w:t>
      </w:r>
    </w:p>
    <w:p>
      <w:pPr>
        <w:autoSpaceDN w:val="0"/>
        <w:autoSpaceDE w:val="0"/>
        <w:widowControl/>
        <w:spacing w:line="238" w:lineRule="exact" w:before="106" w:after="0"/>
        <w:ind w:left="400" w:right="0" w:firstLine="0"/>
        <w:jc w:val="left"/>
      </w:pPr>
      <w:r>
        <w:rPr>
          <w:spacing w:val="-4.5"/>
          <w:rFonts w:ascii="Liberation Serif" w:hAnsi="Liberation Serif" w:eastAsia="Liberation Serif" w:cs="Liberation Serif"/>
          <w:b/>
          <w:bCs/>
          <w:i/>
          <w:iCs/>
          <w:color w:val="000000"/>
          <w:sz w:val="18"/>
          <w:szCs w:val="18"/>
        </w:rPr>
        <w:t>Index Terms—</w:t>
      </w:r>
      <w:r>
        <w:rPr>
          <w:spacing w:val="-0.2843868371212121"/>
          <w:rFonts w:ascii="Liberation Serif" w:hAnsi="Liberation Serif" w:eastAsia="Liberation Serif" w:cs="Liberation Serif"/>
          <w:b w:val="0"/>
          <w:i/>
          <w:iCs/>
          <w:color w:val="000000"/>
          <w:sz w:val="18"/>
          <w:szCs w:val="18"/>
        </w:rPr>
        <w:t xml:space="preserve">Aspect-based sentiment analysis, </w:t>
      </w:r>
      <w:r>
        <w:br/>
      </w:r>
      <w:r>
        <w:rPr>
          <w:spacing w:val="0.07993607954544626"/>
          <w:rFonts w:ascii="Liberation Serif" w:hAnsi="Liberation Serif" w:eastAsia="Liberation Serif" w:cs="Liberation Serif"/>
          <w:b w:val="0"/>
          <w:i/>
          <w:iCs/>
          <w:color w:val="000000"/>
          <w:sz w:val="18"/>
          <w:szCs w:val="18"/>
        </w:rPr>
        <w:t xml:space="preserve">XGBoost, large language models, e-commerce prediction, </w:t>
      </w:r>
      <w:r>
        <w:rPr>
          <w:spacing w:val="0.62109375"/>
          <w:rFonts w:ascii="Liberation Serif" w:hAnsi="Liberation Serif" w:eastAsia="Liberation Serif" w:cs="Liberation Serif"/>
          <w:b w:val="0"/>
          <w:i/>
          <w:iCs/>
          <w:color w:val="000000"/>
          <w:sz w:val="18"/>
          <w:szCs w:val="18"/>
        </w:rPr>
        <w:t xml:space="preserve">launch-blind forecasting, specification bridging, </w:t>
      </w:r>
      <w:r>
        <w:br/>
      </w:r>
      <w:r>
        <w:rPr>
          <w:spacing w:val="1.3771551724137854"/>
          <w:rFonts w:ascii="Liberation Serif" w:hAnsi="Liberation Serif" w:eastAsia="Liberation Serif" w:cs="Liberation Serif"/>
          <w:b w:val="0"/>
          <w:i/>
          <w:iCs/>
          <w:color w:val="000000"/>
          <w:sz w:val="18"/>
          <w:szCs w:val="18"/>
        </w:rPr>
        <w:t>structured literature review.</w:t>
      </w:r>
    </w:p>
    <w:p>
      <w:pPr>
        <w:sectPr>
          <w:type w:val="continuous"/>
          <w:pgSz w:w="12240" w:h="15840"/>
          <w:pgMar w:top="1082" w:right="1302" w:bottom="1212" w:left="1140" w:header="720" w:footer="720" w:gutter="0"/>
          <w:cols w:num="2" w:equalWidth="0">
            <w:col w:w="5140" w:space="0"/>
            <w:col w:w="4658" w:space="0"/>
          </w:cols>
          <w:docGrid w:linePitch="360"/>
        </w:sectPr>
      </w:pPr>
    </w:p>
    <w:p>
      <w:pPr>
        <w:autoSpaceDN w:val="0"/>
        <w:autoSpaceDE w:val="0"/>
        <w:widowControl/>
        <w:spacing w:line="220" w:lineRule="exact" w:before="0" w:after="0"/>
        <w:ind w:left="4150" w:right="0" w:firstLine="0"/>
        <w:jc w:val="left"/>
      </w:pPr>
      <w:r>
        <w:rPr>
          <w:spacing w:val="1.5314453125000114"/>
          <w:rFonts w:ascii="Liberation Serif" w:hAnsi="Liberation Serif" w:eastAsia="Liberation Serif" w:cs="Liberation Serif"/>
          <w:b/>
          <w:bCs/>
          <w:i w:val="0"/>
          <w:color w:val="000000"/>
          <w:sz w:val="19"/>
          <w:szCs w:val="19"/>
        </w:rPr>
        <w:t>I. INTRODUCTION</w:t>
      </w:r>
    </w:p>
    <w:p>
      <w:pPr>
        <w:autoSpaceDN w:val="0"/>
        <w:autoSpaceDE w:val="0"/>
        <w:widowControl/>
        <w:spacing w:line="230" w:lineRule="exact" w:before="84" w:after="0"/>
        <w:ind w:left="0" w:right="20" w:firstLine="0"/>
        <w:jc w:val="both"/>
      </w:pPr>
      <w:r>
        <w:rPr>
          <w:spacing w:val="0.958282013423748"/>
          <w:rFonts w:ascii="Times NR MT Pro" w:hAnsi="Times NR MT Pro" w:eastAsia="Times NR MT Pro" w:cs="Times NR MT Pro"/>
          <w:b w:val="0"/>
          <w:i w:val="0"/>
          <w:color w:val="000000"/>
          <w:sz w:val="18"/>
          <w:szCs w:val="18"/>
        </w:rPr>
        <w:t xml:space="preserve">Forecasting product success in e-commerce marketplaces is fundamentally a data-driven prediction problem. Digital platforms log </w:t>
      </w:r>
      <w:r>
        <w:rPr>
          <w:spacing w:val="4.5"/>
          <w:rFonts w:ascii="Times NR MT Pro" w:hAnsi="Times NR MT Pro" w:eastAsia="Times NR MT Pro" w:cs="Times NR MT Pro"/>
          <w:b w:val="0"/>
          <w:i w:val="0"/>
          <w:color w:val="000000"/>
          <w:sz w:val="18"/>
          <w:szCs w:val="18"/>
        </w:rPr>
        <w:t xml:space="preserve">customer opinions, purchase histories, pricing trajectories, and engagement signals at an unprecedented scale [1]. However, a </w:t>
      </w:r>
      <w:r>
        <w:rPr>
          <w:spacing w:val="2.3016008291244545"/>
          <w:rFonts w:ascii="Times NR MT Pro" w:hAnsi="Times NR MT Pro" w:eastAsia="Times NR MT Pro" w:cs="Times NR MT Pro"/>
          <w:b w:val="0"/>
          <w:i w:val="0"/>
          <w:color w:val="000000"/>
          <w:sz w:val="18"/>
          <w:szCs w:val="18"/>
        </w:rPr>
        <w:t xml:space="preserve">fundamental temporal asymmetry exists: while post-launch products accumulate rich behavioral telemetry, prospective products </w:t>
      </w:r>
      <w:r>
        <w:rPr>
          <w:spacing w:val="-0.32531173992902396"/>
          <w:rFonts w:ascii="Times NR MT Pro" w:hAnsi="Times NR MT Pro" w:eastAsia="Times NR MT Pro" w:cs="Times NR MT Pro"/>
          <w:b w:val="0"/>
          <w:i w:val="0"/>
          <w:color w:val="000000"/>
          <w:sz w:val="18"/>
          <w:szCs w:val="18"/>
        </w:rPr>
        <w:t xml:space="preserve">require substantial capital commitments long before any consumer feedback exists. A product manager or direct-to-consumer (D2C) </w:t>
      </w:r>
      <w:r>
        <w:rPr>
          <w:spacing w:val="2.204532086849209"/>
          <w:rFonts w:ascii="Times NR MT Pro" w:hAnsi="Times NR MT Pro" w:eastAsia="Times NR MT Pro" w:cs="Times NR MT Pro"/>
          <w:b w:val="0"/>
          <w:i w:val="0"/>
          <w:color w:val="000000"/>
          <w:sz w:val="18"/>
          <w:szCs w:val="18"/>
        </w:rPr>
        <w:t xml:space="preserve">founder launching a new stock keeping unit (SKU) must evaluate viability at the 'launch-blind' stage—where only specifications, </w:t>
      </w:r>
      <w:r>
        <w:rPr>
          <w:spacing w:val="-0.005554729037818881"/>
          <w:rFonts w:ascii="Times NR MT Pro" w:hAnsi="Times NR MT Pro" w:eastAsia="Times NR MT Pro" w:cs="Times NR MT Pro"/>
          <w:b w:val="0"/>
          <w:i w:val="0"/>
          <w:color w:val="000000"/>
          <w:sz w:val="18"/>
          <w:szCs w:val="18"/>
        </w:rPr>
        <w:t>target pricing, and category norms are observable [2].</w:t>
      </w:r>
    </w:p>
    <w:p>
      <w:pPr>
        <w:autoSpaceDN w:val="0"/>
        <w:autoSpaceDE w:val="0"/>
        <w:widowControl/>
        <w:spacing w:line="230" w:lineRule="exact" w:before="40" w:after="0"/>
        <w:ind w:left="0" w:right="20" w:firstLine="0"/>
        <w:jc w:val="both"/>
      </w:pPr>
      <w:r>
        <w:rPr>
          <w:spacing w:val="4.5"/>
          <w:rFonts w:ascii="Times NR MT Pro" w:hAnsi="Times NR MT Pro" w:eastAsia="Times NR MT Pro" w:cs="Times NR MT Pro"/>
          <w:b w:val="0"/>
          <w:i w:val="0"/>
          <w:color w:val="000000"/>
          <w:sz w:val="18"/>
          <w:szCs w:val="18"/>
        </w:rPr>
        <w:t xml:space="preserve">Recent advances in machine learning provide two complementary capabilities to address this challenge. First, gradient boosted decision trees, particularly XGBoost [3], have established strong empirical baselines for tabular e-commerce prediction tasks. </w:t>
      </w:r>
      <w:r>
        <w:rPr>
          <w:spacing w:val="0.31888081264496576"/>
          <w:rFonts w:ascii="Times NR MT Pro" w:hAnsi="Times NR MT Pro" w:eastAsia="Times NR MT Pro" w:cs="Times NR MT Pro"/>
          <w:b w:val="0"/>
          <w:i w:val="0"/>
          <w:color w:val="000000"/>
          <w:sz w:val="18"/>
          <w:szCs w:val="18"/>
        </w:rPr>
        <w:t xml:space="preserve">Second, Large Language Models (LLMs) [4]–[6] have demonstrated remarkable zero-shot aspect extraction and semantic reasoning </w:t>
      </w:r>
      <w:r>
        <w:rPr>
          <w:spacing w:val="4.5"/>
          <w:rFonts w:ascii="Times NR MT Pro" w:hAnsi="Times NR MT Pro" w:eastAsia="Times NR MT Pro" w:cs="Times NR MT Pro"/>
          <w:b w:val="0"/>
          <w:i w:val="0"/>
          <w:color w:val="000000"/>
          <w:sz w:val="18"/>
          <w:szCs w:val="18"/>
        </w:rPr>
        <w:t xml:space="preserve">capabilities. A recent PRISMA-based systematic literature review by Daza et al. [1] surveyed 20 e-commerce sentiment studies (2018–2024), confirming that while Support Vector Machines (SVM) and Long Short-Term Memory (LSTM) networks have historically dominated the literature, F1-score is the most frequently reported evaluation metric (used in 75% of studies). </w:t>
      </w:r>
      <w:r>
        <w:rPr>
          <w:spacing w:val="-0.5142415418769339"/>
          <w:rFonts w:ascii="Times NR MT Pro" w:hAnsi="Times NR MT Pro" w:eastAsia="Times NR MT Pro" w:cs="Times NR MT Pro"/>
          <w:b w:val="0"/>
          <w:i w:val="0"/>
          <w:color w:val="000000"/>
          <w:sz w:val="18"/>
          <w:szCs w:val="18"/>
        </w:rPr>
        <w:t>Nevertheless, traditional pipelines remain post-launch evaluators.</w:t>
      </w:r>
    </w:p>
    <w:p>
      <w:pPr>
        <w:autoSpaceDN w:val="0"/>
        <w:autoSpaceDE w:val="0"/>
        <w:widowControl/>
        <w:spacing w:line="230" w:lineRule="exact" w:before="38" w:after="0"/>
        <w:ind w:left="0" w:right="20" w:firstLine="0"/>
        <w:jc w:val="both"/>
      </w:pPr>
      <w:r>
        <w:t>Within the 28 selected publications synthesized in this survey, this paper examines the methodological landscape bridging unstructured natural language reviews and predictive viability modeling. Using a corpus of 43,599 customer reviews across 640 initially collected products (631 retained after fraud filtering), with aspect-level representations extracted for the documented subset of 29,410 matched reviews (32,477 total catalog extraction rows), we evaluate how state-of-the-art sentiment and ABSA architectures map onto product-level viability forecasting.</w:t>
      </w:r>
    </w:p>
    <w:p>
      <w:pPr>
        <w:autoSpaceDN w:val="0"/>
        <w:autoSpaceDE w:val="0"/>
        <w:widowControl/>
        <w:spacing w:line="220" w:lineRule="exact" w:before="162" w:after="0"/>
        <w:ind w:left="1308" w:right="0" w:firstLine="0"/>
        <w:jc w:val="left"/>
      </w:pPr>
      <w:r>
        <w:rPr>
          <w:spacing w:val="1.0655746459960724"/>
          <w:rFonts w:ascii="Liberation Serif" w:hAnsi="Liberation Serif" w:eastAsia="Liberation Serif" w:cs="Liberation Serif"/>
          <w:b/>
          <w:bCs/>
          <w:i w:val="0"/>
          <w:color w:val="000000"/>
          <w:sz w:val="19"/>
          <w:szCs w:val="19"/>
        </w:rPr>
        <w:t>II. LITERATURE REVIEW: SENTIMENT ANALYSIS AS A PREDICTIVE SIGNAL</w:t>
      </w:r>
    </w:p>
    <w:p>
      <w:pPr>
        <w:autoSpaceDN w:val="0"/>
        <w:autoSpaceDE w:val="0"/>
        <w:widowControl/>
        <w:spacing w:line="210" w:lineRule="exact" w:before="142" w:after="0"/>
        <w:ind w:left="0" w:right="0" w:firstLine="0"/>
        <w:jc w:val="left"/>
      </w:pPr>
      <w:r>
        <w:rPr>
          <w:spacing w:val="-1.6922637195121923"/>
          <w:rFonts w:ascii="Liberation Serif" w:hAnsi="Liberation Serif" w:eastAsia="Liberation Serif" w:cs="Liberation Serif"/>
          <w:b/>
          <w:bCs/>
          <w:i/>
          <w:iCs/>
          <w:color w:val="000000"/>
          <w:sz w:val="18"/>
          <w:szCs w:val="18"/>
        </w:rPr>
        <w:t>A. Classical and Lexicon-Based Approaches</w:t>
      </w:r>
    </w:p>
    <w:p>
      <w:pPr>
        <w:autoSpaceDN w:val="0"/>
        <w:autoSpaceDE w:val="0"/>
        <w:widowControl/>
        <w:spacing w:line="230" w:lineRule="exact" w:before="40" w:after="0"/>
        <w:ind w:left="0" w:right="20" w:firstLine="0"/>
        <w:jc w:val="both"/>
      </w:pPr>
      <w:r>
        <w:rPr>
          <w:spacing w:val="4.5"/>
          <w:rFonts w:ascii="Times NR MT Pro" w:hAnsi="Times NR MT Pro" w:eastAsia="Times NR MT Pro" w:cs="Times NR MT Pro"/>
          <w:b w:val="0"/>
          <w:i w:val="0"/>
          <w:color w:val="000000"/>
          <w:sz w:val="18"/>
          <w:szCs w:val="18"/>
        </w:rPr>
        <w:t xml:space="preserve">The foundations of opinion mining were established by Pang and Lee [7], who categorized sentiment analysis into document, </w:t>
      </w:r>
      <w:r>
        <w:rPr>
          <w:spacing w:val="0.7271763250117993"/>
          <w:rFonts w:ascii="Times NR MT Pro" w:hAnsi="Times NR MT Pro" w:eastAsia="Times NR MT Pro" w:cs="Times NR MT Pro"/>
          <w:b w:val="0"/>
          <w:i w:val="0"/>
          <w:color w:val="000000"/>
          <w:sz w:val="18"/>
          <w:szCs w:val="18"/>
        </w:rPr>
        <w:t xml:space="preserve">sentence, and aspect levels. Early e-commerce systems relied on curated lexical databases such as SentiWordNet [8]. Hu and Liu [9] </w:t>
      </w:r>
      <w:r>
        <w:rPr>
          <w:spacing w:val="1.300764146651927"/>
          <w:rFonts w:ascii="Times NR MT Pro" w:hAnsi="Times NR MT Pro" w:eastAsia="Times NR MT Pro" w:cs="Times NR MT Pro"/>
          <w:b w:val="0"/>
          <w:i w:val="0"/>
          <w:color w:val="000000"/>
          <w:sz w:val="18"/>
          <w:szCs w:val="18"/>
        </w:rPr>
        <w:t xml:space="preserve">introduced aspect extraction from customer reviews, showing that aggregate star ratings discard critical multi-dimensional quality </w:t>
      </w:r>
      <w:r>
        <w:rPr>
          <w:spacing w:val="1.4410611129168307"/>
          <w:rFonts w:ascii="Times NR MT Pro" w:hAnsi="Times NR MT Pro" w:eastAsia="Times NR MT Pro" w:cs="Times NR MT Pro"/>
          <w:b w:val="0"/>
          <w:i w:val="0"/>
          <w:color w:val="000000"/>
          <w:sz w:val="18"/>
          <w:szCs w:val="18"/>
        </w:rPr>
        <w:t xml:space="preserve">indicators. Daza et al. [1] formalize this taxonomy: Aspect-Level Sentiment Analysis (ASA) identifies specific product entities and </w:t>
      </w:r>
      <w:r>
        <w:rPr>
          <w:spacing w:val="0.0960007756948471"/>
          <w:rFonts w:ascii="Times NR MT Pro" w:hAnsi="Times NR MT Pro" w:eastAsia="Times NR MT Pro" w:cs="Times NR MT Pro"/>
          <w:b w:val="0"/>
          <w:i w:val="0"/>
          <w:color w:val="000000"/>
          <w:sz w:val="18"/>
          <w:szCs w:val="18"/>
        </w:rPr>
        <w:t>their associated polarities. One illustrative formulation of lexicon scoring is:</w:t>
      </w:r>
    </w:p>
    <w:p>
      <w:pPr>
        <w:autoSpaceDN w:val="0"/>
        <w:tabs>
          <w:tab w:pos="332" w:val="left"/>
          <w:tab w:pos="1740" w:val="left"/>
          <w:tab w:pos="2214" w:val="left"/>
          <w:tab w:pos="2952" w:val="left"/>
          <w:tab w:pos="3462" w:val="left"/>
          <w:tab w:pos="3892" w:val="left"/>
          <w:tab w:pos="5158" w:val="left"/>
          <w:tab w:pos="5634" w:val="left"/>
          <w:tab w:pos="6856" w:val="left"/>
          <w:tab w:pos="9860" w:val="left"/>
        </w:tabs>
        <w:autoSpaceDE w:val="0"/>
        <w:widowControl/>
        <w:spacing w:line="228" w:lineRule="exact" w:before="42" w:after="0"/>
        <w:ind w:left="0" w:right="0" w:firstLine="0"/>
        <w:jc w:val="left"/>
      </w:pPr>
      <w:r>
        <w:t xml:space="preserve">    </w:t>
      </w:r>
      <w:r>
        <w:rPr>
          <w:spacing w:val="0.44285764864513666"/>
          <w:rFonts w:ascii="Times NR MT Pro" w:hAnsi="Times NR MT Pro" w:eastAsia="Times NR MT Pro" w:cs="Times NR MT Pro"/>
          <w:b w:val="0"/>
          <w:i w:val="0"/>
          <w:color w:val="000000"/>
          <w:sz w:val="18"/>
          <w:szCs w:val="18"/>
        </w:rPr>
        <w:t xml:space="preserve"> Sentiment(d) </w:t>
      </w:r>
      <w:r>
        <w:t xml:space="preserve">    </w:t>
      </w:r>
      <w:r>
        <w:rPr>
          <w:spacing w:val="-4.5"/>
          <w:rFonts w:ascii="Times NR MT Pro" w:hAnsi="Times NR MT Pro" w:eastAsia="Times NR MT Pro" w:cs="Times NR MT Pro"/>
          <w:b w:val="0"/>
          <w:i w:val="0"/>
          <w:color w:val="000000"/>
          <w:sz w:val="18"/>
          <w:szCs w:val="18"/>
        </w:rPr>
        <w:t xml:space="preserve">= </w:t>
      </w:r>
      <w:r>
        <w:t xml:space="preserve">    </w:t>
      </w:r>
      <w:r>
        <w:rPr>
          <w:spacing w:val="2.196667174498259"/>
          <w:rFonts w:ascii="Times NR MT Pro" w:hAnsi="Times NR MT Pro" w:eastAsia="Times NR MT Pro" w:cs="Times NR MT Pro"/>
          <w:b w:val="0"/>
          <w:i w:val="0"/>
          <w:color w:val="000000"/>
          <w:sz w:val="18"/>
          <w:szCs w:val="18"/>
        </w:rPr>
        <w:t xml:space="preserve">(1/n) </w:t>
      </w:r>
      <w:r>
        <w:t xml:space="preserve">     </w:t>
      </w:r>
      <w:r>
        <w:rPr>
          <w:spacing w:val="-0.44666806856791175"/>
          <w:rFonts w:ascii="Times NR MT Pro" w:hAnsi="Times NR MT Pro" w:eastAsia="Times NR MT Pro" w:cs="Times NR MT Pro"/>
          <w:b w:val="0"/>
          <w:i w:val="0"/>
          <w:color w:val="000000"/>
          <w:sz w:val="18"/>
          <w:szCs w:val="18"/>
        </w:rPr>
        <w:t xml:space="preserve">Σᵢ </w:t>
      </w:r>
      <w:r>
        <w:t xml:space="preserve">     </w:t>
      </w:r>
      <w:r>
        <w:rPr>
          <w:spacing w:val="4.5"/>
          <w:rFonts w:ascii="Times NR MT Pro" w:hAnsi="Times NR MT Pro" w:eastAsia="Times NR MT Pro" w:cs="Times NR MT Pro"/>
          <w:b w:val="0"/>
          <w:i w:val="0"/>
          <w:color w:val="000000"/>
          <w:sz w:val="18"/>
          <w:szCs w:val="18"/>
        </w:rPr>
        <w:t xml:space="preserve">[ </w:t>
      </w:r>
      <w:r>
        <w:t xml:space="preserve">    </w:t>
      </w:r>
      <w:r>
        <w:rPr>
          <w:spacing w:val="-0.047691528613776984"/>
          <w:rFonts w:ascii="Times NR MT Pro" w:hAnsi="Times NR MT Pro" w:eastAsia="Times NR MT Pro" w:cs="Times NR MT Pro"/>
          <w:b w:val="0"/>
          <w:i w:val="0"/>
          <w:color w:val="000000"/>
          <w:sz w:val="18"/>
          <w:szCs w:val="18"/>
        </w:rPr>
        <w:t xml:space="preserve">Polarity(wᵢ) </w:t>
      </w:r>
      <w:r>
        <w:t xml:space="preserve">    </w:t>
      </w:r>
      <w:r>
        <w:rPr>
          <w:spacing w:val="-4.5"/>
          <w:rFonts w:ascii="Times NR MT Pro" w:hAnsi="Times NR MT Pro" w:eastAsia="Times NR MT Pro" w:cs="Times NR MT Pro"/>
          <w:b w:val="0"/>
          <w:i w:val="0"/>
          <w:color w:val="000000"/>
          <w:sz w:val="18"/>
          <w:szCs w:val="18"/>
        </w:rPr>
        <w:t xml:space="preserve">× </w:t>
      </w:r>
      <w:r>
        <w:t xml:space="preserve">   </w:t>
      </w:r>
      <w:r>
        <w:rPr>
          <w:spacing w:val="1.3763638626445838"/>
          <w:rFonts w:ascii="Times NR MT Pro" w:hAnsi="Times NR MT Pro" w:eastAsia="Times NR MT Pro" w:cs="Times NR MT Pro"/>
          <w:b w:val="0"/>
          <w:i w:val="0"/>
          <w:color w:val="000000"/>
          <w:sz w:val="18"/>
          <w:szCs w:val="18"/>
        </w:rPr>
        <w:t xml:space="preserve">Weight(wᵢ) </w:t>
      </w:r>
      <w:r>
        <w:t xml:space="preserve">     </w:t>
      </w:r>
      <w:r>
        <w:rPr>
          <w:spacing w:val="4.5"/>
          <w:rFonts w:ascii="Times NR MT Pro" w:hAnsi="Times NR MT Pro" w:eastAsia="Times NR MT Pro" w:cs="Times NR MT Pro"/>
          <w:b w:val="0"/>
          <w:i w:val="0"/>
          <w:color w:val="000000"/>
          <w:sz w:val="18"/>
          <w:szCs w:val="18"/>
        </w:rPr>
        <w:t xml:space="preserve">] </w:t>
      </w:r>
      <w:r>
        <w:t xml:space="preserve">                                          </w:t>
      </w:r>
      <w:r>
        <w:rPr>
          <w:spacing w:val="4.5"/>
          <w:rFonts w:ascii="Times NR MT Pro" w:hAnsi="Times NR MT Pro" w:eastAsia="Times NR MT Pro" w:cs="Times NR MT Pro"/>
          <w:b w:val="0"/>
          <w:i w:val="0"/>
          <w:color w:val="000000"/>
          <w:sz w:val="18"/>
          <w:szCs w:val="18"/>
        </w:rPr>
        <w:t xml:space="preserve">(1) where d is a review text, wᵢ represents constituent tokens, and Weight(wᵢ) denotes the term significance. While computationally </w:t>
      </w:r>
      <w:r>
        <w:rPr>
          <w:spacing w:val="0.061915774294673015"/>
          <w:rFonts w:ascii="Times NR MT Pro" w:hAnsi="Times NR MT Pro" w:eastAsia="Times NR MT Pro" w:cs="Times NR MT Pro"/>
          <w:b w:val="0"/>
          <w:i w:val="0"/>
          <w:color w:val="000000"/>
          <w:sz w:val="18"/>
          <w:szCs w:val="18"/>
        </w:rPr>
        <w:t>lightweight, lexicon approaches suffer from semantic fragility in colloquial product feedback.</w:t>
      </w:r>
    </w:p>
    <w:p>
      <w:pPr>
        <w:autoSpaceDN w:val="0"/>
        <w:autoSpaceDE w:val="0"/>
        <w:widowControl/>
        <w:spacing w:line="210" w:lineRule="exact" w:before="122" w:after="0"/>
        <w:ind w:left="0" w:right="0" w:firstLine="0"/>
        <w:jc w:val="left"/>
      </w:pPr>
      <w:r>
        <w:rPr>
          <w:spacing w:val="0.193268531976731"/>
          <w:rFonts w:ascii="Liberation Serif" w:hAnsi="Liberation Serif" w:eastAsia="Liberation Serif" w:cs="Liberation Serif"/>
          <w:b/>
          <w:bCs/>
          <w:i/>
          <w:iCs/>
          <w:color w:val="000000"/>
          <w:sz w:val="18"/>
          <w:szCs w:val="18"/>
        </w:rPr>
        <w:t>B. Transformer Models and Transfer Learning</w:t>
      </w:r>
    </w:p>
    <w:p>
      <w:pPr>
        <w:autoSpaceDN w:val="0"/>
        <w:autoSpaceDE w:val="0"/>
        <w:widowControl/>
        <w:spacing w:line="228" w:lineRule="exact" w:before="42" w:after="0"/>
        <w:ind w:left="0" w:right="20" w:firstLine="0"/>
        <w:jc w:val="both"/>
      </w:pPr>
      <w:r>
        <w:rPr>
          <w:spacing w:val="4.5"/>
          <w:rFonts w:ascii="Times NR MT Pro" w:hAnsi="Times NR MT Pro" w:eastAsia="Times NR MT Pro" w:cs="Times NR MT Pro"/>
          <w:b w:val="0"/>
          <w:i w:val="0"/>
          <w:color w:val="000000"/>
          <w:sz w:val="18"/>
          <w:szCs w:val="18"/>
        </w:rPr>
        <w:t xml:space="preserve">The introduction of BERT [4] shifted sentiment analysis toward contextualized representation learning. Shan et al. [10] benchmarked five model families on bilingual e-commerce reviews, showing that ELECTRA achieved 98.09% classification </w:t>
      </w:r>
      <w:r>
        <w:rPr>
          <w:spacing w:val="0.7518703569241656"/>
          <w:rFonts w:ascii="Times NR MT Pro" w:hAnsi="Times NR MT Pro" w:eastAsia="Times NR MT Pro" w:cs="Times NR MT Pro"/>
          <w:b w:val="0"/>
          <w:i w:val="0"/>
          <w:color w:val="000000"/>
          <w:sz w:val="18"/>
          <w:szCs w:val="18"/>
        </w:rPr>
        <w:t xml:space="preserve">accuracy (F1 = 0.9711), outperforming standard BERT (95.28%) and BiLSTM (96.09%). Recurrent architectures also remained widely used for review polarity classification [18], [19]. Wang et al. [11] developed Multi-Feature </w:t>
      </w:r>
      <w:r>
        <w:rPr>
          <w:spacing w:val="2.5901618945983182"/>
          <w:rFonts w:ascii="Times NR MT Pro" w:hAnsi="Times NR MT Pro" w:eastAsia="Times NR MT Pro" w:cs="Times NR MT Pro"/>
          <w:b w:val="0"/>
          <w:i w:val="0"/>
          <w:color w:val="000000"/>
          <w:sz w:val="18"/>
          <w:szCs w:val="18"/>
        </w:rPr>
        <w:t xml:space="preserve">Fusion Graph Attention Networks (MFF-GAT) for aspect sentiment classification, effectively integrating syntactic dependency </w:t>
      </w:r>
      <w:r>
        <w:rPr>
          <w:spacing w:val="4.5"/>
          <w:rFonts w:ascii="Times NR MT Pro" w:hAnsi="Times NR MT Pro" w:eastAsia="Times NR MT Pro" w:cs="Times NR MT Pro"/>
          <w:b w:val="0"/>
          <w:i w:val="0"/>
          <w:color w:val="000000"/>
          <w:sz w:val="18"/>
          <w:szCs w:val="18"/>
        </w:rPr>
        <w:t xml:space="preserve">trees with semantic attention. In financial e-commerce, Sun [12] investigated sentiment analysis using pretrained transformer </w:t>
      </w:r>
      <w:r>
        <w:rPr>
          <w:spacing w:val="0.4534926792932007"/>
          <w:rFonts w:ascii="Times NR MT Pro" w:hAnsi="Times NR MT Pro" w:eastAsia="Times NR MT Pro" w:cs="Times NR MT Pro"/>
          <w:b w:val="0"/>
          <w:i w:val="0"/>
          <w:color w:val="000000"/>
          <w:sz w:val="18"/>
          <w:szCs w:val="18"/>
        </w:rPr>
        <w:t xml:space="preserve">models such as BERT and RoBERTa on multi-source financial social-media data, demonstrating that sentiment polarity correlates </w:t>
      </w:r>
      <w:r>
        <w:rPr>
          <w:spacing w:val="-0.14514203071593912"/>
          <w:rFonts w:ascii="Times NR MT Pro" w:hAnsi="Times NR MT Pro" w:eastAsia="Times NR MT Pro" w:cs="Times NR MT Pro"/>
          <w:b w:val="0"/>
          <w:i w:val="0"/>
          <w:color w:val="000000"/>
          <w:sz w:val="18"/>
          <w:szCs w:val="18"/>
        </w:rPr>
        <w:t>positively with transaction volume.</w:t>
      </w:r>
    </w:p>
    <w:p>
      <w:pPr>
        <w:autoSpaceDN w:val="0"/>
        <w:autoSpaceDE w:val="0"/>
        <w:widowControl/>
        <w:spacing w:line="220" w:lineRule="exact" w:before="164" w:after="0"/>
        <w:ind w:left="776" w:right="0" w:firstLine="0"/>
        <w:jc w:val="left"/>
      </w:pPr>
      <w:r>
        <w:rPr>
          <w:spacing w:val="1.650029721467385"/>
          <w:rFonts w:ascii="Liberation Serif" w:hAnsi="Liberation Serif" w:eastAsia="Liberation Serif" w:cs="Liberation Serif"/>
          <w:b/>
          <w:bCs/>
          <w:i w:val="0"/>
          <w:color w:val="000000"/>
          <w:sz w:val="19"/>
          <w:szCs w:val="19"/>
        </w:rPr>
        <w:t>III. GRADIENT BOOSTING AND ENSEMBLE METHODS FOR E-COMMERCE PREDICTION</w:t>
      </w:r>
    </w:p>
    <w:p>
      <w:pPr>
        <w:autoSpaceDN w:val="0"/>
        <w:autoSpaceDE w:val="0"/>
        <w:widowControl/>
        <w:spacing w:line="210" w:lineRule="exact" w:before="142" w:after="0"/>
        <w:ind w:left="0" w:right="0" w:firstLine="0"/>
        <w:jc w:val="left"/>
      </w:pPr>
      <w:r>
        <w:rPr>
          <w:spacing w:val="-0.634556361607151"/>
          <w:rFonts w:ascii="Liberation Serif" w:hAnsi="Liberation Serif" w:eastAsia="Liberation Serif" w:cs="Liberation Serif"/>
          <w:b/>
          <w:bCs/>
          <w:i/>
          <w:iCs/>
          <w:color w:val="000000"/>
          <w:sz w:val="18"/>
          <w:szCs w:val="18"/>
        </w:rPr>
        <w:t>A. Theoretical Foundation and Optimization</w:t>
      </w:r>
    </w:p>
    <w:p>
      <w:pPr>
        <w:autoSpaceDN w:val="0"/>
        <w:autoSpaceDE w:val="0"/>
        <w:widowControl/>
        <w:spacing w:line="230" w:lineRule="exact" w:before="40" w:after="0"/>
        <w:ind w:left="0" w:right="22" w:firstLine="0"/>
        <w:jc w:val="both"/>
      </w:pPr>
      <w:r>
        <w:rPr>
          <w:spacing w:val="4.5"/>
          <w:rFonts w:ascii="Times NR MT Pro" w:hAnsi="Times NR MT Pro" w:eastAsia="Times NR MT Pro" w:cs="Times NR MT Pro"/>
          <w:b w:val="0"/>
          <w:i w:val="0"/>
          <w:color w:val="000000"/>
          <w:sz w:val="18"/>
          <w:szCs w:val="18"/>
        </w:rPr>
        <w:t xml:space="preserve">Tabular data in retail e-commerce exhibits complex non-linear relationships, mixed categorical-continuous distributions, and </w:t>
      </w:r>
      <w:r>
        <w:rPr>
          <w:spacing w:val="2.3798409762382473"/>
          <w:rFonts w:ascii="Times NR MT Pro" w:hAnsi="Times NR MT Pro" w:eastAsia="Times NR MT Pro" w:cs="Times NR MT Pro"/>
          <w:b w:val="0"/>
          <w:i w:val="0"/>
          <w:color w:val="000000"/>
          <w:sz w:val="18"/>
          <w:szCs w:val="18"/>
        </w:rPr>
        <w:t xml:space="preserve">heterogeneous feature scales. Chen and Guestrin's XGBoost [3] employs regularized gradient boosting with second-order Taylor </w:t>
      </w:r>
      <w:r>
        <w:rPr>
          <w:spacing w:val="0.13875113055110688"/>
          <w:rFonts w:ascii="Times NR MT Pro" w:hAnsi="Times NR MT Pro" w:eastAsia="Times NR MT Pro" w:cs="Times NR MT Pro"/>
          <w:b w:val="0"/>
          <w:i w:val="0"/>
          <w:color w:val="000000"/>
          <w:sz w:val="18"/>
          <w:szCs w:val="18"/>
        </w:rPr>
        <w:t>expansions of the loss function:</w:t>
      </w:r>
    </w:p>
    <w:p>
      <w:pPr>
        <w:spacing w:before="40" w:after="40"/>
        <w:jc w:val="center"/>
      </w:pPr>
      <w:r>
        <w:rPr>
          <w:rFonts w:ascii="Times New Roman" w:hAnsi="Times New Roman" w:cs="Times New Roman"/>
          <w:sz w:val="18"/>
        </w:rPr>
        <w:t xml:space="preserve">L(φ) = Σᵢ l(ŷᵢ, yᵢ) + Σₖ Ω(fₖ),   Ω(f) = γT + ½λ‖w‖²        (2)</w:t>
      </w:r>
    </w:p>
    <w:p>
      <w:pPr>
        <w:autoSpaceDN w:val="0"/>
        <w:autoSpaceDE w:val="0"/>
        <w:widowControl/>
        <w:spacing w:line="230" w:lineRule="exact" w:before="40" w:after="0"/>
        <w:ind w:left="0" w:right="20" w:firstLine="0"/>
        <w:jc w:val="both"/>
      </w:pPr>
      <w:r>
        <w:rPr>
          <w:spacing w:val="2.0020162597183107"/>
          <w:rFonts w:ascii="Times NR MT Pro" w:hAnsi="Times NR MT Pro" w:eastAsia="Times NR MT Pro" w:cs="Times NR MT Pro"/>
          <w:b w:val="0"/>
          <w:i w:val="0"/>
          <w:color w:val="000000"/>
          <w:sz w:val="18"/>
          <w:szCs w:val="18"/>
        </w:rPr>
        <w:t xml:space="preserve">Sayyad et al. [13] demonstrated the efficacy of CatBoost for supply chain optimization under extreme categorical sparsity. Shang </w:t>
      </w:r>
      <w:r>
        <w:rPr>
          <w:spacing w:val="0.4517917455132362"/>
          <w:rFonts w:ascii="Times NR MT Pro" w:hAnsi="Times NR MT Pro" w:eastAsia="Times NR MT Pro" w:cs="Times NR MT Pro"/>
          <w:b w:val="0"/>
          <w:i w:val="0"/>
          <w:color w:val="000000"/>
          <w:sz w:val="18"/>
          <w:szCs w:val="18"/>
        </w:rPr>
        <w:t xml:space="preserve">[14] integrated CART decision trees with high-dimensional sentiment indicators to forecast price volatility. In the systematic review </w:t>
      </w:r>
      <w:r>
        <w:rPr>
          <w:spacing w:val="4.5"/>
          <w:rFonts w:ascii="Times NR MT Pro" w:hAnsi="Times NR MT Pro" w:eastAsia="Times NR MT Pro" w:cs="Times NR MT Pro"/>
          <w:b w:val="0"/>
          <w:i w:val="0"/>
          <w:color w:val="000000"/>
          <w:sz w:val="18"/>
          <w:szCs w:val="18"/>
        </w:rPr>
        <w:t xml:space="preserve">by Daza et al. [1], XGBoost appeared in only 10% of studies; by contrast, Elangovan and Subedha [15] applied a grey-wolf-optimised deep-learning classifier to online product reviews, illustrating how often metaheuristic-tuned deep models are used in this literature.</w:t>
      </w:r>
      <w:r>
        <w:rPr>
          <w:spacing w:val="-0.06984283402562852"/>
          <w:rFonts w:ascii="Times NR MT Pro" w:hAnsi="Times NR MT Pro" w:eastAsia="Times NR MT Pro" w:cs="Times NR MT Pro"/>
          <w:b w:val="0"/>
          <w:i w:val="0"/>
          <w:color w:val="000000"/>
          <w:sz w:val="18"/>
          <w:szCs w:val="18"/>
        </w:rPr>
        <w:t xml:space="preserve"/>
      </w:r>
    </w:p>
    <w:p>
      <w:pPr>
        <w:autoSpaceDN w:val="0"/>
        <w:autoSpaceDE w:val="0"/>
        <w:widowControl/>
        <w:spacing w:line="210" w:lineRule="exact" w:before="118" w:after="0"/>
        <w:ind w:left="0" w:right="0" w:firstLine="0"/>
        <w:jc w:val="left"/>
      </w:pPr>
      <w:r>
        <w:rPr>
          <w:spacing w:val="-0.3231059229651189"/>
          <w:rFonts w:ascii="Liberation Serif" w:hAnsi="Liberation Serif" w:eastAsia="Liberation Serif" w:cs="Liberation Serif"/>
          <w:b/>
          <w:bCs/>
          <w:i/>
          <w:iCs/>
          <w:color w:val="000000"/>
          <w:sz w:val="18"/>
          <w:szCs w:val="18"/>
        </w:rPr>
        <w:t>B. Literature Search and Selection Protocol</w:t>
      </w:r>
    </w:p>
    <w:p>
      <w:pPr>
        <w:autoSpaceDN w:val="0"/>
        <w:autoSpaceDE w:val="0"/>
        <w:widowControl/>
        <w:spacing w:line="230" w:lineRule="exact" w:before="44" w:after="0"/>
        <w:ind w:left="0" w:right="20" w:firstLine="0"/>
        <w:jc w:val="both"/>
      </w:pPr>
      <w:r>
        <w:rPr>
          <w:spacing w:val="2.2983216593283697"/>
          <w:rFonts w:ascii="Times NR MT Pro" w:hAnsi="Times NR MT Pro" w:eastAsia="Times NR MT Pro" w:cs="Times NR MT Pro"/>
          <w:b w:val="0"/>
          <w:i w:val="0"/>
          <w:color w:val="000000"/>
          <w:sz w:val="18"/>
          <w:szCs w:val="18"/>
        </w:rPr>
        <w:t xml:space="preserve">To establish a structured literature synthesis, we conducted a structured literature review indexing peer-reviewed studies and key </w:t>
      </w:r>
      <w:r>
        <w:rPr>
          <w:spacing w:val="2.195397639085376"/>
          <w:rFonts w:ascii="Times NR MT Pro" w:hAnsi="Times NR MT Pro" w:eastAsia="Times NR MT Pro" w:cs="Times NR MT Pro"/>
          <w:b w:val="0"/>
          <w:i w:val="0"/>
          <w:color w:val="000000"/>
          <w:sz w:val="18"/>
          <w:szCs w:val="18"/>
        </w:rPr>
        <w:t xml:space="preserve">foundational technical reports published between 2018 and 2025 across major scientific repositories: IEEE Xplore, ACM Digital </w:t>
      </w:r>
      <w:r>
        <w:rPr>
          <w:spacing w:val="1.7639377577098263"/>
          <w:rFonts w:ascii="Times NR MT Pro" w:hAnsi="Times NR MT Pro" w:eastAsia="Times NR MT Pro" w:cs="Times NR MT Pro"/>
          <w:b w:val="0"/>
          <w:i w:val="0"/>
          <w:color w:val="000000"/>
          <w:sz w:val="18"/>
          <w:szCs w:val="18"/>
        </w:rPr>
        <w:t xml:space="preserve">Library, ScienceDirect, SpringerLink, and ACL Anthology. Primary search queries paired text-mining terms ('sentiment analysis' </w:t>
      </w:r>
      <w:r>
        <w:rPr>
          <w:spacing w:val="1.2541986649273007"/>
          <w:rFonts w:ascii="Times NR MT Pro" w:hAnsi="Times NR MT Pro" w:eastAsia="Times NR MT Pro" w:cs="Times NR MT Pro"/>
          <w:b w:val="0"/>
          <w:i w:val="0"/>
          <w:color w:val="000000"/>
          <w:sz w:val="18"/>
          <w:szCs w:val="18"/>
        </w:rPr>
        <w:t xml:space="preserve">OR 'aspect-based sentiment analysis' OR 'ABSA') with retail forecasting terms ('e-commerce' OR 'product review' OR 'retail sales') </w:t>
      </w:r>
      <w:r>
        <w:rPr>
          <w:spacing w:val="0.3540006087376486"/>
          <w:rFonts w:ascii="Times NR MT Pro" w:hAnsi="Times NR MT Pro" w:eastAsia="Times NR MT Pro" w:cs="Times NR MT Pro"/>
          <w:b w:val="0"/>
          <w:i w:val="0"/>
          <w:color w:val="000000"/>
          <w:sz w:val="18"/>
          <w:szCs w:val="18"/>
        </w:rPr>
        <w:t xml:space="preserve">and modeling methods ('XGBoost' OR 'gradient boosting' OR 'large language model'). Inclusion criteria required: (1) peer-reviewed </w:t>
      </w:r>
    </w:p>
    <w:p>
      <w:pPr>
        <w:sectPr>
          <w:pgSz w:w="12240" w:h="15840"/>
          <w:pgMar w:top="1090" w:right="1010" w:bottom="1138" w:left="1080" w:header="720" w:footer="720" w:gutter="0"/>
          <w:cols w:num="1" w:equalWidth="0">
            <w:col w:w="10150" w:space="0"/>
          </w:cols>
          <w:docGrid w:linePitch="360"/>
        </w:sectPr>
      </w:pPr>
    </w:p>
    <w:p>
      <w:pPr>
        <w:autoSpaceDN w:val="0"/>
        <w:autoSpaceDE w:val="0"/>
        <w:widowControl/>
        <w:spacing w:line="226" w:lineRule="exact" w:before="0" w:after="0"/>
        <w:ind w:left="60" w:right="26" w:firstLine="0"/>
        <w:jc w:val="both"/>
      </w:pPr>
      <w:r>
        <w:rPr>
          <w:spacing w:val="4.5"/>
          <w:rFonts w:ascii="Times NR MT Pro" w:hAnsi="Times NR MT Pro" w:eastAsia="Times NR MT Pro" w:cs="Times NR MT Pro"/>
          <w:b w:val="0"/>
          <w:i w:val="0"/>
          <w:color w:val="000000"/>
          <w:sz w:val="18"/>
          <w:szCs w:val="18"/>
        </w:rPr>
        <w:t xml:space="preserve">conference or journal publication (or foundational high-impact LLM technical reports), (2) empirical evaluation on retail or </w:t>
      </w:r>
      <w:r>
        <w:rPr>
          <w:spacing w:val="1.0947546636471908"/>
          <w:rFonts w:ascii="Times NR MT Pro" w:hAnsi="Times NR MT Pro" w:eastAsia="Times NR MT Pro" w:cs="Times NR MT Pro"/>
          <w:b w:val="0"/>
          <w:i w:val="0"/>
          <w:color w:val="000000"/>
          <w:sz w:val="18"/>
          <w:szCs w:val="18"/>
        </w:rPr>
        <w:t xml:space="preserve">consumer review data, and (3) quantitative performance metrics (Accuracy, F1, MCC, R², RMSE, Spearman ρ). We incorporated </w:t>
      </w:r>
      <w:r>
        <w:rPr>
          <w:spacing w:val="4.5"/>
          <w:rFonts w:ascii="Times NR MT Pro" w:hAnsi="Times NR MT Pro" w:eastAsia="Times NR MT Pro" w:cs="Times NR MT Pro"/>
          <w:b w:val="0"/>
          <w:i w:val="0"/>
          <w:color w:val="000000"/>
          <w:sz w:val="18"/>
          <w:szCs w:val="18"/>
        </w:rPr>
        <w:t xml:space="preserve">the 20-study PRISMA-guided corpus compiled by Daza et al. [1] and expanded it with 8 recent deep learning and hybrid </w:t>
      </w:r>
      <w:r>
        <w:rPr>
          <w:spacing w:val="1.0238969527281754"/>
          <w:rFonts w:ascii="Times NR MT Pro" w:hAnsi="Times NR MT Pro" w:eastAsia="Times NR MT Pro" w:cs="Times NR MT Pro"/>
          <w:b w:val="0"/>
          <w:i w:val="0"/>
          <w:color w:val="000000"/>
          <w:sz w:val="18"/>
          <w:szCs w:val="18"/>
        </w:rPr>
        <w:t>architectures (2024–2025), yielding the 28 core publications surveyed herein.</w:t>
      </w:r>
    </w:p>
    <w:p>
      <w:pPr>
        <w:autoSpaceDN w:val="0"/>
        <w:autoSpaceDE w:val="0"/>
        <w:widowControl/>
        <w:spacing w:line="220" w:lineRule="exact" w:before="160" w:after="0"/>
        <w:ind w:left="1042" w:right="0" w:firstLine="0"/>
        <w:jc w:val="left"/>
      </w:pPr>
      <w:r>
        <w:rPr>
          <w:spacing w:val="1.1034490411931714"/>
          <w:rFonts w:ascii="Liberation Serif" w:hAnsi="Liberation Serif" w:eastAsia="Liberation Serif" w:cs="Liberation Serif"/>
          <w:b/>
          <w:bCs/>
          <w:i w:val="0"/>
          <w:color w:val="000000"/>
          <w:sz w:val="19"/>
          <w:szCs w:val="19"/>
        </w:rPr>
        <w:t>IV. HYBRID ARCHITECTURES: BRIDGING UNSTRUCTURED TEXT TO REGRESSORS</w:t>
      </w:r>
    </w:p>
    <w:p>
      <w:pPr>
        <w:autoSpaceDN w:val="0"/>
        <w:autoSpaceDE w:val="0"/>
        <w:widowControl/>
        <w:spacing w:line="228" w:lineRule="exact" w:before="86" w:after="0"/>
        <w:ind w:left="60" w:right="20" w:firstLine="0"/>
        <w:jc w:val="both"/>
      </w:pPr>
      <w:r>
        <w:rPr>
          <w:spacing w:val="4.5"/>
          <w:rFonts w:ascii="Times NR MT Pro" w:hAnsi="Times NR MT Pro" w:eastAsia="Times NR MT Pro" w:cs="Times NR MT Pro"/>
          <w:b w:val="0"/>
          <w:i w:val="0"/>
          <w:color w:val="000000"/>
          <w:sz w:val="18"/>
          <w:szCs w:val="18"/>
        </w:rPr>
        <w:t xml:space="preserve">Emerging architectures increasingly connect natural language feature extractors to tabular estimators. Hidayat et al. [16] demonstrated Large Language Model integration for time-series discrepancy prediction, analyzing probabilistic versus point forecasting tradeoffs. Niimi [17] investigated local LLM sentiment analysis with majority voting across temperature variations, </w:t>
      </w:r>
      <w:r>
        <w:rPr>
          <w:spacing w:val="0.5200008153915405"/>
          <w:rFonts w:ascii="Times NR MT Pro" w:hAnsi="Times NR MT Pro" w:eastAsia="Times NR MT Pro" w:cs="Times NR MT Pro"/>
          <w:b w:val="0"/>
          <w:i w:val="0"/>
          <w:color w:val="000000"/>
          <w:sz w:val="18"/>
          <w:szCs w:val="18"/>
        </w:rPr>
        <w:t>finding that multi-pass inference improves classification consistency.</w:t>
      </w:r>
    </w:p>
    <w:p>
      <w:pPr>
        <w:autoSpaceDN w:val="0"/>
        <w:autoSpaceDE w:val="0"/>
        <w:widowControl/>
        <w:spacing w:line="230" w:lineRule="exact" w:before="40" w:after="0"/>
        <w:ind w:left="60" w:right="22" w:firstLine="0"/>
        <w:jc w:val="both"/>
      </w:pPr>
      <w:r>
        <w:rPr>
          <w:spacing w:val="4.5"/>
          <w:rFonts w:ascii="Times NR MT Pro" w:hAnsi="Times NR MT Pro" w:eastAsia="Times NR MT Pro" w:cs="Times NR MT Pro"/>
          <w:b w:val="0"/>
          <w:i w:val="0"/>
          <w:color w:val="000000"/>
          <w:sz w:val="18"/>
          <w:szCs w:val="18"/>
        </w:rPr>
        <w:t xml:space="preserve">To enforce deterministic structured outputs from LLM extractors in production workflows, pipelines increasingly employ </w:t>
      </w:r>
      <w:r>
        <w:rPr>
          <w:spacing w:val="0.338932183862639"/>
          <w:rFonts w:ascii="Times NR MT Pro" w:hAnsi="Times NR MT Pro" w:eastAsia="Times NR MT Pro" w:cs="Times NR MT Pro"/>
          <w:b w:val="0"/>
          <w:i w:val="0"/>
          <w:color w:val="000000"/>
          <w:sz w:val="18"/>
          <w:szCs w:val="18"/>
        </w:rPr>
        <w:t xml:space="preserve">constrained schema validators (such as Pydantic). Under a theoretical independent Bernoulli trial formulation where single-attempt </w:t>
      </w:r>
      <w:r>
        <w:rPr>
          <w:spacing w:val="-0.19490484134206448"/>
          <w:rFonts w:ascii="Times NR MT Pro" w:hAnsi="Times NR MT Pro" w:eastAsia="Times NR MT Pro" w:cs="Times NR MT Pro"/>
          <w:b w:val="0"/>
          <w:i w:val="0"/>
          <w:color w:val="000000"/>
          <w:sz w:val="18"/>
          <w:szCs w:val="18"/>
        </w:rPr>
        <w:t>schema compliance occurs with probability p, a k-attempt retry policy yields a theoretical validity bound:</w:t>
      </w:r>
    </w:p>
    <w:p>
      <w:pPr>
        <w:autoSpaceDN w:val="0"/>
        <w:tabs>
          <w:tab w:pos="60" w:val="left"/>
          <w:tab w:pos="392" w:val="left"/>
          <w:tab w:pos="1626" w:val="left"/>
          <w:tab w:pos="2308" w:val="left"/>
          <w:tab w:pos="2978" w:val="left"/>
          <w:tab w:pos="3612" w:val="left"/>
          <w:tab w:pos="4344" w:val="left"/>
          <w:tab w:pos="4984" w:val="left"/>
          <w:tab w:pos="9916" w:val="left"/>
        </w:tabs>
        <w:autoSpaceDE w:val="0"/>
        <w:widowControl/>
        <w:spacing w:line="240" w:lineRule="auto" w:before="40" w:after="0"/>
        <w:ind w:left="0" w:right="0" w:firstLine="0"/>
        <w:jc w:val="left"/>
      </w:pPr>
      <w:r>
        <w:t xml:space="preserve">     </w:t>
      </w:r>
      <w:r>
        <w:rPr>
          <w:spacing w:val="1.2480006694793815"/>
          <w:rFonts w:ascii="Times NR MT Pro" w:hAnsi="Times NR MT Pro" w:eastAsia="Times NR MT Pro" w:cs="Times NR MT Pro"/>
          <w:b w:val="0"/>
          <w:i w:val="0"/>
          <w:color w:val="000000"/>
          <w:sz w:val="18"/>
          <w:szCs w:val="18"/>
        </w:rPr>
        <w:t xml:space="preserve"> P(valid) </w:t>
      </w:r>
      <w:r>
        <w:t xml:space="preserve">      </w:t>
      </w:r>
      <w:r>
        <w:rPr>
          <w:spacing w:val="-4.5"/>
          <w:rFonts w:ascii="Times NR MT Pro" w:hAnsi="Times NR MT Pro" w:eastAsia="Times NR MT Pro" w:cs="Times NR MT Pro"/>
          <w:b w:val="0"/>
          <w:i w:val="0"/>
          <w:color w:val="000000"/>
          <w:sz w:val="18"/>
          <w:szCs w:val="18"/>
        </w:rPr>
        <w:t xml:space="preserve">= </w:t>
      </w:r>
      <w:r>
        <w:t xml:space="preserve">       </w:t>
      </w:r>
      <w:r>
        <w:rPr>
          <w:spacing w:val="4.5"/>
          <w:rFonts w:ascii="Times NR MT Pro" w:hAnsi="Times NR MT Pro" w:eastAsia="Times NR MT Pro" w:cs="Times NR MT Pro"/>
          <w:b w:val="0"/>
          <w:i w:val="0"/>
          <w:color w:val="000000"/>
          <w:sz w:val="18"/>
          <w:szCs w:val="18"/>
        </w:rPr>
        <w:t xml:space="preserve">1 </w:t>
      </w:r>
      <w:r>
        <w:t xml:space="preserve">         </w:t>
      </w:r>
      <w:r>
        <w:rPr>
          <w:spacing w:val="1.5299996137619587"/>
          <w:rFonts w:ascii="Times NR MT Pro" w:hAnsi="Times NR MT Pro" w:eastAsia="Times NR MT Pro" w:cs="Times NR MT Pro"/>
          <w:b w:val="0"/>
          <w:i w:val="0"/>
          <w:color w:val="000000"/>
          <w:sz w:val="18"/>
          <w:szCs w:val="18"/>
        </w:rPr>
        <w:t xml:space="preserve">- </w:t>
      </w:r>
      <w:r>
        <w:t xml:space="preserve">       </w:t>
      </w:r>
      <w:r>
        <w:rPr>
          <w:spacing w:val="4.5"/>
          <w:rFonts w:ascii="Times NR MT Pro" w:hAnsi="Times NR MT Pro" w:eastAsia="Times NR MT Pro" w:cs="Times NR MT Pro"/>
          <w:b w:val="0"/>
          <w:i w:val="0"/>
          <w:color w:val="000000"/>
          <w:sz w:val="18"/>
          <w:szCs w:val="18"/>
        </w:rPr>
        <w:t xml:space="preserve">(1 </w:t>
      </w:r>
      <w:r>
        <w:t xml:space="preserve">         </w:t>
      </w:r>
      <w:r>
        <w:rPr>
          <w:spacing w:val="4.5"/>
          <w:rFonts w:ascii="Times NR MT Pro" w:hAnsi="Times NR MT Pro" w:eastAsia="Times NR MT Pro" w:cs="Times NR MT Pro"/>
          <w:b w:val="0"/>
          <w:i w:val="0"/>
          <w:color w:val="000000"/>
          <w:sz w:val="18"/>
          <w:szCs w:val="18"/>
        </w:rPr>
        <w:t xml:space="preserve">- </w:t>
      </w:r>
      <w:r>
        <w:t xml:space="preserve">      </w:t>
      </w:r>
      <w:r>
        <w:rPr>
          <w:spacing w:val="0.38400042057037354"/>
          <w:rFonts w:ascii="Times NR MT Pro" w:hAnsi="Times NR MT Pro" w:eastAsia="Times NR MT Pro" w:cs="Times NR MT Pro"/>
          <w:b w:val="0"/>
          <w:i w:val="0"/>
          <w:color w:val="000000"/>
          <w:sz w:val="18"/>
          <w:szCs w:val="18"/>
        </w:rPr>
        <w:t xml:space="preserve">p)^k </w:t>
      </w:r>
      <w:r>
        <w:t xml:space="preserve">                                                                  </w:t>
      </w:r>
      <w:r>
        <w:rPr>
          <w:spacing w:val="4.5"/>
          <w:rFonts w:ascii="Times NR MT Pro" w:hAnsi="Times NR MT Pro" w:eastAsia="Times NR MT Pro" w:cs="Times NR MT Pro"/>
          <w:b w:val="0"/>
          <w:i w:val="0"/>
          <w:color w:val="000000"/>
          <w:sz w:val="18"/>
          <w:szCs w:val="18"/>
        </w:rPr>
        <w:t xml:space="preserve">(3) </w:t>
      </w:r>
      <w:r>
        <w:drawing>
          <wp:inline xmlns:a="http://schemas.openxmlformats.org/drawingml/2006/main" xmlns:pic="http://schemas.openxmlformats.org/drawingml/2006/picture">
            <wp:extent cx="596900" cy="1651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96900" cy="165100"/>
                    </a:xfrm>
                    <a:prstGeom prst="rect"/>
                  </pic:spPr>
                </pic:pic>
              </a:graphicData>
            </a:graphic>
          </wp:inline>
        </w:drawing>
      </w:r>
      <w:r>
        <w:rPr>
          <w:spacing w:val="0.3743711533369842"/>
          <w:rFonts w:ascii="Times NR MT Pro" w:hAnsi="Times NR MT Pro" w:eastAsia="Times NR MT Pro" w:cs="Times NR MT Pro"/>
          <w:b w:val="0"/>
          <w:i w:val="0"/>
          <w:color w:val="000000"/>
          <w:sz w:val="18"/>
          <w:szCs w:val="18"/>
        </w:rPr>
        <w:t xml:space="preserve">Under an illustrative working assumption of p = 0.85, a three-pass retry policy (k = 3) achieves a theoretical bound of P(valid) = 1 - </w:t>
      </w:r>
      <w:r>
        <w:rPr>
          <w:spacing w:val="0.45422309769524133"/>
          <w:rFonts w:ascii="Times NR MT Pro" w:hAnsi="Times NR MT Pro" w:eastAsia="Times NR MT Pro" w:cs="Times NR MT Pro"/>
          <w:b w:val="0"/>
          <w:i w:val="0"/>
          <w:color w:val="000000"/>
          <w:sz w:val="18"/>
          <w:szCs w:val="18"/>
        </w:rPr>
        <w:t xml:space="preserve">(0.15)³ ≈ 0.9966. This figure represents an illustrative theoretical calculation under stated independent Bernoulli assumptions rather </w:t>
      </w:r>
      <w:r>
        <w:rPr>
          <w:spacing w:val="1.4129609060287476"/>
          <w:rFonts w:ascii="Times NR MT Pro" w:hAnsi="Times NR MT Pro" w:eastAsia="Times NR MT Pro" w:cs="Times NR MT Pro"/>
          <w:b w:val="0"/>
          <w:i w:val="0"/>
          <w:color w:val="000000"/>
          <w:sz w:val="18"/>
          <w:szCs w:val="18"/>
        </w:rPr>
        <w:t xml:space="preserve">than an observed empirical schema-compliance rate. In practice, production implementations combine structured prompting with </w:t>
      </w:r>
      <w:r>
        <w:rPr>
          <w:spacing w:val="-0.8415523755897618"/>
          <w:rFonts w:ascii="Times NR MT Pro" w:hAnsi="Times NR MT Pro" w:eastAsia="Times NR MT Pro" w:cs="Times NR MT Pro"/>
          <w:b w:val="0"/>
          <w:i w:val="0"/>
          <w:color w:val="000000"/>
          <w:sz w:val="18"/>
          <w:szCs w:val="18"/>
        </w:rPr>
        <w:t>automated fallback repair handlers to enforce valid structured outputs across extensive corpus batches.</w:t>
      </w:r>
    </w:p>
    <w:p>
      <w:pPr>
        <w:autoSpaceDN w:val="0"/>
        <w:autoSpaceDE w:val="0"/>
        <w:widowControl/>
        <w:spacing w:line="220" w:lineRule="exact" w:before="162" w:after="0"/>
        <w:ind w:left="320" w:right="0" w:firstLine="0"/>
        <w:jc w:val="left"/>
      </w:pPr>
      <w:r>
        <w:rPr>
          <w:spacing w:val="1.1095520019531193"/>
          <w:rFonts w:ascii="Liberation Serif" w:hAnsi="Liberation Serif" w:eastAsia="Liberation Serif" w:cs="Liberation Serif"/>
          <w:b/>
          <w:bCs/>
          <w:i w:val="0"/>
          <w:color w:val="000000"/>
          <w:sz w:val="19"/>
          <w:szCs w:val="19"/>
        </w:rPr>
        <w:t xml:space="preserve">V. CASE STUDY ARCHITECTURE: BRIDGING PRE-LAUNCH SPECIFICATIONS (THE LAUNCHSIGHT </w:t>
      </w:r>
    </w:p>
    <w:p>
      <w:pPr>
        <w:autoSpaceDN w:val="0"/>
        <w:autoSpaceDE w:val="0"/>
        <w:widowControl/>
        <w:spacing w:line="220" w:lineRule="exact" w:before="22" w:after="0"/>
        <w:ind w:left="4374" w:right="0" w:firstLine="0"/>
        <w:jc w:val="left"/>
      </w:pPr>
      <w:r>
        <w:rPr>
          <w:spacing w:val="2.3799316406250455"/>
          <w:rFonts w:ascii="Liberation Serif" w:hAnsi="Liberation Serif" w:eastAsia="Liberation Serif" w:cs="Liberation Serif"/>
          <w:b/>
          <w:bCs/>
          <w:i w:val="0"/>
          <w:color w:val="000000"/>
          <w:sz w:val="19"/>
          <w:szCs w:val="19"/>
        </w:rPr>
        <w:t>FRAMEWORK)</w:t>
      </w:r>
    </w:p>
    <w:p>
      <w:pPr>
        <w:autoSpaceDN w:val="0"/>
        <w:autoSpaceDE w:val="0"/>
        <w:widowControl/>
        <w:spacing w:line="230" w:lineRule="exact" w:before="84" w:after="0"/>
        <w:ind w:left="60" w:right="24" w:firstLine="0"/>
        <w:jc w:val="both"/>
      </w:pPr>
      <w:r>
        <w:rPr>
          <w:spacing w:val="0.008572298333164278"/>
          <w:rFonts w:ascii="Times NR MT Pro" w:hAnsi="Times NR MT Pro" w:eastAsia="Times NR MT Pro" w:cs="Times NR MT Pro"/>
          <w:b w:val="0"/>
          <w:i w:val="0"/>
          <w:color w:val="000000"/>
          <w:sz w:val="18"/>
          <w:szCs w:val="18"/>
        </w:rPr>
        <w:t xml:space="preserve">To ground the survey's architectural synthesis in an end-to-end implementation, this section examines LaunchSight as an illustrative </w:t>
      </w:r>
      <w:r>
        <w:rPr>
          <w:spacing w:val="4.5"/>
          <w:rFonts w:ascii="Times NR MT Pro" w:hAnsi="Times NR MT Pro" w:eastAsia="Times NR MT Pro" w:cs="Times NR MT Pro"/>
          <w:b w:val="0"/>
          <w:i w:val="0"/>
          <w:color w:val="000000"/>
          <w:sz w:val="18"/>
          <w:szCs w:val="18"/>
        </w:rPr>
        <w:t xml:space="preserve">case study of hybrid pre-launch intelligence (Fig. 1). Traditional e-commerce models assume customer reviews already exist; the </w:t>
      </w:r>
      <w:r>
        <w:rPr>
          <w:spacing w:val="0.7304625492829473"/>
          <w:rFonts w:ascii="Times NR MT Pro" w:hAnsi="Times NR MT Pro" w:eastAsia="Times NR MT Pro" w:cs="Times NR MT Pro"/>
          <w:b w:val="0"/>
          <w:i w:val="0"/>
          <w:color w:val="000000"/>
          <w:sz w:val="18"/>
          <w:szCs w:val="18"/>
        </w:rPr>
        <w:t xml:space="preserve">LaunchSight framework addresses the cold-start challenge by bridging unstructured pre-launch specifications into empirical aspect </w:t>
      </w:r>
      <w:r>
        <w:rPr>
          <w:spacing w:val="-0.3959989356994584"/>
          <w:rFonts w:ascii="Times NR MT Pro" w:hAnsi="Times NR MT Pro" w:eastAsia="Times NR MT Pro" w:cs="Times NR MT Pro"/>
          <w:b w:val="0"/>
          <w:i w:val="0"/>
          <w:color w:val="000000"/>
          <w:sz w:val="18"/>
          <w:szCs w:val="18"/>
        </w:rPr>
        <w:t>distributions constructed from historical reviews.</w:t>
      </w:r>
    </w:p>
    <w:p>
      <w:pPr>
        <w:autoSpaceDN w:val="0"/>
        <w:autoSpaceDE w:val="0"/>
        <w:widowControl/>
        <w:spacing w:line="210" w:lineRule="exact" w:before="118" w:after="0"/>
        <w:ind w:left="60" w:right="0" w:firstLine="0"/>
        <w:jc w:val="left"/>
      </w:pPr>
      <w:r>
        <w:rPr>
          <w:spacing w:val="-0.9560324928977403"/>
          <w:rFonts w:ascii="Liberation Serif" w:hAnsi="Liberation Serif" w:eastAsia="Liberation Serif" w:cs="Liberation Serif"/>
          <w:b/>
          <w:bCs/>
          <w:i/>
          <w:iCs/>
          <w:color w:val="000000"/>
          <w:sz w:val="18"/>
          <w:szCs w:val="18"/>
        </w:rPr>
        <w:t>A. Two-Stage Learning and Bridging Framework</w:t>
      </w:r>
    </w:p>
    <w:p>
      <w:pPr>
        <w:autoSpaceDN w:val="0"/>
        <w:autoSpaceDE w:val="0"/>
        <w:widowControl/>
        <w:spacing w:line="228" w:lineRule="exact" w:before="46" w:after="0"/>
        <w:ind w:left="60" w:right="20" w:firstLine="0"/>
        <w:jc w:val="both"/>
      </w:pPr>
      <w:r>
        <w:rPr>
          <w:spacing w:val="4.5"/>
          <w:rFonts w:ascii="Times NR MT Pro" w:hAnsi="Times NR MT Pro" w:eastAsia="Times NR MT Pro" w:cs="Times NR MT Pro"/>
          <w:b w:val="0"/>
          <w:i w:val="0"/>
          <w:color w:val="000000"/>
          <w:sz w:val="18"/>
          <w:szCs w:val="18"/>
        </w:rPr>
        <w:t xml:space="preserve">The architecture operates in two sequential stages. Stage 1 constructs the empirical foundation: historical customer reviews are analyzed by an LLM executing null-forcing Aspect-Based Sentiment Analysis. Aspect scores are extracted across six shared </w:t>
      </w:r>
      <w:r>
        <w:rPr>
          <w:spacing w:val="1.1415390574015174"/>
          <w:rFonts w:ascii="Times NR MT Pro" w:hAnsi="Times NR MT Pro" w:eastAsia="Times NR MT Pro" w:cs="Times NR MT Pro"/>
          <w:b w:val="0"/>
          <w:i w:val="0"/>
          <w:color w:val="000000"/>
          <w:sz w:val="18"/>
          <w:szCs w:val="18"/>
        </w:rPr>
        <w:t xml:space="preserve">dimensions (Value for Money, Utility, Ease of Use, Reliability, Design Appeal, After-Sales Service) and three physical dimensions </w:t>
      </w:r>
      <w:r>
        <w:rPr>
          <w:spacing w:val="-0.23895449335896046"/>
          <w:rFonts w:ascii="Times NR MT Pro" w:hAnsi="Times NR MT Pro" w:eastAsia="Times NR MT Pro" w:cs="Times NR MT Pro"/>
          <w:b w:val="0"/>
          <w:i w:val="0"/>
          <w:color w:val="000000"/>
          <w:sz w:val="18"/>
          <w:szCs w:val="18"/>
        </w:rPr>
        <w:t>(Build Quality, Durability, Repairability). This establishes empirical category priors and calibrates reference feature distributions.</w:t>
      </w:r>
    </w:p>
    <w:p>
      <w:pPr>
        <w:autoSpaceDN w:val="0"/>
        <w:autoSpaceDE w:val="0"/>
        <w:widowControl/>
        <w:spacing w:line="230" w:lineRule="exact" w:before="40" w:after="0"/>
        <w:ind w:left="60" w:right="20" w:firstLine="0"/>
        <w:jc w:val="both"/>
      </w:pPr>
      <w:r>
        <w:rPr>
          <w:spacing w:val="0.8943759910762239"/>
          <w:rFonts w:ascii="Times NR MT Pro" w:hAnsi="Times NR MT Pro" w:eastAsia="Times NR MT Pro" w:cs="Times NR MT Pro"/>
          <w:b w:val="0"/>
          <w:i w:val="0"/>
          <w:color w:val="000000"/>
          <w:sz w:val="18"/>
          <w:szCs w:val="18"/>
        </w:rPr>
        <w:t xml:space="preserve">Stage 2 performs launch-blind specification bridging. When evaluating a prospective product before launch, no customer feedback </w:t>
      </w:r>
      <w:r>
        <w:rPr>
          <w:spacing w:val="4.5"/>
          <w:rFonts w:ascii="Times NR MT Pro" w:hAnsi="Times NR MT Pro" w:eastAsia="Times NR MT Pro" w:cs="Times NR MT Pro"/>
          <w:b w:val="0"/>
          <w:i w:val="0"/>
          <w:color w:val="000000"/>
          <w:sz w:val="18"/>
          <w:szCs w:val="18"/>
        </w:rPr>
        <w:t xml:space="preserve">exists. A skeptic-prompted LLM evaluates the manufacturer's technical specifications, pricing, and category context, mapping unstructured specifications into estimated aspect scores grounded against category priors. These bridged aspects feed a trained </w:t>
      </w:r>
      <w:r>
        <w:rPr>
          <w:spacing w:val="-0.8469464816545209"/>
          <w:rFonts w:ascii="Times NR MT Pro" w:hAnsi="Times NR MT Pro" w:eastAsia="Times NR MT Pro" w:cs="Times NR MT Pro"/>
          <w:b w:val="0"/>
          <w:i w:val="0"/>
          <w:color w:val="000000"/>
          <w:sz w:val="18"/>
          <w:szCs w:val="18"/>
        </w:rPr>
        <w:t>XGBoost regressor enforcing monotonic constraints, outputting a composite viability prediction.</w:t>
      </w:r>
    </w:p>
    <w:p>
      <w:pPr>
        <w:autoSpaceDN w:val="0"/>
        <w:autoSpaceDE w:val="0"/>
        <w:widowControl/>
        <w:spacing w:line="210" w:lineRule="exact" w:before="118" w:after="0"/>
        <w:ind w:left="60" w:right="0" w:firstLine="0"/>
        <w:jc w:val="left"/>
      </w:pPr>
      <w:r>
        <w:rPr>
          <w:spacing w:val="-0.6718052455357251"/>
          <w:rFonts w:ascii="Liberation Serif" w:hAnsi="Liberation Serif" w:eastAsia="Liberation Serif" w:cs="Liberation Serif"/>
          <w:b/>
          <w:bCs/>
          <w:i/>
          <w:iCs/>
          <w:color w:val="000000"/>
          <w:sz w:val="18"/>
          <w:szCs w:val="18"/>
        </w:rPr>
        <w:t>B. Dataset Provenance and Quality Controls</w:t>
      </w:r>
    </w:p>
    <w:p>
      <w:pPr>
        <w:autoSpaceDN w:val="0"/>
        <w:autoSpaceDE w:val="0"/>
        <w:widowControl/>
        <w:spacing w:line="228" w:lineRule="exact" w:before="44" w:after="0"/>
        <w:ind w:left="60" w:right="20" w:firstLine="0"/>
        <w:jc w:val="both"/>
      </w:pPr>
      <w:r>
        <w:t>The case study corpus comprises 43,599 customer reviews across 640 initially collected products in five Amazon categories (Bluetooth speakers, ice makers, power banks, smartwatches, and wireless headphones). Automated fraud filtering retained 631 products. Aspect-level extraction yielded 29,410 matched reviews from this corpus (67.5% review-level coverage), providing 100% product-level representation across all 631 retained products, with 32,477 total extraction rows aggregated in the catalog feature table.</w:t>
      </w:r>
    </w:p>
    <w:p>
      <w:pPr>
        <w:autoSpaceDN w:val="0"/>
        <w:autoSpaceDE w:val="0"/>
        <w:widowControl/>
        <w:spacing w:line="210" w:lineRule="exact" w:before="122" w:after="0"/>
        <w:ind w:left="60" w:right="0" w:firstLine="0"/>
        <w:jc w:val="left"/>
      </w:pPr>
      <w:r>
        <w:rPr>
          <w:spacing w:val="-1.759800502232147"/>
          <w:rFonts w:ascii="Liberation Serif" w:hAnsi="Liberation Serif" w:eastAsia="Liberation Serif" w:cs="Liberation Serif"/>
          <w:b/>
          <w:bCs/>
          <w:i/>
          <w:iCs/>
          <w:color w:val="000000"/>
          <w:sz w:val="18"/>
          <w:szCs w:val="18"/>
        </w:rPr>
        <w:t>C. Ground Truth Composite Success Metric and Sensitivity</w:t>
      </w:r>
    </w:p>
    <w:p>
      <w:pPr>
        <w:autoSpaceDN w:val="0"/>
        <w:autoSpaceDE w:val="0"/>
        <w:widowControl/>
        <w:spacing w:line="230" w:lineRule="exact" w:before="40" w:after="0"/>
        <w:ind w:left="60" w:right="0" w:firstLine="0"/>
        <w:jc w:val="left"/>
      </w:pPr>
      <w:r>
        <w:rPr>
          <w:spacing w:val="-0.04390899131173265"/>
          <w:rFonts w:ascii="Times NR MT Pro" w:hAnsi="Times NR MT Pro" w:eastAsia="Times NR MT Pro" w:cs="Times NR MT Pro"/>
          <w:b w:val="0"/>
          <w:i w:val="0"/>
          <w:color w:val="000000"/>
          <w:sz w:val="18"/>
          <w:szCs w:val="18"/>
        </w:rPr>
        <w:t xml:space="preserve">To establish a robust target variable without single-metric rating bias, market success is formulated as a three-component composite </w:t>
      </w:r>
      <w:r>
        <w:rPr>
          <w:spacing w:val="0.25947466335797964"/>
          <w:rFonts w:ascii="Times NR MT Pro" w:hAnsi="Times NR MT Pro" w:eastAsia="Times NR MT Pro" w:cs="Times NR MT Pro"/>
          <w:b w:val="0"/>
          <w:i w:val="0"/>
          <w:color w:val="000000"/>
          <w:sz w:val="18"/>
          <w:szCs w:val="18"/>
        </w:rPr>
        <w:t>score normalized within each category:</w:t>
      </w:r>
    </w:p>
    <w:p>
      <w:pPr>
        <w:autoSpaceDN w:val="0"/>
        <w:autoSpaceDE w:val="0"/>
        <w:widowControl/>
        <w:spacing w:line="240" w:lineRule="auto" w:before="38" w:after="0"/>
        <w:ind w:left="60" w:right="20" w:firstLine="0"/>
        <w:jc w:val="both"/>
      </w:pPr>
      <w:r>
        <w:drawing>
          <wp:inline xmlns:a="http://schemas.openxmlformats.org/drawingml/2006/main" xmlns:pic="http://schemas.openxmlformats.org/drawingml/2006/picture">
            <wp:extent cx="533400" cy="127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33400" cy="127000"/>
                    </a:xfrm>
                    <a:prstGeom prst="rect"/>
                  </pic:spPr>
                </pic:pic>
              </a:graphicData>
            </a:graphic>
          </wp:inline>
        </w:drawing>
      </w:r>
      <w:r>
        <w:rPr>
          <w:spacing w:val="4.5"/>
          <w:rFonts w:ascii="Times NR MT Pro" w:hAnsi="Times NR MT Pro" w:eastAsia="Times NR MT Pro" w:cs="Times NR MT Pro"/>
          <w:b w:val="0"/>
          <w:i w:val="0"/>
          <w:color w:val="000000"/>
          <w:sz w:val="18"/>
          <w:szCs w:val="18"/>
        </w:rPr>
        <w:t xml:space="preserve">        SuccessScore = 100 × [ 0.40 × Volume_norm + 0.35 × Rating_norm + 0.25 × Velocity_norm ]        (4) where Volume denotes log1p(review_count), Rating reflects average star rating, and Velocity captures reviews accumulated per </w:t>
      </w:r>
      <w:r>
        <w:rPr>
          <w:spacing w:val="0.8513395842604714"/>
          <w:rFonts w:ascii="Times NR MT Pro" w:hAnsi="Times NR MT Pro" w:eastAsia="Times NR MT Pro" w:cs="Times NR MT Pro"/>
          <w:b w:val="0"/>
          <w:i w:val="0"/>
          <w:color w:val="000000"/>
          <w:sz w:val="18"/>
          <w:szCs w:val="18"/>
        </w:rPr>
        <w:t xml:space="preserve">month. The Spearman rank correlation between the baseline target ranking and rankings produced under alternative target-weight </w:t>
      </w:r>
      <w:r>
        <w:drawing>
          <wp:inline xmlns:a="http://schemas.openxmlformats.org/drawingml/2006/main" xmlns:pic="http://schemas.openxmlformats.org/drawingml/2006/picture">
            <wp:extent cx="317500" cy="127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17500" cy="127000"/>
                    </a:xfrm>
                    <a:prstGeom prst="rect"/>
                  </pic:spPr>
                </pic:pic>
              </a:graphicData>
            </a:graphic>
          </wp:inline>
        </w:drawing>
      </w:r>
      <w:r>
        <w:rPr>
          <w:spacing w:val="0.8427700253633318"/>
          <w:rFonts w:ascii="Times NR MT Pro" w:hAnsi="Times NR MT Pro" w:eastAsia="Times NR MT Pro" w:cs="Times NR MT Pro"/>
          <w:b w:val="0"/>
          <w:i w:val="0"/>
          <w:color w:val="000000"/>
          <w:sz w:val="18"/>
          <w:szCs w:val="18"/>
        </w:rPr>
        <w:t xml:space="preserve">formulations (50/30/20, 30/40/30, and equal weighting) exceeds ρ &gt; 0.988 across all 631 products, confirming ground-truth ranking </w:t>
      </w:r>
      <w:r>
        <w:rPr>
          <w:spacing w:val="-0.16599957942963783"/>
          <w:rFonts w:ascii="Times NR MT Pro" w:hAnsi="Times NR MT Pro" w:eastAsia="Times NR MT Pro" w:cs="Times NR MT Pro"/>
          <w:b w:val="0"/>
          <w:i w:val="0"/>
          <w:color w:val="000000"/>
          <w:sz w:val="18"/>
          <w:szCs w:val="18"/>
        </w:rPr>
        <w:t>stability.</w:t>
      </w:r>
    </w:p>
    <w:p>
      <w:pPr>
        <w:autoSpaceDN w:val="0"/>
        <w:autoSpaceDE w:val="0"/>
        <w:widowControl/>
        <w:spacing w:line="210" w:lineRule="exact" w:before="120" w:after="0"/>
        <w:ind w:left="60" w:right="0" w:firstLine="0"/>
        <w:jc w:val="left"/>
      </w:pPr>
      <w:r>
        <w:rPr>
          <w:spacing w:val="-0.2096964518229309"/>
          <w:rFonts w:ascii="Liberation Serif" w:hAnsi="Liberation Serif" w:eastAsia="Liberation Serif" w:cs="Liberation Serif"/>
          <w:b/>
          <w:bCs/>
          <w:i/>
          <w:iCs/>
          <w:color w:val="000000"/>
          <w:sz w:val="18"/>
          <w:szCs w:val="18"/>
        </w:rPr>
        <w:t>D. Boundary Conditions and the Ice Maker Paradox</w:t>
      </w:r>
    </w:p>
    <w:p>
      <w:pPr>
        <w:autoSpaceDN w:val="0"/>
        <w:autoSpaceDE w:val="0"/>
        <w:widowControl/>
        <w:spacing w:line="240" w:lineRule="auto" w:before="40" w:after="0"/>
        <w:ind w:left="60" w:right="20" w:firstLine="0"/>
        <w:jc w:val="both"/>
      </w:pPr>
      <w:r>
        <w:rPr>
          <w:spacing w:val="1.0173855676100805"/>
          <w:rFonts w:ascii="Times NR MT Pro" w:hAnsi="Times NR MT Pro" w:eastAsia="Times NR MT Pro" w:cs="Times NR MT Pro"/>
          <w:b w:val="0"/>
          <w:i w:val="0"/>
          <w:color w:val="000000"/>
          <w:sz w:val="18"/>
          <w:szCs w:val="18"/>
        </w:rPr>
        <w:t xml:space="preserve">A rigorous prediction methodology must explicitly delineate its boundary conditions. The case study evaluation uncovered the 'Ice </w:t>
      </w:r>
      <w:r>
        <w:rPr>
          <w:spacing w:val="4.5"/>
          <w:rFonts w:ascii="Times NR MT Pro" w:hAnsi="Times NR MT Pro" w:eastAsia="Times NR MT Pro" w:cs="Times NR MT Pro"/>
          <w:b w:val="0"/>
          <w:i w:val="0"/>
          <w:color w:val="000000"/>
          <w:sz w:val="18"/>
          <w:szCs w:val="18"/>
        </w:rPr>
        <w:t xml:space="preserve">Maker Paradox': while ice makers exhibited strong review-to-success correlation (mean |r| = 0.32), specs-only bridging achieved </w:t>
      </w:r>
      <w:r>
        <w:rPr>
          <w:spacing w:val="4.5"/>
          <w:rFonts w:ascii="Times NR MT Pro" w:hAnsi="Times NR MT Pro" w:eastAsia="Times NR MT Pro" w:cs="Times NR MT Pro"/>
          <w:b w:val="0"/>
          <w:i w:val="0"/>
          <w:color w:val="000000"/>
          <w:sz w:val="18"/>
          <w:szCs w:val="18"/>
        </w:rPr>
        <w:t xml:space="preserve">only r ≈ 0.04 against review-derived aspect truth, with holdout ρ ≈ 0.11 and forward-in-time ρ ≈ −0.03. Diagnostic analysis revealed that ice maker specifications consist almost exclusively of physical capacity and cycle metrics (e.g., '26 lb/day, 9 cubes in 6 minutes'), which carry zero information regarding compressor </w:t>
      </w:r>
      <w:r>
        <w:rPr>
          <w:spacing w:val="0.02391080569503557"/>
          <w:rFonts w:ascii="Times NR MT Pro" w:hAnsi="Times NR MT Pro" w:eastAsia="Times NR MT Pro" w:cs="Times NR MT Pro"/>
          <w:b w:val="0"/>
          <w:i w:val="0"/>
          <w:color w:val="000000"/>
          <w:sz w:val="18"/>
          <w:szCs w:val="18"/>
        </w:rPr>
        <w:t xml:space="preserve">longevity, pump durability, or operational noise. In contrast, personal electronics specifications (headphones, smartwatches) encode </w:t>
      </w:r>
    </w:p>
    <w:p>
      <w:pPr>
        <w:sectPr>
          <w:pgSz w:w="12240" w:h="15840"/>
          <w:pgMar w:top="1088" w:right="1010" w:bottom="1286" w:left="1020" w:header="720" w:footer="720" w:gutter="0"/>
          <w:cols w:num="1" w:equalWidth="0">
            <w:col w:w="10210" w:space="0"/>
          </w:cols>
          <w:docGrid w:linePitch="360"/>
        </w:sectPr>
      </w:pPr>
    </w:p>
    <w:p>
      <w:pPr>
        <w:autoSpaceDN w:val="0"/>
        <w:autoSpaceDE w:val="0"/>
        <w:widowControl/>
        <w:spacing w:line="240" w:lineRule="auto" w:before="0" w:after="0"/>
        <w:ind w:left="60" w:right="0" w:firstLine="0"/>
        <w:jc w:val="left"/>
      </w:pPr>
      <w:r>
        <w:rPr>
          <w:spacing w:val="1.3694897211381052"/>
          <w:rFonts w:ascii="Times NR MT Pro" w:hAnsi="Times NR MT Pro" w:eastAsia="Times NR MT Pro" w:cs="Times NR MT Pro"/>
          <w:b w:val="0"/>
          <w:i w:val="0"/>
          <w:color w:val="000000"/>
          <w:sz w:val="18"/>
          <w:szCs w:val="18"/>
        </w:rPr>
        <w:t>rich experiential attributes (battery chemistry, active noise cancellation, driver materials), yielding high bridging fidelity (r = 0.50–</w:t>
      </w:r>
      <w:r>
        <w:drawing>
          <wp:inline xmlns:a="http://schemas.openxmlformats.org/drawingml/2006/main" xmlns:pic="http://schemas.openxmlformats.org/drawingml/2006/picture">
            <wp:extent cx="520700" cy="1397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20700" cy="139700"/>
                    </a:xfrm>
                    <a:prstGeom prst="rect"/>
                  </pic:spPr>
                </pic:pic>
              </a:graphicData>
            </a:graphic>
          </wp:inline>
        </w:drawing>
      </w:r>
    </w:p>
    <w:p>
      <w:pPr>
        <w:autoSpaceDN w:val="0"/>
        <w:autoSpaceDE w:val="0"/>
        <w:widowControl/>
        <w:spacing w:line="208" w:lineRule="exact" w:before="2" w:after="0"/>
        <w:ind w:left="60" w:right="0" w:firstLine="0"/>
        <w:jc w:val="left"/>
      </w:pPr>
      <w:r>
        <w:rPr>
          <w:spacing w:val="4.5"/>
          <w:rFonts w:ascii="Times NR MT Pro" w:hAnsi="Times NR MT Pro" w:eastAsia="Times NR MT Pro" w:cs="Times NR MT Pro"/>
          <w:b w:val="0"/>
          <w:i w:val="0"/>
          <w:color w:val="000000"/>
          <w:sz w:val="18"/>
          <w:szCs w:val="18"/>
        </w:rPr>
        <w:t xml:space="preserve">0.53). The framework incorporates reliability-weighted confidence heuristics and uncalibrated runtime abstention when </w:t>
      </w:r>
    </w:p>
    <w:p>
      <w:pPr>
        <w:autoSpaceDN w:val="0"/>
        <w:autoSpaceDE w:val="0"/>
        <w:widowControl/>
        <w:spacing w:line="210" w:lineRule="exact" w:before="0" w:after="0"/>
        <w:ind w:left="60" w:right="0" w:firstLine="0"/>
        <w:jc w:val="left"/>
      </w:pPr>
      <w:r>
        <w:rPr>
          <w:spacing w:val="0.9067752380524913"/>
          <w:rFonts w:ascii="Times NR MT Pro" w:hAnsi="Times NR MT Pro" w:eastAsia="Times NR MT Pro" w:cs="Times NR MT Pro"/>
          <w:b w:val="0"/>
          <w:i w:val="0"/>
          <w:color w:val="000000"/>
          <w:sz w:val="18"/>
          <w:szCs w:val="18"/>
        </w:rPr>
        <w:t>specification expressiveness falls below validated thresholds.</w:t>
      </w:r>
    </w:p>
    <w:p>
      <w:pPr>
        <w:autoSpaceDN w:val="0"/>
        <w:autoSpaceDE w:val="0"/>
        <w:widowControl/>
        <w:spacing w:line="220" w:lineRule="exact" w:before="162" w:after="0"/>
        <w:ind w:left="2398" w:right="0" w:firstLine="0"/>
        <w:jc w:val="left"/>
      </w:pPr>
      <w:r>
        <w:rPr>
          <w:spacing w:val="0.9976895960365744"/>
          <w:rFonts w:ascii="Liberation Serif" w:hAnsi="Liberation Serif" w:eastAsia="Liberation Serif" w:cs="Liberation Serif"/>
          <w:b/>
          <w:bCs/>
          <w:i w:val="0"/>
          <w:color w:val="000000"/>
          <w:sz w:val="19"/>
          <w:szCs w:val="19"/>
        </w:rPr>
        <w:t>VI. COMPARATIVE MODEL PERFORMANCE SUMMARY</w:t>
      </w:r>
    </w:p>
    <w:p>
      <w:pPr>
        <w:autoSpaceDN w:val="0"/>
        <w:autoSpaceDE w:val="0"/>
        <w:widowControl/>
        <w:spacing w:line="210" w:lineRule="exact" w:before="102" w:after="0"/>
        <w:ind w:left="60" w:right="0" w:firstLine="0"/>
        <w:jc w:val="left"/>
      </w:pPr>
      <w:r>
        <w:t>To prevent cross-task metric confusion (such as conflating review-level sentiment accuracy with product-level viability AUC), we visually and tabularly delineate literature sentiment classification from launch-blind viability prediction (Fig. 1 and Table I). On the LaunchSight benchmark (43,599 customer reviews across 631 clean physical products in five categories), in-sample cross-validation achieves R² = 0.595 ± 0.030 (RMSE = 11.17, MAE = 8.65) on aspect-derived features (aspect means, mention rates, and brand tier; with strict leakage-free inner-split evaluation yielding R² = 0.550 for XGBoost and 0.558 for Gradient Boosting). In out-of-sample evaluations, the retrained deployment holdout (n = 118) achieves Spearman ρ = 0.529 (AUC = 0.903) and an 80/20 forward-in-time split (n = 125 evaluated products) achieves ρ = 0.590 (AUC = 0.942), although mean within-category ρ on the temporal split is only about 0.16. A first-generation frozen holdout (n = 59) gave ρ = 0.317 (AUC = 0.743) on the earlier six-category data but does not carry over to the final corpus (n = 41, ρ = 0.280, p = 0.076).</w:t>
      </w:r>
    </w:p>
    <w:p>
      <w:pPr>
        <w:autoSpaceDN w:val="0"/>
        <w:autoSpaceDE w:val="0"/>
        <w:widowControl/>
        <w:spacing w:line="240" w:lineRule="auto" w:before="110" w:after="0"/>
        <w:ind w:left="420" w:right="0" w:firstLine="0"/>
        <w:jc w:val="left"/>
      </w:pPr>
      <w:r>
        <w:drawing>
          <wp:inline xmlns:a="http://schemas.openxmlformats.org/drawingml/2006/main" xmlns:pic="http://schemas.openxmlformats.org/drawingml/2006/picture">
            <wp:extent cx="5943600" cy="236982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943600" cy="2369820"/>
                    </a:xfrm>
                    <a:prstGeom prst="rect"/>
                  </pic:spPr>
                </pic:pic>
              </a:graphicData>
            </a:graphic>
          </wp:inline>
        </w:drawing>
      </w:r>
    </w:p>
    <w:p>
      <w:pPr>
        <w:autoSpaceDN w:val="0"/>
        <w:autoSpaceDE w:val="0"/>
        <w:widowControl/>
        <w:spacing w:line="178" w:lineRule="exact" w:before="108" w:after="0"/>
        <w:ind w:left="290" w:right="0" w:firstLine="0"/>
        <w:jc w:val="left"/>
      </w:pPr>
      <w:r>
        <w:rPr>
          <w:spacing w:val="0.9085445804195804"/>
          <w:rFonts w:ascii="Liberation Serif" w:hAnsi="Liberation Serif" w:eastAsia="Liberation Serif" w:cs="Liberation Serif"/>
          <w:b w:val="0"/>
          <w:i/>
          <w:iCs/>
          <w:color w:val="000000"/>
          <w:sz w:val="16"/>
          <w:szCs w:val="16"/>
        </w:rPr>
        <w:t xml:space="preserve">Figure 1. Empirical performance landscape comparison: (Panel A) literature NLP sentiment classification accuracy across published benchmark datasets; (Panel B) LaunchSight launch-blind product viability ranking and quintile discrimination (Spearman ρ and top-vs-bottom quintile AUC) from pre-launch specifications and metadata. Note the fundamental distinction in task formulation, feature availability, and evaluation metrics.</w:t>
      </w:r>
    </w:p>
    <w:tbl>
      <w:tblPr>
        <w:tblW w:w="9700" w:type="dxa"/>
        <w:tblLayout w:type="fixed"/>
      </w:tblPr>
      <w:tblGrid>
        <w:gridCol w:w="1900"/>
        <w:gridCol w:w="2000"/>
        <w:gridCol w:w="1900"/>
        <w:gridCol w:w="1800"/>
        <w:gridCol w:w="2100"/>
      </w:tblGrid>
      <w:tr>
        <w:trPr>
          <w:cantSplit/>
        </w:trPr>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b/>
                <w:sz w:val="16"/>
              </w:rPr>
              <w:t xml:space="preserve">Study / Architecture</w:t>
            </w:r>
          </w:p>
        </w:tc>
        <w:tc>
          <w:tcPr>
            <w:tcW w:w="20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b/>
                <w:sz w:val="16"/>
              </w:rPr>
              <w:t xml:space="preserve">Task Domain</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b/>
                <w:sz w:val="16"/>
              </w:rPr>
              <w:t xml:space="preserve">Primary Technique</w:t>
            </w:r>
          </w:p>
        </w:tc>
        <w:tc>
          <w:tcPr>
            <w:tcW w:w="18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b/>
                <w:sz w:val="16"/>
              </w:rPr>
              <w:t xml:space="preserve">Evaluation Metric</w:t>
            </w:r>
          </w:p>
        </w:tc>
        <w:tc>
          <w:tcPr>
            <w:tcW w:w="21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b/>
                <w:sz w:val="16"/>
              </w:rPr>
              <w:t xml:space="preserve">Reported Result</w:t>
            </w:r>
          </w:p>
        </w:tc>
      </w:tr>
      <w:tr>
        <w:trPr>
          <w:cantSplit/>
        </w:trPr>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Shan et al. [10] (2025)</w:t>
            </w:r>
          </w:p>
        </w:tc>
        <w:tc>
          <w:tcPr>
            <w:tcW w:w="20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Bilingual e-commerce review polarity</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ELECTRA transformer</w:t>
            </w:r>
          </w:p>
        </w:tc>
        <w:tc>
          <w:tcPr>
            <w:tcW w:w="18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Accuracy, F1-score</w:t>
            </w:r>
          </w:p>
        </w:tc>
        <w:tc>
          <w:tcPr>
            <w:tcW w:w="21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Acc = 98.09%, F1 = 0.9711</w:t>
            </w:r>
          </w:p>
        </w:tc>
      </w:tr>
      <w:tr>
        <w:trPr>
          <w:cantSplit/>
        </w:trPr>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Sayyad et al. [13] (2024)</w:t>
            </w:r>
          </w:p>
        </w:tc>
        <w:tc>
          <w:tcPr>
            <w:tcW w:w="20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E-commerce retail forecasting</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CatBoost classifier</w:t>
            </w:r>
          </w:p>
        </w:tc>
        <w:tc>
          <w:tcPr>
            <w:tcW w:w="18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Accuracy</w:t>
            </w:r>
          </w:p>
        </w:tc>
        <w:tc>
          <w:tcPr>
            <w:tcW w:w="21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Acc = 89.50%</w:t>
            </w:r>
          </w:p>
        </w:tc>
      </w:tr>
      <w:tr>
        <w:trPr>
          <w:cantSplit/>
        </w:trPr>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Alantari et al. [28] (2022)</w:t>
            </w:r>
          </w:p>
        </w:tc>
        <w:tc>
          <w:tcPr>
            <w:tcW w:w="20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Online consumer review polarity</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Support vector machine (SVM)</w:t>
            </w:r>
          </w:p>
        </w:tc>
        <w:tc>
          <w:tcPr>
            <w:tcW w:w="18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Accuracy</w:t>
            </w:r>
          </w:p>
        </w:tc>
        <w:tc>
          <w:tcPr>
            <w:tcW w:w="21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Acc = 88.40%</w:t>
            </w:r>
          </w:p>
        </w:tc>
      </w:tr>
      <w:tr>
        <w:trPr>
          <w:cantSplit/>
        </w:trPr>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Wang et al. [11] (2025)</w:t>
            </w:r>
          </w:p>
        </w:tc>
        <w:tc>
          <w:tcPr>
            <w:tcW w:w="20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Fine-grained ABSA aspect classification</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MFF-GAT (graph attention)</w:t>
            </w:r>
          </w:p>
        </w:tc>
        <w:tc>
          <w:tcPr>
            <w:tcW w:w="18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Macro F1-score</w:t>
            </w:r>
          </w:p>
        </w:tc>
        <w:tc>
          <w:tcPr>
            <w:tcW w:w="21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Outperformed 5 ABSA baselines</w:t>
            </w:r>
          </w:p>
        </w:tc>
      </w:tr>
      <w:tr>
        <w:trPr>
          <w:cantSplit/>
        </w:trPr>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r>
              <w:t>LaunchSight (in-sample CV)</w:t>
            </w:r>
          </w:p>
        </w:tc>
        <w:tc>
          <w:tcPr>
            <w:tcW w:w="20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r>
              <w:t>Aspect-to-success viability modeling</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r>
              <w:t>XGBoost regressor (n = 631)</w:t>
            </w:r>
          </w:p>
        </w:tc>
        <w:tc>
          <w:tcPr>
            <w:tcW w:w="18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r>
              <w:t>5-fold CV R², RMSE, MAE</w:t>
            </w:r>
          </w:p>
        </w:tc>
        <w:tc>
          <w:tcPr>
            <w:tcW w:w="21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r>
              <w:t>R² = 0.595 ± 0.030, RMSE = 11.17, MAE = 8.65</w:t>
            </w:r>
          </w:p>
        </w:tc>
      </w:tr>
      <w:tr>
        <w:trPr>
          <w:cantSplit/>
        </w:trPr>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LaunchSight (retrained holdout)</w:t>
            </w:r>
          </w:p>
        </w:tc>
        <w:tc>
          <w:tcPr>
            <w:tcW w:w="20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Launch-blind viability from specs</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Spec bridging + XGBoost (n = 118)</w:t>
            </w:r>
          </w:p>
        </w:tc>
        <w:tc>
          <w:tcPr>
            <w:tcW w:w="18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Spearman ρ, top/bottom AUC</w:t>
            </w:r>
          </w:p>
        </w:tc>
        <w:tc>
          <w:tcPr>
            <w:tcW w:w="21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ρ = 0.529 (p &lt; 10⁻⁹), AUC = 0.903</w:t>
            </w:r>
          </w:p>
        </w:tc>
      </w:tr>
      <w:tr>
        <w:trPr>
          <w:cantSplit/>
        </w:trPr>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LaunchSight (80/20 temporal split)</w:t>
            </w:r>
          </w:p>
        </w:tc>
        <w:tc>
          <w:tcPr>
            <w:tcW w:w="20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Forward-in-time viability</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Spec bridging + XGBoost (n = 125)</w:t>
            </w:r>
          </w:p>
        </w:tc>
        <w:tc>
          <w:tcPr>
            <w:tcW w:w="18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Spearman ρ, top/bottom AUC</w:t>
            </w:r>
          </w:p>
        </w:tc>
        <w:tc>
          <w:tcPr>
            <w:tcW w:w="21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ρ = 0.590, AUC = 0.942</w:t>
            </w:r>
          </w:p>
        </w:tc>
      </w:tr>
      <w:tr>
        <w:trPr>
          <w:cantSplit/>
        </w:trPr>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LaunchSight (first-generation frozen holdout)</w:t>
            </w:r>
          </w:p>
        </w:tc>
        <w:tc>
          <w:tcPr>
            <w:tcW w:w="20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Launch-blind viability from specs (earlier six-category data)</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Spec bridging + XGBoost (n = 59)</w:t>
            </w:r>
          </w:p>
        </w:tc>
        <w:tc>
          <w:tcPr>
            <w:tcW w:w="18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Spearman ρ, top/bottom AUC</w:t>
            </w:r>
          </w:p>
        </w:tc>
        <w:tc>
          <w:tcPr>
            <w:tcW w:w="21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ρ = 0.317 (p = 0.014), AUC = 0.743; final corpus (n = 41): ρ = 0.280, p = 0.076</w:t>
            </w:r>
          </w:p>
        </w:tc>
      </w:tr>
    </w:tbl>
    <w:p>
      <w:pPr>
        <w:autoSpaceDN w:val="0"/>
        <w:autoSpaceDE w:val="0"/>
        <w:widowControl/>
        <w:spacing w:line="178" w:lineRule="exact" w:before="274" w:after="0"/>
        <w:ind w:left="510" w:right="0" w:firstLine="0"/>
        <w:jc w:val="left"/>
      </w:pPr>
      <w:r>
        <w:rPr>
          <w:spacing w:val="-4.0"/>
          <w:rFonts w:ascii="Liberation Serif" w:hAnsi="Liberation Serif" w:eastAsia="Liberation Serif" w:cs="Liberation Serif"/>
          <w:b w:val="0"/>
          <w:i/>
          <w:iCs/>
          <w:color w:val="000000"/>
          <w:sz w:val="16"/>
          <w:szCs w:val="16"/>
        </w:rPr>
        <w:t>TABLE I. COMPARATIVE PERFORMANCE: LITERATURE SENTIMENT CLASSIFICATION VS. LAUNCH-BLIND VIABILITY RANKING.</w:t>
      </w:r>
    </w:p>
    <w:p>
      <w:pPr>
        <w:autoSpaceDN w:val="0"/>
        <w:autoSpaceDE w:val="0"/>
        <w:widowControl/>
        <w:spacing w:line="220" w:lineRule="exact" w:before="176" w:after="0"/>
        <w:ind w:left="2544" w:right="0" w:firstLine="0"/>
        <w:jc w:val="left"/>
      </w:pPr>
      <w:r>
        <w:rPr>
          <w:spacing w:val="0.6585402715773809"/>
          <w:rFonts w:ascii="Liberation Serif" w:hAnsi="Liberation Serif" w:eastAsia="Liberation Serif" w:cs="Liberation Serif"/>
          <w:b/>
          <w:bCs/>
          <w:i w:val="0"/>
          <w:color w:val="000000"/>
          <w:sz w:val="19"/>
          <w:szCs w:val="19"/>
        </w:rPr>
        <w:t>VII. SYNTHESIS AND OPEN RESEARCH FRONTIERS</w:t>
      </w:r>
    </w:p>
    <w:p>
      <w:pPr>
        <w:autoSpaceDN w:val="0"/>
        <w:autoSpaceDE w:val="0"/>
        <w:widowControl/>
        <w:spacing w:line="230" w:lineRule="exact" w:before="84" w:after="0"/>
        <w:ind w:left="0" w:right="20" w:firstLine="0"/>
        <w:jc w:val="both"/>
      </w:pPr>
      <w:r>
        <w:t>Four central insights emerge from this synthesis: (1) Sentiment analysis in e-commerce has transitioned from lexicon matching to transformer-based aspect extraction, enabling nuanced multi-dimensional feature representations. (2) Gradient boosted decision trees (XGBoost, CatBoost) appear in a minority of the reviewed studies</w:t>
      </w:r>
    </w:p>
    <w:p>
      <w:r>
        <w:t>[1],</w:t>
      </w:r>
    </w:p>
    <w:p>
      <w:r>
        <w:t>[13] and offer computational efficiency, robustness to outliers, and native monotonic constraint support. (3) Within the publications identified by this review, prior research focused almost exclusively on retrospective post-launch reviews; launch-blind specification bridging represents a critical emerging methodology for pre-manufacturing evaluation. (4) Bridging fidelity is fundamentally bounded by specification expressiveness, demanding automated abstention mechanisms when input copy lacks experiential signal.</w:t>
      </w:r>
    </w:p>
    <w:p>
      <w:pPr>
        <w:autoSpaceDN w:val="0"/>
        <w:autoSpaceDE w:val="0"/>
        <w:widowControl/>
        <w:spacing w:line="220" w:lineRule="exact" w:before="162" w:after="0"/>
        <w:ind w:left="4124" w:right="0" w:firstLine="0"/>
        <w:jc w:val="left"/>
      </w:pPr>
      <w:r>
        <w:rPr>
          <w:spacing w:val="1.1751708984374964"/>
          <w:rFonts w:ascii="Liberation Serif" w:hAnsi="Liberation Serif" w:eastAsia="Liberation Serif" w:cs="Liberation Serif"/>
          <w:b/>
          <w:bCs/>
          <w:i w:val="0"/>
          <w:color w:val="000000"/>
          <w:sz w:val="19"/>
          <w:szCs w:val="19"/>
        </w:rPr>
        <w:t>VIII. CONCLUSION</w:t>
      </w:r>
    </w:p>
    <w:p>
      <w:pPr>
        <w:autoSpaceDN w:val="0"/>
        <w:autoSpaceDE w:val="0"/>
        <w:widowControl/>
        <w:spacing w:line="230" w:lineRule="exact" w:before="82" w:after="0"/>
        <w:ind w:left="0" w:right="0" w:firstLine="0"/>
        <w:jc w:val="left"/>
      </w:pPr>
      <w:r>
        <w:t>This survey synthesized 28 selected publications across natural language processing and e-commerce machine learning. By integrating the bibliometric findings of Daza et al.</w:t>
      </w:r>
    </w:p>
    <w:p>
      <w:r>
        <w:t>[1] with the LaunchSight two-stage hybrid framework, we demonstrated how aspect-level sentiment extraction from historical customer reviews can establish robust category reference priors, enabling launch-blind viability forecasting from technical product launch-available specifications and metadata. Validated across 43,599 customer reviews and 631 verified physical products, this approach bridges the critical cold-start gap in modern retail analytics.</w:t>
      </w:r>
    </w:p>
    <w:p>
      <w:pPr>
        <w:autoSpaceDN w:val="0"/>
        <w:autoSpaceDE w:val="0"/>
        <w:widowControl/>
        <w:spacing w:line="220" w:lineRule="exact" w:before="162" w:after="0"/>
        <w:ind w:left="4370" w:right="0" w:firstLine="0"/>
        <w:jc w:val="left"/>
      </w:pPr>
      <w:r>
        <w:rPr>
          <w:spacing w:val="2.772900390624983"/>
          <w:rFonts w:ascii="Liberation Serif" w:hAnsi="Liberation Serif" w:eastAsia="Liberation Serif" w:cs="Liberation Serif"/>
          <w:b/>
          <w:bCs/>
          <w:i w:val="0"/>
          <w:color w:val="000000"/>
          <w:sz w:val="19"/>
          <w:szCs w:val="19"/>
        </w:rPr>
        <w:t>REFERENCES</w:t>
      </w:r>
    </w:p>
    <w:p>
      <w:pPr>
        <w:autoSpaceDN w:val="0"/>
        <w:autoSpaceDE w:val="0"/>
        <w:widowControl/>
        <w:spacing w:line="182" w:lineRule="exact" w:before="96" w:after="0"/>
        <w:ind w:left="360" w:right="26" w:hanging="360"/>
        <w:jc w:val="both"/>
      </w:pPr>
      <w:r>
        <w:rPr>
          <w:spacing w:val="-1.1588728125666197"/>
          <w:rFonts w:ascii="Times NR MT Pro" w:hAnsi="Times NR MT Pro" w:eastAsia="Times NR MT Pro" w:cs="Times NR MT Pro"/>
          <w:b w:val="0"/>
          <w:i w:val="0"/>
          <w:color w:val="000000"/>
          <w:sz w:val="16"/>
          <w:szCs w:val="16"/>
        </w:rPr>
        <w:t xml:space="preserve">[1] A. Daza, N. D. González Rueda, M. S. Aguilar Sánchez, W. F. Robles Espíritu, and M. E. Chauca Quiñones, "Sentiment Analysis on E-Commerce </w:t>
      </w:r>
      <w:r>
        <w:rPr>
          <w:spacing w:val="-1.8515102331586846"/>
          <w:rFonts w:ascii="Times NR MT Pro" w:hAnsi="Times NR MT Pro" w:eastAsia="Times NR MT Pro" w:cs="Times NR MT Pro"/>
          <w:b w:val="0"/>
          <w:i w:val="0"/>
          <w:color w:val="000000"/>
          <w:sz w:val="16"/>
          <w:szCs w:val="16"/>
        </w:rPr>
        <w:t xml:space="preserve">Product Reviews Using Machine Learning and Deep Learning Algorithms: A Bibliometric Analysis, Systematic Literature Review, Challenges and </w:t>
      </w:r>
      <w:r>
        <w:rPr>
          <w:spacing w:val="-4.0"/>
          <w:rFonts w:ascii="Times NR MT Pro" w:hAnsi="Times NR MT Pro" w:eastAsia="Times NR MT Pro" w:cs="Times NR MT Pro"/>
          <w:b w:val="0"/>
          <w:i w:val="0"/>
          <w:color w:val="000000"/>
          <w:sz w:val="16"/>
          <w:szCs w:val="16"/>
        </w:rPr>
        <w:t>Future Works," Int. J. Inf. Manage. Data Insights, vol. 4, no. 2, p. 100267, 2024.</w:t>
      </w:r>
    </w:p>
    <w:p>
      <w:pPr>
        <w:autoSpaceDN w:val="0"/>
        <w:tabs>
          <w:tab w:pos="360" w:val="left"/>
        </w:tabs>
        <w:autoSpaceDE w:val="0"/>
        <w:widowControl/>
        <w:spacing w:line="182" w:lineRule="exact" w:before="36" w:after="0"/>
        <w:ind w:left="0" w:right="0" w:firstLine="0"/>
        <w:jc w:val="left"/>
      </w:pPr>
      <w:r>
        <w:rPr>
          <w:spacing w:val="-4.0"/>
          <w:rFonts w:ascii="Times NR MT Pro" w:hAnsi="Times NR MT Pro" w:eastAsia="Times NR MT Pro" w:cs="Times NR MT Pro"/>
          <w:b w:val="0"/>
          <w:i w:val="0"/>
          <w:color w:val="000000"/>
          <w:sz w:val="16"/>
          <w:szCs w:val="16"/>
        </w:rPr>
        <w:t>[2] S. Narayanan, P. Samuel, and M. Chacko, "Product Pre-Launch Prediction From Resilient Distributed e-WOM Data," IEEE Access, vol. 8, pp. 176913–</w:t>
      </w:r>
      <w:r>
        <w:t xml:space="preserve">     </w:t>
      </w:r>
      <w:r>
        <w:rPr>
          <w:spacing w:val="-0.5169230241041918"/>
          <w:rFonts w:ascii="Times NR MT Pro" w:hAnsi="Times NR MT Pro" w:eastAsia="Times NR MT Pro" w:cs="Times NR MT Pro"/>
          <w:b w:val="0"/>
          <w:i w:val="0"/>
          <w:color w:val="000000"/>
          <w:sz w:val="16"/>
          <w:szCs w:val="16"/>
        </w:rPr>
        <w:t>176925, 2020.</w:t>
      </w:r>
    </w:p>
    <w:p>
      <w:pPr>
        <w:autoSpaceDN w:val="0"/>
        <w:tabs>
          <w:tab w:pos="360" w:val="left"/>
        </w:tabs>
        <w:autoSpaceDE w:val="0"/>
        <w:widowControl/>
        <w:spacing w:line="184" w:lineRule="exact" w:before="30" w:after="0"/>
        <w:ind w:left="0" w:right="0" w:firstLine="0"/>
        <w:jc w:val="left"/>
      </w:pPr>
      <w:r>
        <w:rPr>
          <w:spacing w:val="-4.0"/>
          <w:rFonts w:ascii="Times NR MT Pro" w:hAnsi="Times NR MT Pro" w:eastAsia="Times NR MT Pro" w:cs="Times NR MT Pro"/>
          <w:b w:val="0"/>
          <w:i w:val="0"/>
          <w:color w:val="000000"/>
          <w:sz w:val="16"/>
          <w:szCs w:val="16"/>
        </w:rPr>
        <w:t xml:space="preserve">[3] T. Chen and C. Guestrin, "XGBoost: A Scalable Tree Boosting System," in Proc. 22nd ACM SIGKDD Int. Conf. Knowl. Discov. Data Min., 2016, pp. </w:t>
      </w:r>
      <w:r>
        <w:t xml:space="preserve">    </w:t>
      </w:r>
      <w:r>
        <w:rPr>
          <w:spacing w:val="-0.16999995708466997"/>
          <w:rFonts w:ascii="Times NR MT Pro" w:hAnsi="Times NR MT Pro" w:eastAsia="Times NR MT Pro" w:cs="Times NR MT Pro"/>
          <w:b w:val="0"/>
          <w:i w:val="0"/>
          <w:color w:val="000000"/>
          <w:sz w:val="16"/>
          <w:szCs w:val="16"/>
        </w:rPr>
        <w:t>785–794.</w:t>
      </w:r>
    </w:p>
    <w:p>
      <w:pPr>
        <w:autoSpaceDN w:val="0"/>
        <w:tabs>
          <w:tab w:pos="360" w:val="left"/>
        </w:tabs>
        <w:autoSpaceDE w:val="0"/>
        <w:widowControl/>
        <w:spacing w:line="182" w:lineRule="exact" w:before="32" w:after="0"/>
        <w:ind w:left="0" w:right="0" w:firstLine="0"/>
        <w:jc w:val="left"/>
      </w:pPr>
      <w:r>
        <w:rPr>
          <w:spacing w:val="-2.255781660274577"/>
          <w:rFonts w:ascii="Times NR MT Pro" w:hAnsi="Times NR MT Pro" w:eastAsia="Times NR MT Pro" w:cs="Times NR MT Pro"/>
          <w:b w:val="0"/>
          <w:i w:val="0"/>
          <w:color w:val="000000"/>
          <w:sz w:val="16"/>
          <w:szCs w:val="16"/>
        </w:rPr>
        <w:t xml:space="preserve">[4] J. Devlin, M.-W. Chang, K. Lee, and K. Toutanova, "BERT: Pre-training of Deep Bidirectional Transformers for Language Understanding," in Proc. </w:t>
      </w:r>
      <w:r>
        <w:t xml:space="preserve">    </w:t>
      </w:r>
      <w:r>
        <w:rPr>
          <w:spacing w:val="-4.0"/>
          <w:rFonts w:ascii="Times NR MT Pro" w:hAnsi="Times NR MT Pro" w:eastAsia="Times NR MT Pro" w:cs="Times NR MT Pro"/>
          <w:b w:val="0"/>
          <w:i w:val="0"/>
          <w:color w:val="000000"/>
          <w:sz w:val="16"/>
          <w:szCs w:val="16"/>
        </w:rPr>
        <w:t>NAACL-HLT, 2019, pp. 4171–4186.</w:t>
      </w:r>
    </w:p>
    <w:p>
      <w:pPr>
        <w:autoSpaceDN w:val="0"/>
        <w:autoSpaceDE w:val="0"/>
        <w:widowControl/>
        <w:spacing w:line="224" w:lineRule="exact" w:before="0" w:after="0"/>
        <w:ind w:left="0" w:right="864" w:firstLine="0"/>
        <w:jc w:val="left"/>
      </w:pPr>
      <w:r>
        <w:t>[5] T. B. Brown et al., "Language Models are Few-Shot Learners," in Adv. Neural Inf. Process. Syst. (NeurIPS), vol. 33, 2020, pp. 1877–1901.</w:t>
      </w:r>
    </w:p>
    <w:p>
      <w:r>
        <w:t>[6] A. Dubey et al., "The Llama 3 Herd of Models," arXiv preprint arXiv:2407.21783, Meta AI, 2024.</w:t>
      </w:r>
    </w:p>
    <w:p>
      <w:pPr>
        <w:autoSpaceDN w:val="0"/>
        <w:autoSpaceDE w:val="0"/>
        <w:widowControl/>
        <w:spacing w:line="178" w:lineRule="exact" w:before="34" w:after="0"/>
        <w:ind w:left="0" w:right="0" w:firstLine="0"/>
        <w:jc w:val="left"/>
      </w:pPr>
      <w:r>
        <w:rPr>
          <w:spacing w:val="-4.0"/>
          <w:rFonts w:ascii="Times NR MT Pro" w:hAnsi="Times NR MT Pro" w:eastAsia="Times NR MT Pro" w:cs="Times NR MT Pro"/>
          <w:b w:val="0"/>
          <w:i w:val="0"/>
          <w:color w:val="000000"/>
          <w:sz w:val="16"/>
          <w:szCs w:val="16"/>
        </w:rPr>
        <w:t>[7] B. Pang and L. Lee, "Opinion Mining and Sentiment Analysis," Found. Trends Inf. Retr., vol. 2, no. 1–2, pp. 1–135, 2008.</w:t>
      </w:r>
    </w:p>
    <w:p>
      <w:pPr>
        <w:autoSpaceDN w:val="0"/>
        <w:tabs>
          <w:tab w:pos="360" w:val="left"/>
        </w:tabs>
        <w:autoSpaceDE w:val="0"/>
        <w:widowControl/>
        <w:spacing w:line="182" w:lineRule="exact" w:before="36" w:after="0"/>
        <w:ind w:left="0" w:right="0" w:firstLine="0"/>
        <w:jc w:val="left"/>
      </w:pPr>
      <w:r>
        <w:rPr>
          <w:spacing w:val="-1.9743993759155274"/>
          <w:rFonts w:ascii="Times NR MT Pro" w:hAnsi="Times NR MT Pro" w:eastAsia="Times NR MT Pro" w:cs="Times NR MT Pro"/>
          <w:b w:val="0"/>
          <w:i w:val="0"/>
          <w:color w:val="000000"/>
          <w:sz w:val="16"/>
          <w:szCs w:val="16"/>
        </w:rPr>
        <w:t xml:space="preserve">[8] S. Baccianella, A. Esuli, and F. Sebastiani, "SentiWordNet 3.0: An Enhanced Lexical Resource for Sentiment Analysis and Opinion Mining," in Proc. </w:t>
      </w:r>
      <w:r>
        <w:t xml:space="preserve">    </w:t>
      </w:r>
      <w:r>
        <w:rPr>
          <w:spacing w:val="-4.0"/>
          <w:rFonts w:ascii="Times NR MT Pro" w:hAnsi="Times NR MT Pro" w:eastAsia="Times NR MT Pro" w:cs="Times NR MT Pro"/>
          <w:b w:val="0"/>
          <w:i w:val="0"/>
          <w:color w:val="000000"/>
          <w:sz w:val="16"/>
          <w:szCs w:val="16"/>
        </w:rPr>
        <w:t>LREC, 2010, pp. 2200–2204.</w:t>
      </w:r>
    </w:p>
    <w:p>
      <w:pPr>
        <w:autoSpaceDN w:val="0"/>
        <w:tabs>
          <w:tab w:pos="360" w:val="left"/>
        </w:tabs>
        <w:autoSpaceDE w:val="0"/>
        <w:widowControl/>
        <w:spacing w:line="182" w:lineRule="exact" w:before="34" w:after="0"/>
        <w:ind w:left="0" w:right="0" w:firstLine="0"/>
        <w:jc w:val="left"/>
      </w:pPr>
      <w:r>
        <w:rPr>
          <w:spacing w:val="-4.0"/>
          <w:rFonts w:ascii="Times NR MT Pro" w:hAnsi="Times NR MT Pro" w:eastAsia="Times NR MT Pro" w:cs="Times NR MT Pro"/>
          <w:b w:val="0"/>
          <w:i w:val="0"/>
          <w:color w:val="000000"/>
          <w:sz w:val="16"/>
          <w:szCs w:val="16"/>
        </w:rPr>
        <w:t>[9] M. Hu and B. Liu, "Mining and Summarizing Customer Reviews," in Proc. 10th ACM SIGKDD Int. Conf. Knowl. Discov. Data Min., 2004, pp. 168–</w:t>
      </w:r>
      <w:r>
        <w:t xml:space="preserve">     </w:t>
      </w:r>
      <w:r>
        <w:rPr>
          <w:spacing w:val="-0.33999991416933995"/>
          <w:rFonts w:ascii="Times NR MT Pro" w:hAnsi="Times NR MT Pro" w:eastAsia="Times NR MT Pro" w:cs="Times NR MT Pro"/>
          <w:b w:val="0"/>
          <w:i w:val="0"/>
          <w:color w:val="000000"/>
          <w:sz w:val="16"/>
          <w:szCs w:val="16"/>
        </w:rPr>
        <w:t>177.</w:t>
      </w:r>
    </w:p>
    <w:p>
      <w:pPr>
        <w:autoSpaceDN w:val="0"/>
        <w:tabs>
          <w:tab w:pos="360" w:val="left"/>
        </w:tabs>
        <w:autoSpaceDE w:val="0"/>
        <w:widowControl/>
        <w:spacing w:line="184" w:lineRule="exact" w:before="30" w:after="0"/>
        <w:ind w:left="0" w:right="0" w:firstLine="0"/>
        <w:jc w:val="left"/>
      </w:pPr>
      <w:r>
        <w:rPr>
          <w:spacing w:val="-4.0"/>
          <w:rFonts w:ascii="Times NR MT Pro" w:hAnsi="Times NR MT Pro" w:eastAsia="Times NR MT Pro" w:cs="Times NR MT Pro"/>
          <w:b w:val="0"/>
          <w:i w:val="0"/>
          <w:color w:val="000000"/>
          <w:sz w:val="16"/>
          <w:szCs w:val="16"/>
        </w:rPr>
        <w:t xml:space="preserve">[10] S. Shan, J. Sun, and R. M. C. Macawile, "Examining Customer Satisfaction Through Transformer-Based Sentiment Analysis for Improving Bilingual </w:t>
      </w:r>
      <w:r>
        <w:t xml:space="preserve">     </w:t>
      </w:r>
      <w:r>
        <w:rPr>
          <w:spacing w:val="-2.2921734132628475"/>
          <w:rFonts w:ascii="Times NR MT Pro" w:hAnsi="Times NR MT Pro" w:eastAsia="Times NR MT Pro" w:cs="Times NR MT Pro"/>
          <w:b w:val="0"/>
          <w:i w:val="0"/>
          <w:color w:val="000000"/>
          <w:sz w:val="16"/>
          <w:szCs w:val="16"/>
        </w:rPr>
        <w:t>E-Commerce Experiences," IEEE Access, vol. 13, pp. 45112–45125, 2025.</w:t>
      </w:r>
    </w:p>
    <w:p>
      <w:pPr>
        <w:autoSpaceDN w:val="0"/>
        <w:tabs>
          <w:tab w:pos="360" w:val="left"/>
        </w:tabs>
        <w:autoSpaceDE w:val="0"/>
        <w:widowControl/>
        <w:spacing w:line="182" w:lineRule="exact" w:before="32" w:after="0"/>
        <w:ind w:left="0" w:right="0" w:firstLine="0"/>
        <w:jc w:val="left"/>
      </w:pPr>
      <w:r>
        <w:rPr>
          <w:spacing w:val="-4.0"/>
          <w:rFonts w:ascii="Times NR MT Pro" w:hAnsi="Times NR MT Pro" w:eastAsia="Times NR MT Pro" w:cs="Times NR MT Pro"/>
          <w:b w:val="0"/>
          <w:i w:val="0"/>
          <w:color w:val="000000"/>
          <w:sz w:val="16"/>
          <w:szCs w:val="16"/>
        </w:rPr>
        <w:t xml:space="preserve">[11] J. Wang, H. Gong, and X. Guo, "MultiFeature Fusion Graph Attention Network for Aspect-Based Sentiment Analysis," Knowl.-Based Syst., vol. 312, </w:t>
      </w:r>
      <w:r>
        <w:t xml:space="preserve">     </w:t>
      </w:r>
      <w:r>
        <w:rPr>
          <w:spacing w:val="-1.0249997973442149"/>
          <w:rFonts w:ascii="Times NR MT Pro" w:hAnsi="Times NR MT Pro" w:eastAsia="Times NR MT Pro" w:cs="Times NR MT Pro"/>
          <w:b w:val="0"/>
          <w:i w:val="0"/>
          <w:color w:val="000000"/>
          <w:sz w:val="16"/>
          <w:szCs w:val="16"/>
        </w:rPr>
        <w:t>p. 114084, 2025.</w:t>
      </w:r>
    </w:p>
    <w:p>
      <w:pPr>
        <w:autoSpaceDN w:val="0"/>
        <w:autoSpaceDE w:val="0"/>
        <w:widowControl/>
        <w:spacing w:line="178" w:lineRule="exact" w:before="36" w:after="0"/>
        <w:ind w:left="0" w:right="0" w:firstLine="0"/>
        <w:jc w:val="left"/>
      </w:pPr>
      <w:r>
        <w:rPr>
          <w:spacing w:val="-4.0"/>
          <w:rFonts w:ascii="Times NR MT Pro" w:hAnsi="Times NR MT Pro" w:eastAsia="Times NR MT Pro" w:cs="Times NR MT Pro"/>
          <w:b w:val="0"/>
          <w:i w:val="0"/>
          <w:color w:val="000000"/>
          <w:sz w:val="16"/>
          <w:szCs w:val="16"/>
        </w:rPr>
        <w:t>[12] Q. Sun, "Multi-Source Sentiment Analysis in Quantitative Finance," J. Finance Data Sci., vol. 11, pp. 45–58, 2025.</w:t>
      </w:r>
    </w:p>
    <w:p>
      <w:pPr>
        <w:autoSpaceDN w:val="0"/>
        <w:tabs>
          <w:tab w:pos="360" w:val="left"/>
        </w:tabs>
        <w:autoSpaceDE w:val="0"/>
        <w:widowControl/>
        <w:spacing w:line="182" w:lineRule="exact" w:before="36" w:after="0"/>
        <w:ind w:left="0" w:right="0" w:firstLine="0"/>
        <w:jc w:val="left"/>
      </w:pPr>
      <w:r>
        <w:rPr>
          <w:spacing w:val="-4.0"/>
          <w:rFonts w:ascii="Times NR MT Pro" w:hAnsi="Times NR MT Pro" w:eastAsia="Times NR MT Pro" w:cs="Times NR MT Pro"/>
          <w:b w:val="0"/>
          <w:i w:val="0"/>
          <w:color w:val="000000"/>
          <w:sz w:val="16"/>
          <w:szCs w:val="16"/>
        </w:rPr>
        <w:t xml:space="preserve">[13] J. K. Sayyad, K. Attarde, and N. Saadouli, "Optimizing e-Commerce Supply Chains With Categorical Boosting: A Predictive Modeling Framework," </w:t>
      </w:r>
      <w:r>
        <w:t xml:space="preserve">     </w:t>
      </w:r>
      <w:r>
        <w:rPr>
          <w:spacing w:val="-1.7617388186247405"/>
          <w:rFonts w:ascii="Times NR MT Pro" w:hAnsi="Times NR MT Pro" w:eastAsia="Times NR MT Pro" w:cs="Times NR MT Pro"/>
          <w:b w:val="0"/>
          <w:i w:val="0"/>
          <w:color w:val="000000"/>
          <w:sz w:val="16"/>
          <w:szCs w:val="16"/>
        </w:rPr>
        <w:t>IEEE Access, vol. 12, pp. 119852–119864, 2024.</w:t>
      </w:r>
    </w:p>
    <w:p>
      <w:pPr>
        <w:autoSpaceDN w:val="0"/>
        <w:tabs>
          <w:tab w:pos="360" w:val="left"/>
        </w:tabs>
        <w:autoSpaceDE w:val="0"/>
        <w:widowControl/>
        <w:spacing w:line="184" w:lineRule="exact" w:before="30" w:after="0"/>
        <w:ind w:left="0" w:right="0" w:firstLine="0"/>
        <w:jc w:val="left"/>
      </w:pPr>
      <w:r>
        <w:rPr>
          <w:spacing w:val="-0.4550348444187895"/>
          <w:rFonts w:ascii="Times NR MT Pro" w:hAnsi="Times NR MT Pro" w:eastAsia="Times NR MT Pro" w:cs="Times NR MT Pro"/>
          <w:b w:val="0"/>
          <w:i w:val="0"/>
          <w:color w:val="000000"/>
          <w:sz w:val="16"/>
          <w:szCs w:val="16"/>
        </w:rPr>
        <w:t xml:space="preserve">[14] L. Shang, "Sentiment-Driven Bitcoin Price Range Forecasting: Enhancing CART Decision Trees With High-Dimensional Indicators and Twitter </w:t>
      </w:r>
      <w:r>
        <w:t xml:space="preserve">     </w:t>
      </w:r>
      <w:r>
        <w:rPr>
          <w:spacing w:val="-2.183272413773962"/>
          <w:rFonts w:ascii="Times NR MT Pro" w:hAnsi="Times NR MT Pro" w:eastAsia="Times NR MT Pro" w:cs="Times NR MT Pro"/>
          <w:b w:val="0"/>
          <w:i w:val="0"/>
          <w:color w:val="000000"/>
          <w:sz w:val="16"/>
          <w:szCs w:val="16"/>
        </w:rPr>
        <w:t>Dynamics," IEEE Access, vol. 13, pp. 38450–38462, 2025.</w:t>
      </w:r>
    </w:p>
    <w:p>
      <w:pPr>
        <w:autoSpaceDN w:val="0"/>
        <w:tabs>
          <w:tab w:pos="360" w:val="left"/>
        </w:tabs>
        <w:autoSpaceDE w:val="0"/>
        <w:widowControl/>
        <w:spacing w:line="184" w:lineRule="exact" w:before="30" w:after="0"/>
        <w:ind w:left="0" w:right="0" w:firstLine="0"/>
        <w:jc w:val="left"/>
      </w:pPr>
      <w:r>
        <w:rPr>
          <w:spacing w:val="-2.272551122205014"/>
          <w:rFonts w:ascii="Times NR MT Pro" w:hAnsi="Times NR MT Pro" w:eastAsia="Times NR MT Pro" w:cs="Times NR MT Pro"/>
          <w:b w:val="0"/>
          <w:i w:val="0"/>
          <w:color w:val="000000"/>
          <w:sz w:val="16"/>
          <w:szCs w:val="16"/>
        </w:rPr>
        <w:t xml:space="preserve">[15] D. Elangovan and V. Subedha, "Adaptive Particle Grey Wolf Optimizer with Deep Learning-Based Sentiment Analysis on Online Product Reviews," </w:t>
      </w:r>
      <w:r>
        <w:t xml:space="preserve">     </w:t>
      </w:r>
      <w:r>
        <w:rPr>
          <w:spacing w:val="-2.391883615134422"/>
          <w:rFonts w:ascii="Times NR MT Pro" w:hAnsi="Times NR MT Pro" w:eastAsia="Times NR MT Pro" w:cs="Times NR MT Pro"/>
          <w:b w:val="0"/>
          <w:i w:val="0"/>
          <w:color w:val="000000"/>
          <w:sz w:val="16"/>
          <w:szCs w:val="16"/>
        </w:rPr>
        <w:t>Eng. Technol. Appl. Sci. Res., vol. 13, no. 3, pp. 10989–10993, 2023.</w:t>
      </w:r>
    </w:p>
    <w:p>
      <w:pPr>
        <w:autoSpaceDN w:val="0"/>
        <w:tabs>
          <w:tab w:pos="360" w:val="left"/>
        </w:tabs>
        <w:autoSpaceDE w:val="0"/>
        <w:widowControl/>
        <w:spacing w:line="208" w:lineRule="exact" w:before="6" w:after="0"/>
        <w:ind w:left="0" w:right="0" w:firstLine="0"/>
        <w:jc w:val="left"/>
      </w:pPr>
      <w:r>
        <w:t>[16] F. Hidayat, A. H. Nasution, F. Ambia, D. F. Putra, and Mulyandri, "Leveraging Large Language Models for Discrepancy Value Prediction in Custody      Transfer Systems: A Comparative Analysis of Probabilistic and Point Forecasting Approaches," IEEE Access, vol. 13, pp. 49210–49224, 2025.</w:t>
      </w:r>
    </w:p>
    <w:p>
      <w:r>
        <w:t>[17] J. Niimi, "Dynamic Sentiment Analysis with Local LLMs Using Majority Voting," arXiv preprint arXiv:2407.13069, 2024.</w:t>
      </w:r>
    </w:p>
    <w:p>
      <w:pPr>
        <w:autoSpaceDN w:val="0"/>
        <w:tabs>
          <w:tab w:pos="360" w:val="left"/>
        </w:tabs>
        <w:autoSpaceDE w:val="0"/>
        <w:widowControl/>
        <w:spacing w:line="182" w:lineRule="exact" w:before="34" w:after="0"/>
        <w:ind w:left="0" w:right="0" w:firstLine="0"/>
        <w:jc w:val="left"/>
      </w:pPr>
      <w:r>
        <w:rPr>
          <w:spacing w:val="-4.0"/>
          <w:rFonts w:ascii="Times NR MT Pro" w:hAnsi="Times NR MT Pro" w:eastAsia="Times NR MT Pro" w:cs="Times NR MT Pro"/>
          <w:b w:val="0"/>
          <w:i w:val="0"/>
          <w:color w:val="000000"/>
          <w:sz w:val="16"/>
          <w:szCs w:val="16"/>
        </w:rPr>
        <w:t xml:space="preserve">[18] R. Thomas and J. R. Jeba, "A Novel Framework for an Intelligent Deep Learning Based Product Recommendation System Using Sentiment Analysis </w:t>
      </w:r>
      <w:r>
        <w:t xml:space="preserve">     </w:t>
      </w:r>
      <w:r>
        <w:rPr>
          <w:spacing w:val="-4.0"/>
          <w:rFonts w:ascii="Times NR MT Pro" w:hAnsi="Times NR MT Pro" w:eastAsia="Times NR MT Pro" w:cs="Times NR MT Pro"/>
          <w:b w:val="0"/>
          <w:i w:val="0"/>
          <w:color w:val="000000"/>
          <w:sz w:val="16"/>
          <w:szCs w:val="16"/>
        </w:rPr>
        <w:t>(SA)," Automatika, vol. 65, no. 2, pp. 410–424, 2024.</w:t>
      </w:r>
    </w:p>
    <w:p>
      <w:pPr>
        <w:autoSpaceDN w:val="0"/>
        <w:tabs>
          <w:tab w:pos="360" w:val="left"/>
        </w:tabs>
        <w:autoSpaceDE w:val="0"/>
        <w:widowControl/>
        <w:spacing w:line="182" w:lineRule="exact" w:before="34" w:after="0"/>
        <w:ind w:left="0" w:right="0" w:firstLine="0"/>
        <w:jc w:val="left"/>
      </w:pPr>
      <w:r>
        <w:rPr>
          <w:spacing w:val="-4.0"/>
          <w:rFonts w:ascii="Times NR MT Pro" w:hAnsi="Times NR MT Pro" w:eastAsia="Times NR MT Pro" w:cs="Times NR MT Pro"/>
          <w:b w:val="0"/>
          <w:i w:val="0"/>
          <w:color w:val="000000"/>
          <w:sz w:val="16"/>
          <w:szCs w:val="16"/>
        </w:rPr>
        <w:t xml:space="preserve">[19] M. F. Bin Harunasir, N. Palanichamy, S. C. Haw, and K. W. Ng, "Sentiment Analysis of Amazon Product Reviews by Supervised Machine Learning </w:t>
      </w:r>
      <w:r>
        <w:t xml:space="preserve">     </w:t>
      </w:r>
      <w:r>
        <w:rPr>
          <w:spacing w:val="-4.0"/>
          <w:rFonts w:ascii="Times NR MT Pro" w:hAnsi="Times NR MT Pro" w:eastAsia="Times NR MT Pro" w:cs="Times NR MT Pro"/>
          <w:b w:val="0"/>
          <w:i w:val="0"/>
          <w:color w:val="000000"/>
          <w:sz w:val="16"/>
          <w:szCs w:val="16"/>
        </w:rPr>
        <w:t>Models," J. Adv. Inf. Technol., vol. 14, no. 4, pp. 782–790, 2023.</w:t>
      </w:r>
    </w:p>
    <w:p>
      <w:pPr>
        <w:autoSpaceDN w:val="0"/>
        <w:autoSpaceDE w:val="0"/>
        <w:widowControl/>
        <w:spacing w:line="178" w:lineRule="exact" w:before="34" w:after="0"/>
        <w:ind w:left="0" w:right="0" w:firstLine="0"/>
        <w:jc w:val="left"/>
      </w:pPr>
      <w:r>
        <w:rPr>
          <w:spacing w:val="-4.0"/>
          <w:rFonts w:ascii="Times NR MT Pro" w:hAnsi="Times NR MT Pro" w:eastAsia="Times NR MT Pro" w:cs="Times NR MT Pro"/>
          <w:b w:val="0"/>
          <w:i w:val="0"/>
          <w:color w:val="000000"/>
          <w:sz w:val="16"/>
          <w:szCs w:val="16"/>
        </w:rPr>
        <w:t>[20] A. Nazir et al., "Issues and Challenges of ABSA: A Comprehensive Survey," IEEE Trans. Affect. Comput., vol. 13, no. 2, pp. 845–863, 2022.</w:t>
      </w:r>
    </w:p>
    <w:p>
      <w:pPr>
        <w:autoSpaceDN w:val="0"/>
        <w:autoSpaceDE w:val="0"/>
        <w:widowControl/>
        <w:spacing w:line="178" w:lineRule="exact" w:before="38" w:after="0"/>
        <w:ind w:left="0" w:right="0" w:firstLine="0"/>
        <w:jc w:val="left"/>
      </w:pPr>
      <w:r>
        <w:rPr>
          <w:spacing w:val="-4.0"/>
          <w:rFonts w:ascii="Times NR MT Pro" w:hAnsi="Times NR MT Pro" w:eastAsia="Times NR MT Pro" w:cs="Times NR MT Pro"/>
          <w:b w:val="0"/>
          <w:i w:val="0"/>
          <w:color w:val="000000"/>
          <w:sz w:val="16"/>
          <w:szCs w:val="16"/>
        </w:rPr>
        <w:t>[21] W. Zhang et al., "Sentiment Analysis in the Era of Large Language Models: A Reality Check," in Findings of ACL: NAACL 2024, pp. 3881–3906.</w:t>
      </w:r>
    </w:p>
    <w:p>
      <w:pPr>
        <w:autoSpaceDN w:val="0"/>
        <w:autoSpaceDE w:val="0"/>
        <w:widowControl/>
        <w:spacing w:line="224" w:lineRule="exact" w:before="0" w:after="0"/>
        <w:ind w:left="0" w:right="288" w:firstLine="0"/>
        <w:jc w:val="left"/>
      </w:pPr>
      <w:r>
        <w:t>[22] P. Dankorpho, "Sales Forecasting for Retail Business Using XGBoost Algorithm," J. Comput. Sci. Technol. Stud., vol. 6, no. 2, pp. 136–141, 2024.</w:t>
      </w:r>
    </w:p>
    <w:p>
      <w:r>
        <w:t>[23] L. Andrade and C. Cunha, "Comparing Gradient Boosting Algorithms to Forecast Sales in Retail," in Proc. ENIAC, 2023, pp. 1–12.</w:t>
      </w:r>
    </w:p>
    <w:p>
      <w:pPr>
        <w:autoSpaceDN w:val="0"/>
        <w:tabs>
          <w:tab w:pos="360" w:val="left"/>
        </w:tabs>
        <w:autoSpaceDE w:val="0"/>
        <w:widowControl/>
        <w:spacing w:line="184" w:lineRule="exact" w:before="30" w:after="0"/>
        <w:ind w:left="0" w:right="0" w:firstLine="0"/>
        <w:jc w:val="left"/>
      </w:pPr>
      <w:r>
        <w:rPr>
          <w:spacing w:val="-1.2451002133772646"/>
          <w:rFonts w:ascii="Times NR MT Pro" w:hAnsi="Times NR MT Pro" w:eastAsia="Times NR MT Pro" w:cs="Times NR MT Pro"/>
          <w:b w:val="0"/>
          <w:i w:val="0"/>
          <w:color w:val="000000"/>
          <w:sz w:val="16"/>
          <w:szCs w:val="16"/>
        </w:rPr>
        <w:t xml:space="preserve">[24] T. H. Nguyen et al., "Predictive Model for Customer Satisfaction in E-Commerce Using ML and DL," Int. J. Data Sci. Anal., vol. 17, pp. 105–118, </w:t>
      </w:r>
      <w:r>
        <w:t xml:space="preserve">    </w:t>
      </w:r>
      <w:r>
        <w:rPr>
          <w:spacing w:val="-0.27199993133547196"/>
          <w:rFonts w:ascii="Times NR MT Pro" w:hAnsi="Times NR MT Pro" w:eastAsia="Times NR MT Pro" w:cs="Times NR MT Pro"/>
          <w:b w:val="0"/>
          <w:i w:val="0"/>
          <w:color w:val="000000"/>
          <w:sz w:val="16"/>
          <w:szCs w:val="16"/>
        </w:rPr>
        <w:t>2024.</w:t>
      </w:r>
    </w:p>
    <w:p>
      <w:pPr>
        <w:sectPr>
          <w:pgSz w:w="12240" w:h="15840"/>
          <w:pgMar w:top="1084" w:right="1012" w:bottom="1292" w:left="1080" w:header="720" w:footer="720" w:gutter="0"/>
          <w:cols w:num="1" w:equalWidth="0">
            <w:col w:w="10148" w:space="0"/>
          </w:cols>
          <w:docGrid w:linePitch="360"/>
        </w:sectPr>
      </w:pPr>
    </w:p>
    <w:p>
      <w:pPr>
        <w:autoSpaceDN w:val="0"/>
        <w:autoSpaceDE w:val="0"/>
        <w:widowControl/>
        <w:spacing w:line="178" w:lineRule="exact" w:before="0" w:after="0"/>
        <w:ind w:left="0" w:right="0" w:firstLine="0"/>
        <w:jc w:val="left"/>
      </w:pPr>
      <w:r>
        <w:rPr>
          <w:spacing w:val="-4.0"/>
          <w:rFonts w:ascii="Times NR MT Pro" w:hAnsi="Times NR MT Pro" w:eastAsia="Times NR MT Pro" w:cs="Times NR MT Pro"/>
          <w:b w:val="0"/>
          <w:i w:val="0"/>
          <w:color w:val="000000"/>
          <w:sz w:val="16"/>
          <w:szCs w:val="16"/>
        </w:rPr>
        <w:t>[25] I. Água et al., "LLMs Powered ABSA for Enhanced Customer Insights," Tour. Manage. Stud., vol. 21, no. 1, pp. 45–56, 2025.</w:t>
      </w:r>
    </w:p>
    <w:p>
      <w:pPr>
        <w:autoSpaceDN w:val="0"/>
        <w:autoSpaceDE w:val="0"/>
        <w:widowControl/>
        <w:spacing w:line="178" w:lineRule="exact" w:before="34" w:after="0"/>
        <w:ind w:left="0" w:right="0" w:firstLine="0"/>
        <w:jc w:val="left"/>
      </w:pPr>
      <w:r>
        <w:rPr>
          <w:spacing w:val="-4.0"/>
          <w:rFonts w:ascii="Times NR MT Pro" w:hAnsi="Times NR MT Pro" w:eastAsia="Times NR MT Pro" w:cs="Times NR MT Pro"/>
          <w:b w:val="0"/>
          <w:i w:val="0"/>
          <w:color w:val="000000"/>
          <w:sz w:val="16"/>
          <w:szCs w:val="16"/>
        </w:rPr>
        <w:t>[26] L. Song et al., "FMSA-SC: A Fine-Grained Multimodal Sentiment Analysis Dataset," IEEE Trans. Multimedia, vol. 26, pp. 7294–7306, 2024.</w:t>
      </w:r>
    </w:p>
    <w:p>
      <w:pPr>
        <w:autoSpaceDN w:val="0"/>
        <w:tabs>
          <w:tab w:pos="360" w:val="left"/>
        </w:tabs>
        <w:autoSpaceDE w:val="0"/>
        <w:widowControl/>
        <w:spacing w:line="240" w:lineRule="auto" w:before="6" w:after="0"/>
        <w:ind w:left="0" w:right="0" w:firstLine="0"/>
        <w:jc w:val="left"/>
      </w:pPr>
      <w:r>
        <w:t>[27] T. S. De et al., "A ML and Empirical Bayesian Approach for Predictive Buying in B2B E-Commerce," arXiv preprint arXiv:2403.07843, 2024.</w:t>
      </w:r>
    </w:p>
    <w:p>
      <w:r>
        <w:t>[28] H. J. Alantari, I. S. Currim, Y. Deng, and S. Singh, "An Empirical Comparison of Machine Learning Methods for Text-Based Sentiment Analysis of      Online Consumer Reviews," Int. J. Res. Mark., vol. 39, no. 1, pp. 1–19, 2022.</w:t>
      </w:r>
    </w:p>
    <w:sectPr w:rsidR="00FC693F" w:rsidRPr="0006063C" w:rsidSect="00034616">
      <w:pgSz w:w="12240" w:h="15840"/>
      <w:pgMar w:top="1086" w:right="1020" w:bottom="1440" w:left="1080" w:header="720" w:footer="720" w:gutter="0"/>
      <w:cols w:num="1" w:equalWidth="0">
        <w:col w:w="10140"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9" Type="http://schemas.openxmlformats.org/officeDocument/2006/relationships/image" Target="media/image11.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