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D9CF" w14:textId="5D9478B2" w:rsidR="009C008D" w:rsidRDefault="009C008D" w:rsidP="009C008D">
      <w:pPr>
        <w:spacing w:after="0" w:line="360" w:lineRule="auto"/>
        <w:ind w:firstLine="0"/>
        <w:jc w:val="center"/>
      </w:pPr>
      <w:r w:rsidRPr="009C008D">
        <w:rPr>
          <w:rFonts w:eastAsiaTheme="majorEastAsia" w:cstheme="majorBidi"/>
          <w:b/>
          <w:bCs/>
          <w:spacing w:val="5"/>
          <w:kern w:val="28"/>
          <w:sz w:val="32"/>
          <w:szCs w:val="52"/>
        </w:rPr>
        <w:t>Impact of the Improvement in Electricity Grid Mix on Life Cycle Efficiency and CO</w:t>
      </w:r>
      <w:r w:rsidRPr="009C008D">
        <w:rPr>
          <w:rFonts w:eastAsiaTheme="majorEastAsia" w:cstheme="majorBidi"/>
          <w:b/>
          <w:bCs/>
          <w:spacing w:val="5"/>
          <w:kern w:val="28"/>
          <w:sz w:val="32"/>
          <w:szCs w:val="52"/>
          <w:vertAlign w:val="subscript"/>
        </w:rPr>
        <w:t>2</w:t>
      </w:r>
      <w:r w:rsidRPr="009C008D">
        <w:rPr>
          <w:rFonts w:eastAsiaTheme="majorEastAsia" w:cstheme="majorBidi"/>
          <w:b/>
          <w:bCs/>
          <w:spacing w:val="5"/>
          <w:kern w:val="28"/>
          <w:sz w:val="32"/>
          <w:szCs w:val="52"/>
        </w:rPr>
        <w:t xml:space="preserve"> Emissions of Automotive Fuels in Indian Context</w:t>
      </w:r>
    </w:p>
    <w:p w14:paraId="4FF3E30F" w14:textId="3AEB857D" w:rsidR="009C008D" w:rsidRPr="004E1B42" w:rsidRDefault="009C008D" w:rsidP="009C008D">
      <w:pPr>
        <w:spacing w:after="0" w:line="360" w:lineRule="auto"/>
        <w:ind w:firstLine="0"/>
        <w:jc w:val="center"/>
      </w:pPr>
      <w:r>
        <w:t>Yash Nandola</w:t>
      </w:r>
      <w:r w:rsidRPr="00B95F0C">
        <w:rPr>
          <w:vertAlign w:val="superscript"/>
        </w:rPr>
        <w:t>1</w:t>
      </w:r>
      <w:r>
        <w:t xml:space="preserve">, </w:t>
      </w:r>
      <w:proofErr w:type="spellStart"/>
      <w:r>
        <w:t>Uttam</w:t>
      </w:r>
      <w:proofErr w:type="spellEnd"/>
      <w:r>
        <w:t xml:space="preserve"> Krishna</w:t>
      </w:r>
      <w:r w:rsidRPr="00B95F0C">
        <w:rPr>
          <w:vertAlign w:val="superscript"/>
        </w:rPr>
        <w:t>1</w:t>
      </w:r>
      <w:r>
        <w:t xml:space="preserve">, </w:t>
      </w:r>
      <w:proofErr w:type="spellStart"/>
      <w:r>
        <w:t>Santanu</w:t>
      </w:r>
      <w:proofErr w:type="spellEnd"/>
      <w:r>
        <w:t xml:space="preserve"> Pramanik</w:t>
      </w:r>
      <w:r w:rsidRPr="00B95F0C">
        <w:rPr>
          <w:vertAlign w:val="superscript"/>
        </w:rPr>
        <w:t>1</w:t>
      </w:r>
      <w:r>
        <w:t xml:space="preserve">, </w:t>
      </w:r>
      <w:proofErr w:type="spellStart"/>
      <w:r>
        <w:t>Himabindu</w:t>
      </w:r>
      <w:proofErr w:type="spellEnd"/>
      <w:r>
        <w:t xml:space="preserve"> M</w:t>
      </w:r>
      <w:r w:rsidRPr="00B95F0C">
        <w:rPr>
          <w:vertAlign w:val="superscript"/>
        </w:rPr>
        <w:t>1</w:t>
      </w:r>
      <w:r>
        <w:t xml:space="preserve">, </w:t>
      </w:r>
      <w:proofErr w:type="spellStart"/>
      <w:r>
        <w:t>Ravikrishna</w:t>
      </w:r>
      <w:proofErr w:type="spellEnd"/>
      <w:r>
        <w:t xml:space="preserve"> R V</w:t>
      </w:r>
      <w:r w:rsidRPr="004E1B42">
        <w:rPr>
          <w:vertAlign w:val="superscript"/>
        </w:rPr>
        <w:t>1</w:t>
      </w:r>
    </w:p>
    <w:p w14:paraId="5A5A893E" w14:textId="77777777" w:rsidR="009C008D" w:rsidRDefault="009C008D" w:rsidP="009C008D">
      <w:pPr>
        <w:pStyle w:val="ListParagraph"/>
        <w:numPr>
          <w:ilvl w:val="0"/>
          <w:numId w:val="1"/>
        </w:numPr>
        <w:spacing w:after="0" w:line="360" w:lineRule="auto"/>
        <w:outlineLvl w:val="0"/>
      </w:pPr>
      <w:r>
        <w:t>Department of Mechanical Engineering, Indian Institute of Science, Bangalore, India.</w:t>
      </w:r>
    </w:p>
    <w:p w14:paraId="5E5004B6" w14:textId="77777777" w:rsidR="009C008D" w:rsidRDefault="009C008D" w:rsidP="009C008D">
      <w:pPr>
        <w:pStyle w:val="Heading1"/>
        <w:spacing w:before="0" w:line="360" w:lineRule="auto"/>
      </w:pPr>
      <w:r>
        <w:t>Abstract</w:t>
      </w:r>
    </w:p>
    <w:p w14:paraId="3ED19741" w14:textId="2BF964C5" w:rsidR="009C008D" w:rsidRPr="00C81263" w:rsidRDefault="009C008D" w:rsidP="009C008D">
      <w:pPr>
        <w:spacing w:line="360" w:lineRule="auto"/>
      </w:pPr>
      <w:r>
        <w:t xml:space="preserve">A comprehensive Well-to-Wheel (WTW) analysis was performed to evaluate </w:t>
      </w:r>
      <w:r>
        <w:rPr>
          <w:sz w:val="23"/>
          <w:szCs w:val="23"/>
        </w:rPr>
        <w:t>WTW energy use, efficiency &amp; CO</w:t>
      </w:r>
      <w:r w:rsidRPr="009C008D">
        <w:rPr>
          <w:szCs w:val="24"/>
          <w:vertAlign w:val="subscript"/>
        </w:rPr>
        <w:t>2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emissions for 12 vehicle/fuel configurations for a passenger sedan in the Indian context. The WTW analysis covered gasoline, diesel, and compressed natural gas (CNG) powered conventional vehicles, series hybrids, and plug-in series hybrids. In addition, the hydrogen fuel cell-powered series hybrid and its plug-in version, along with a battery-electric vehicle, were also studied. The WTW analysis was repeated for a couple of electricity generation scenarios for the year 2030 to forecast future trends. </w:t>
      </w:r>
      <w:r>
        <w:t>The electricity pathway showed minimum Well-to-Tank (WTT) efficiency and maximum WTT CO</w:t>
      </w:r>
      <w:r w:rsidRPr="00A30610">
        <w:rPr>
          <w:vertAlign w:val="subscript"/>
        </w:rPr>
        <w:t>2</w:t>
      </w:r>
      <w:r>
        <w:t xml:space="preserve"> emissions among the five fuels being considered for the study for all three electricity generation scenarios. The hybridization of vehicles showed improvement in the Tank-to-Wheel (TTW) efficiency and reduction in TTW CO</w:t>
      </w:r>
      <w:r w:rsidRPr="00A30610">
        <w:rPr>
          <w:vertAlign w:val="subscript"/>
        </w:rPr>
        <w:t>2</w:t>
      </w:r>
      <w:r>
        <w:t xml:space="preserve"> emissions. Plug-in hybrid configuration</w:t>
      </w:r>
      <w:r>
        <w:t>s</w:t>
      </w:r>
      <w:r>
        <w:t xml:space="preserve"> of gasoline, diesel, CNG, and hydrogen showed higher TTW efficiency and lower TTW CO</w:t>
      </w:r>
      <w:r w:rsidRPr="00FC5D7D">
        <w:rPr>
          <w:vertAlign w:val="subscript"/>
        </w:rPr>
        <w:t>2</w:t>
      </w:r>
      <w:r>
        <w:t xml:space="preserve"> emissions than the conventional and series hybrid configurations. Battery electric configuration showed the maximum TTW efficiency of 68.2% and was associated with zero TTW CO</w:t>
      </w:r>
      <w:r w:rsidRPr="00A30610">
        <w:rPr>
          <w:vertAlign w:val="subscript"/>
        </w:rPr>
        <w:t>2</w:t>
      </w:r>
      <w:r>
        <w:t xml:space="preserve"> emissions. For the current electricity generation scenario, the diesel hybrid showed maximum WTW efficiency, and CNG series hybrid showed the lowest WTW CO</w:t>
      </w:r>
      <w:r w:rsidRPr="00C81263">
        <w:rPr>
          <w:vertAlign w:val="subscript"/>
        </w:rPr>
        <w:t>2</w:t>
      </w:r>
      <w:r>
        <w:t xml:space="preserve"> emissions. With the decrease in % share of coal, increased % share of renewables, and reduction in transmission and distribution losses, there was an increase in the WTW efficiency and a decrease in WTW CO</w:t>
      </w:r>
      <w:r w:rsidRPr="00C81263">
        <w:rPr>
          <w:vertAlign w:val="subscript"/>
        </w:rPr>
        <w:t>2</w:t>
      </w:r>
      <w:r>
        <w:t xml:space="preserve"> emissions for plug-in hybrids and battery-electric vehicles. The results of the 2030 conservative scenario </w:t>
      </w:r>
      <w:r>
        <w:rPr>
          <w:rFonts w:cs="Times New Roman"/>
          <w:szCs w:val="24"/>
        </w:rPr>
        <w:t>lay between the current 2020 and the 2030 aggressive scenario data for most vehicles. For the 2030 aggressive scenario, plug-in hybrids and battery electric vehicles showed substantial improvement in WTW efficiency, with diesel plug-in hybrids showing maximum WTW efficiency. For the 2030 aggressive scenario, emissions of CO</w:t>
      </w:r>
      <w:r w:rsidRPr="00C81263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 were the lowest for CNG plug-in hybrid. CNG series hybrid, diesel plug-in hybrid, and battery-electric powertrains showed the second-lowest CO</w:t>
      </w:r>
      <w:r w:rsidRPr="00C81263">
        <w:rPr>
          <w:rFonts w:cs="Times New Roman"/>
          <w:szCs w:val="24"/>
          <w:vertAlign w:val="subscript"/>
        </w:rPr>
        <w:t xml:space="preserve">2 </w:t>
      </w:r>
      <w:r>
        <w:rPr>
          <w:rFonts w:cs="Times New Roman"/>
          <w:szCs w:val="24"/>
        </w:rPr>
        <w:t xml:space="preserve">emissions for the 2030 aggressive scenario. </w:t>
      </w:r>
    </w:p>
    <w:p w14:paraId="3540398E" w14:textId="09A469FD" w:rsidR="00D17E4A" w:rsidRPr="009C008D" w:rsidRDefault="009C008D" w:rsidP="009C008D">
      <w:pPr>
        <w:spacing w:line="360" w:lineRule="auto"/>
        <w:rPr>
          <w:lang w:val="en-IN"/>
        </w:rPr>
      </w:pPr>
      <w:r w:rsidRPr="006C4015">
        <w:rPr>
          <w:b/>
        </w:rPr>
        <w:t>Keywords</w:t>
      </w:r>
      <w:r>
        <w:t>: Well-to-Tank energy efficiency, Tank-to-Wheel energy efficiency, Well-to-Wheel energy efficiency, CO</w:t>
      </w:r>
      <w:r w:rsidRPr="00B95F0C">
        <w:rPr>
          <w:vertAlign w:val="subscript"/>
        </w:rPr>
        <w:t>2</w:t>
      </w:r>
      <w:r>
        <w:t xml:space="preserve"> emissions, Scenario Analysis</w:t>
      </w:r>
    </w:p>
    <w:sectPr w:rsidR="00D17E4A" w:rsidRPr="009C008D" w:rsidSect="009C008D">
      <w:pgSz w:w="11906" w:h="16838"/>
      <w:pgMar w:top="1440" w:right="1080" w:bottom="1440" w:left="108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C50"/>
    <w:multiLevelType w:val="hybridMultilevel"/>
    <w:tmpl w:val="29F4F4B0"/>
    <w:lvl w:ilvl="0" w:tplc="3A1A4A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87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NTcwMzAwMTO1sDBS0lEKTi0uzszPAykwrAUADqUiBCwAAAA="/>
  </w:docVars>
  <w:rsids>
    <w:rsidRoot w:val="009C008D"/>
    <w:rsid w:val="009C008D"/>
    <w:rsid w:val="00D17E4A"/>
    <w:rsid w:val="00D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988A"/>
  <w15:chartTrackingRefBased/>
  <w15:docId w15:val="{4E546D5C-AF29-497A-8EE2-071BA4FE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08D"/>
    <w:pPr>
      <w:spacing w:after="200" w:line="480" w:lineRule="auto"/>
      <w:ind w:firstLine="720"/>
      <w:jc w:val="both"/>
    </w:pPr>
    <w:rPr>
      <w:rFonts w:ascii="Times New Roman" w:hAnsi="Times New Roman" w:cstheme="minorBidi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08D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08D"/>
    <w:rPr>
      <w:rFonts w:ascii="Times New Roman" w:eastAsiaTheme="majorEastAsia" w:hAnsi="Times New Roman" w:cstheme="majorBidi"/>
      <w:b/>
      <w:bCs/>
      <w:sz w:val="28"/>
      <w:szCs w:val="28"/>
      <w:lang w:val="en-GB" w:bidi="ar-SA"/>
    </w:rPr>
  </w:style>
  <w:style w:type="paragraph" w:styleId="ListParagraph">
    <w:name w:val="List Paragraph"/>
    <w:basedOn w:val="Normal"/>
    <w:uiPriority w:val="34"/>
    <w:qFormat/>
    <w:rsid w:val="009C00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008D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8D"/>
    <w:rPr>
      <w:rFonts w:ascii="Times New Roman" w:eastAsiaTheme="majorEastAsia" w:hAnsi="Times New Roman" w:cstheme="majorBidi"/>
      <w:spacing w:val="5"/>
      <w:kern w:val="28"/>
      <w:sz w:val="32"/>
      <w:szCs w:val="52"/>
      <w:lang w:val="en-GB" w:bidi="ar-SA"/>
    </w:rPr>
  </w:style>
  <w:style w:type="character" w:styleId="LineNumber">
    <w:name w:val="line number"/>
    <w:basedOn w:val="DefaultParagraphFont"/>
    <w:uiPriority w:val="99"/>
    <w:semiHidden/>
    <w:unhideWhenUsed/>
    <w:rsid w:val="009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86B0D-51E2-47E0-AB5B-903684B5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Nandola</dc:creator>
  <cp:keywords/>
  <dc:description/>
  <cp:lastModifiedBy>Yash Nandola</cp:lastModifiedBy>
  <cp:revision>1</cp:revision>
  <dcterms:created xsi:type="dcterms:W3CDTF">2022-12-03T16:04:00Z</dcterms:created>
  <dcterms:modified xsi:type="dcterms:W3CDTF">2022-12-03T16:09:00Z</dcterms:modified>
</cp:coreProperties>
</file>