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1000" w:lineRule="auto"/>
        <w:jc w:val="center"/>
        <w:rPr/>
      </w:pPr>
      <w:r w:rsidDel="00000000" w:rsidR="00000000" w:rsidRPr="00000000">
        <w:rPr>
          <w:b w:val="1"/>
          <w:bCs w:val="1"/>
          <w:color w:val="1e3a5f"/>
          <w:sz w:val="52"/>
          <w:szCs w:val="52"/>
          <w:rtl w:val="0"/>
        </w:rPr>
        <w:t xml:space="preserve">HR Employee Analytics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0" w:lineRule="auto"/>
        <w:jc w:val="center"/>
        <w:rPr/>
      </w:pPr>
      <w:r w:rsidDel="00000000" w:rsidR="00000000" w:rsidRPr="00000000">
        <w:rPr>
          <w:color w:val="475569"/>
          <w:sz w:val="28"/>
          <w:szCs w:val="28"/>
          <w:rtl w:val="0"/>
        </w:rPr>
        <w:t xml:space="preserve">Descriptive Analytics Project Report</w:t>
      </w:r>
      <w:r w:rsidDel="00000000" w:rsidR="00000000" w:rsidRPr="00000000">
        <w:rPr>
          <w:rtl w:val="0"/>
        </w:rPr>
      </w:r>
    </w:p>
    <w:tbl>
      <w:tblPr>
        <w:tblStyle w:val="Table1"/>
        <w:tblW w:w="819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2"/>
        <w:gridCol w:w="5605"/>
        <w:tblGridChange w:id="0">
          <w:tblGrid>
            <w:gridCol w:w="2592"/>
            <w:gridCol w:w="5605"/>
          </w:tblGrid>
        </w:tblGridChange>
      </w:tblGrid>
      <w:tr>
        <w:trPr>
          <w:cantSplit w:val="0"/>
          <w:tblHeader w:val="0"/>
        </w:trPr>
        <w:tc>
          <w:tcPr>
            <w:shd w:fill="1e3a5f" w:val="clear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5f" w:val="clear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color w:val="1f2328"/>
                <w:sz w:val="19"/>
                <w:szCs w:val="19"/>
                <w:rtl w:val="0"/>
              </w:rPr>
              <w:t xml:space="preserve">Author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Yashovardhan Singh 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color w:val="1f2328"/>
                <w:sz w:val="19"/>
                <w:szCs w:val="19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color w:val="1f2328"/>
                <w:sz w:val="19"/>
                <w:szCs w:val="19"/>
                <w:rtl w:val="0"/>
              </w:rPr>
              <w:t xml:space="preserve">HR Employee Data — 14,999 Records, 11 Features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color w:val="1f2328"/>
                <w:sz w:val="19"/>
                <w:szCs w:val="19"/>
                <w:rtl w:val="0"/>
              </w:rPr>
              <w:t xml:space="preserve">Tool Stack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color w:val="1f2328"/>
                <w:sz w:val="19"/>
                <w:szCs w:val="19"/>
                <w:rtl w:val="0"/>
              </w:rPr>
              <w:t xml:space="preserve">Python · Streamlit · Pandas · Plotly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color w:val="1f2328"/>
                <w:sz w:val="19"/>
                <w:szCs w:val="19"/>
                <w:rtl w:val="0"/>
              </w:rPr>
              <w:t xml:space="preserve">Report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color w:val="1f2328"/>
                <w:sz w:val="19"/>
                <w:szCs w:val="19"/>
                <w:rtl w:val="0"/>
              </w:rPr>
              <w:t xml:space="preserve">Descriptive Analytics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color w:val="1f2328"/>
                <w:sz w:val="19"/>
                <w:szCs w:val="19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color w:val="1f2328"/>
                <w:sz w:val="19"/>
                <w:szCs w:val="19"/>
                <w:rtl w:val="0"/>
              </w:rPr>
              <w:t xml:space="preserve">2024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before="20" w:lineRule="auto"/>
        <w:rPr/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This report presents complete HR descriptive analytics — covering workforce attrition, salary impact, employee satisfaction, workload patterns, and promotion trends — with data-driven recommendations for HR leadership.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3b82f6" w:space="2" w:sz="6" w:val="single"/>
        </w:pBdr>
        <w:spacing w:after="80" w:before="320" w:lineRule="auto"/>
        <w:rPr/>
      </w:pPr>
      <w:r w:rsidDel="00000000" w:rsidR="00000000" w:rsidRPr="00000000">
        <w:rPr>
          <w:b w:val="1"/>
          <w:bCs w:val="1"/>
          <w:color w:val="1e3a5f"/>
          <w:sz w:val="24"/>
          <w:szCs w:val="24"/>
          <w:rtl w:val="0"/>
        </w:rPr>
        <w:t xml:space="preserve">1.  EXECUTIVE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before="20" w:lineRule="auto"/>
        <w:rPr/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This project delivers end-to-end descriptive analytics on 14,999 employee records spanning 10 departments. The organisation faces a critical workforce challenge: an attrition rate of 23.8% — significantly above the ~15% industry benchmark — equivalent to 3,571 employee departures. The analysis reveals that four compounding factors drive this attrition: low employee satisfaction, below-market compensation, extreme workload (both under and over), and a near-absent promotion rate of 2.1%.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before="20" w:lineRule="auto"/>
        <w:rPr/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The Streamlit dashboard provides HR teams with fully interactive, filter-driven visibility into each of these risk dimensions, enabling faster and more targeted decision-making.</w:t>
      </w:r>
      <w:r w:rsidDel="00000000" w:rsidR="00000000" w:rsidRPr="00000000">
        <w:rPr>
          <w:rtl w:val="0"/>
        </w:rPr>
      </w:r>
    </w:p>
    <w:tbl>
      <w:tblPr>
        <w:tblStyle w:val="Table2"/>
        <w:tblW w:w="9216.0" w:type="dxa"/>
        <w:jc w:val="center"/>
        <w:tblLayout w:type="fixed"/>
        <w:tblLook w:val="0400"/>
      </w:tblPr>
      <w:tblGrid>
        <w:gridCol w:w="1536"/>
        <w:gridCol w:w="1536"/>
        <w:gridCol w:w="1536"/>
        <w:gridCol w:w="1536"/>
        <w:gridCol w:w="1536"/>
        <w:gridCol w:w="1536"/>
        <w:tblGridChange w:id="0">
          <w:tblGrid>
            <w:gridCol w:w="1536"/>
            <w:gridCol w:w="1536"/>
            <w:gridCol w:w="1536"/>
            <w:gridCol w:w="1536"/>
            <w:gridCol w:w="1536"/>
            <w:gridCol w:w="1536"/>
          </w:tblGrid>
        </w:tblGridChange>
      </w:tblGrid>
      <w:tr>
        <w:trPr>
          <w:cantSplit w:val="0"/>
          <w:tblHeader w:val="0"/>
        </w:trPr>
        <w:tc>
          <w:tcPr>
            <w:shd w:fill="1e3a5f" w:val="clea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34"/>
                <w:szCs w:val="34"/>
                <w:rtl w:val="0"/>
              </w:rPr>
              <w:t xml:space="preserve">14,999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4444" w:val="clea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34"/>
                <w:szCs w:val="34"/>
                <w:rtl w:val="0"/>
              </w:rPr>
              <w:t xml:space="preserve">23.8%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a34a" w:val="clea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34"/>
                <w:szCs w:val="34"/>
                <w:rtl w:val="0"/>
              </w:rPr>
              <w:t xml:space="preserve">61.3%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7706" w:val="clea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34"/>
                <w:szCs w:val="34"/>
                <w:rtl w:val="0"/>
              </w:rPr>
              <w:t xml:space="preserve">201h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7c3aed" w:val="clea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34"/>
                <w:szCs w:val="34"/>
                <w:rtl w:val="0"/>
              </w:rPr>
              <w:t xml:space="preserve">3.5yr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891b2" w:val="clea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34"/>
                <w:szCs w:val="34"/>
                <w:rtl w:val="0"/>
              </w:rPr>
              <w:t xml:space="preserve">2.1%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e3a5f" w:val="clea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color w:val="e2e8f0"/>
                <w:sz w:val="16"/>
                <w:szCs w:val="16"/>
                <w:rtl w:val="0"/>
              </w:rPr>
              <w:t xml:space="preserve">Total Employees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4444" w:val="clea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color w:val="e2e8f0"/>
                <w:sz w:val="16"/>
                <w:szCs w:val="16"/>
                <w:rtl w:val="0"/>
              </w:rPr>
              <w:t xml:space="preserve">Attrition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a34a" w:val="clea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color w:val="e2e8f0"/>
                <w:sz w:val="16"/>
                <w:szCs w:val="16"/>
                <w:rtl w:val="0"/>
              </w:rPr>
              <w:t xml:space="preserve">Avg Satisfaction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7706" w:val="clea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color w:val="e2e8f0"/>
                <w:sz w:val="16"/>
                <w:szCs w:val="16"/>
                <w:rtl w:val="0"/>
              </w:rPr>
              <w:t xml:space="preserve">Avg Monthly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7c3aed" w:val="clea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color w:val="e2e8f0"/>
                <w:sz w:val="16"/>
                <w:szCs w:val="16"/>
                <w:rtl w:val="0"/>
              </w:rPr>
              <w:t xml:space="preserve">Avg Tenure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891b2" w:val="clea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color w:val="e2e8f0"/>
                <w:sz w:val="16"/>
                <w:szCs w:val="16"/>
                <w:rtl w:val="0"/>
              </w:rPr>
              <w:t xml:space="preserve">Promotion Rate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bottom w:color="3b82f6" w:space="2" w:sz="6" w:val="single"/>
        </w:pBdr>
        <w:spacing w:after="80" w:before="320" w:lineRule="auto"/>
        <w:rPr>
          <w:b w:val="1"/>
          <w:bCs w:val="1"/>
          <w:color w:val="1e3a5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bottom w:color="3b82f6" w:space="2" w:sz="6" w:val="single"/>
        </w:pBdr>
        <w:spacing w:after="80" w:before="320" w:lineRule="auto"/>
        <w:rPr>
          <w:b w:val="1"/>
          <w:bCs w:val="1"/>
          <w:color w:val="1e3a5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bottom w:color="3b82f6" w:space="2" w:sz="6" w:val="single"/>
        </w:pBdr>
        <w:spacing w:after="80" w:before="320" w:lineRule="auto"/>
        <w:rPr>
          <w:b w:val="1"/>
          <w:bCs w:val="1"/>
          <w:color w:val="1e3a5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bottom w:color="3b82f6" w:space="2" w:sz="6" w:val="single"/>
        </w:pBdr>
        <w:spacing w:after="80" w:before="320" w:lineRule="auto"/>
        <w:rPr>
          <w:b w:val="1"/>
          <w:bCs w:val="1"/>
          <w:color w:val="1e3a5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bottom w:color="3b82f6" w:space="2" w:sz="6" w:val="single"/>
        </w:pBdr>
        <w:spacing w:after="80" w:before="320" w:lineRule="auto"/>
        <w:rPr>
          <w:b w:val="1"/>
          <w:bCs w:val="1"/>
          <w:color w:val="1e3a5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bottom w:color="3b82f6" w:space="2" w:sz="6" w:val="single"/>
        </w:pBdr>
        <w:spacing w:after="80" w:before="320" w:lineRule="auto"/>
        <w:rPr>
          <w:b w:val="1"/>
          <w:bCs w:val="1"/>
          <w:color w:val="1e3a5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bottom w:color="3b82f6" w:space="2" w:sz="6" w:val="single"/>
        </w:pBdr>
        <w:spacing w:after="80" w:before="320" w:lineRule="auto"/>
        <w:rPr>
          <w:b w:val="1"/>
          <w:bCs w:val="1"/>
          <w:color w:val="1e3a5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bottom w:color="3b82f6" w:space="2" w:sz="6" w:val="single"/>
        </w:pBdr>
        <w:spacing w:after="80" w:before="320" w:lineRule="auto"/>
        <w:rPr>
          <w:b w:val="1"/>
          <w:bCs w:val="1"/>
          <w:color w:val="1e3a5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bottom w:color="3b82f6" w:space="2" w:sz="6" w:val="single"/>
        </w:pBdr>
        <w:spacing w:after="80" w:before="320" w:lineRule="auto"/>
        <w:rPr>
          <w:b w:val="1"/>
          <w:bCs w:val="1"/>
          <w:color w:val="1e3a5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bottom w:color="3b82f6" w:space="2" w:sz="6" w:val="single"/>
        </w:pBdr>
        <w:spacing w:after="80" w:before="320" w:lineRule="auto"/>
        <w:rPr>
          <w:b w:val="1"/>
          <w:bCs w:val="1"/>
          <w:color w:val="1e3a5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3b82f6" w:space="2" w:sz="6" w:val="single"/>
        </w:pBdr>
        <w:spacing w:after="80" w:before="320" w:lineRule="auto"/>
        <w:rPr>
          <w:b w:val="1"/>
          <w:bCs w:val="1"/>
          <w:color w:val="1e3a5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bottom w:color="3b82f6" w:space="2" w:sz="6" w:val="single"/>
        </w:pBdr>
        <w:spacing w:after="80" w:before="320" w:lineRule="auto"/>
        <w:rPr>
          <w:b w:val="1"/>
          <w:bCs w:val="1"/>
          <w:color w:val="1e3a5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bottom w:color="3b82f6" w:space="2" w:sz="6" w:val="single"/>
        </w:pBdr>
        <w:spacing w:after="80" w:before="320" w:lineRule="auto"/>
        <w:rPr>
          <w:b w:val="1"/>
          <w:bCs w:val="1"/>
          <w:color w:val="1e3a5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3b82f6" w:space="2" w:sz="6" w:val="single"/>
        </w:pBdr>
        <w:spacing w:after="80" w:before="320" w:lineRule="auto"/>
        <w:rPr>
          <w:b w:val="1"/>
          <w:bCs w:val="1"/>
          <w:color w:val="1e3a5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bottom w:color="3b82f6" w:space="2" w:sz="6" w:val="single"/>
        </w:pBdr>
        <w:spacing w:after="80" w:before="320" w:lineRule="auto"/>
        <w:rPr/>
      </w:pPr>
      <w:r w:rsidDel="00000000" w:rsidR="00000000" w:rsidRPr="00000000">
        <w:rPr>
          <w:b w:val="1"/>
          <w:bCs w:val="1"/>
          <w:color w:val="1e3a5f"/>
          <w:sz w:val="24"/>
          <w:szCs w:val="24"/>
          <w:rtl w:val="0"/>
        </w:rPr>
        <w:t xml:space="preserve">2.  BUSINESS PROBLEM &amp;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60" w:before="200" w:lineRule="auto"/>
        <w:rPr/>
      </w:pPr>
      <w:r w:rsidDel="00000000" w:rsidR="00000000" w:rsidRPr="00000000">
        <w:rPr>
          <w:b w:val="1"/>
          <w:bCs w:val="1"/>
          <w:color w:val="1e3a5f"/>
          <w:rtl w:val="0"/>
        </w:rPr>
        <w:t xml:space="preserve">Business Problem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00" w:before="20" w:lineRule="auto"/>
        <w:rPr/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The organisation is losing 23.8% of its workforce annually. With 3,571 departures already recorded, every percentage-point reduction in attrition directly reduces recruitment, training, and productivity-loss costs. HR leadership lacks a consolidated, data-driven view of which employee segments are leaving, and why.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60" w:before="200" w:lineRule="auto"/>
        <w:rPr/>
      </w:pPr>
      <w:r w:rsidDel="00000000" w:rsidR="00000000" w:rsidRPr="00000000">
        <w:rPr>
          <w:b w:val="1"/>
          <w:bCs w:val="1"/>
          <w:color w:val="1e3a5f"/>
          <w:rtl w:val="0"/>
        </w:rPr>
        <w:t xml:space="preserve">Project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1e3a5f"/>
          <w:sz w:val="21"/>
          <w:szCs w:val="21"/>
          <w:u w:val="none"/>
          <w:shd w:fill="auto" w:val="clear"/>
          <w:vertAlign w:val="baseline"/>
          <w:rtl w:val="0"/>
        </w:rPr>
        <w:t xml:space="preserve">OBJ 1 —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1f2328"/>
          <w:sz w:val="21"/>
          <w:szCs w:val="21"/>
          <w:u w:val="none"/>
          <w:shd w:fill="auto" w:val="clear"/>
          <w:vertAlign w:val="baseline"/>
          <w:rtl w:val="0"/>
        </w:rPr>
        <w:t xml:space="preserve">Quantify attrition across departments, salary bands, tenure cohorts and workload levels.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1e3a5f"/>
          <w:sz w:val="21"/>
          <w:szCs w:val="21"/>
          <w:u w:val="none"/>
          <w:shd w:fill="auto" w:val="clear"/>
          <w:vertAlign w:val="baseline"/>
          <w:rtl w:val="0"/>
        </w:rPr>
        <w:t xml:space="preserve">OBJ 2 —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1f2328"/>
          <w:sz w:val="21"/>
          <w:szCs w:val="21"/>
          <w:u w:val="none"/>
          <w:shd w:fill="auto" w:val="clear"/>
          <w:vertAlign w:val="baseline"/>
          <w:rtl w:val="0"/>
        </w:rPr>
        <w:t xml:space="preserve">Identify the primary drivers of employee attrition using descriptive statistics.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1e3a5f"/>
          <w:sz w:val="21"/>
          <w:szCs w:val="21"/>
          <w:u w:val="none"/>
          <w:shd w:fill="auto" w:val="clear"/>
          <w:vertAlign w:val="baseline"/>
          <w:rtl w:val="0"/>
        </w:rPr>
        <w:t xml:space="preserve">OBJ 3 —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1f2328"/>
          <w:sz w:val="21"/>
          <w:szCs w:val="21"/>
          <w:u w:val="none"/>
          <w:shd w:fill="auto" w:val="clear"/>
          <w:vertAlign w:val="baseline"/>
          <w:rtl w:val="0"/>
        </w:rPr>
        <w:t xml:space="preserve">Surface actionable, prioritised retention recommendations grounded in the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1e3a5f"/>
          <w:sz w:val="21"/>
          <w:szCs w:val="21"/>
          <w:u w:val="none"/>
          <w:shd w:fill="auto" w:val="clear"/>
          <w:vertAlign w:val="baseline"/>
          <w:rtl w:val="0"/>
        </w:rPr>
        <w:t xml:space="preserve">OBJ 4 —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1f2328"/>
          <w:sz w:val="21"/>
          <w:szCs w:val="21"/>
          <w:u w:val="none"/>
          <w:shd w:fill="auto" w:val="clear"/>
          <w:vertAlign w:val="baseline"/>
          <w:rtl w:val="0"/>
        </w:rPr>
        <w:t xml:space="preserve">Deliver an interactive Streamlit dashboard for ongoing HR monitoring.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bottom w:color="3b82f6" w:space="2" w:sz="6" w:val="single"/>
        </w:pBdr>
        <w:spacing w:after="80" w:before="320" w:lineRule="auto"/>
        <w:rPr/>
      </w:pPr>
      <w:r w:rsidDel="00000000" w:rsidR="00000000" w:rsidRPr="00000000">
        <w:rPr>
          <w:b w:val="1"/>
          <w:bCs w:val="1"/>
          <w:color w:val="1e3a5f"/>
          <w:sz w:val="24"/>
          <w:szCs w:val="24"/>
          <w:rtl w:val="0"/>
        </w:rPr>
        <w:t xml:space="preserve">3.  DATASET &amp; DATA PREPARATION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60" w:before="200" w:lineRule="auto"/>
        <w:rPr/>
      </w:pPr>
      <w:r w:rsidDel="00000000" w:rsidR="00000000" w:rsidRPr="00000000">
        <w:rPr>
          <w:b w:val="1"/>
          <w:bCs w:val="1"/>
          <w:color w:val="1e3a5f"/>
          <w:rtl w:val="0"/>
        </w:rPr>
        <w:t xml:space="preserve">Dataset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00" w:before="20" w:lineRule="auto"/>
        <w:rPr/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The dataset HR_Employee_Data.csv contains 14,999 records and 11 columns. Key variables include employee satisfaction, performance evaluation scores, monthly working hours, tenure, department, salary band, and a binary attrition flag.</w:t>
      </w:r>
      <w:r w:rsidDel="00000000" w:rsidR="00000000" w:rsidRPr="00000000">
        <w:rPr>
          <w:rtl w:val="0"/>
        </w:rPr>
      </w:r>
    </w:p>
    <w:tbl>
      <w:tblPr>
        <w:tblStyle w:val="Table3"/>
        <w:tblW w:w="90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36"/>
        <w:gridCol w:w="2016"/>
        <w:gridCol w:w="4320"/>
        <w:tblGridChange w:id="0">
          <w:tblGrid>
            <w:gridCol w:w="2736"/>
            <w:gridCol w:w="2016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1e3a5f" w:val="clear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5f" w:val="clea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5f" w:val="clear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color w:val="1f2328"/>
                <w:sz w:val="19"/>
                <w:szCs w:val="19"/>
                <w:rtl w:val="0"/>
              </w:rPr>
              <w:t xml:space="preserve">satisfaction_level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color w:val="1f2328"/>
                <w:sz w:val="19"/>
                <w:szCs w:val="19"/>
                <w:rtl w:val="0"/>
              </w:rPr>
              <w:t xml:space="preserve">Float (0–1)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color w:val="1f2328"/>
                <w:sz w:val="19"/>
                <w:szCs w:val="19"/>
                <w:rtl w:val="0"/>
              </w:rPr>
              <w:t xml:space="preserve">Self-reported satisfaction 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color w:val="1f2328"/>
                <w:sz w:val="19"/>
                <w:szCs w:val="19"/>
                <w:rtl w:val="0"/>
              </w:rPr>
              <w:t xml:space="preserve">last_evaluation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color w:val="1f2328"/>
                <w:sz w:val="19"/>
                <w:szCs w:val="19"/>
                <w:rtl w:val="0"/>
              </w:rPr>
              <w:t xml:space="preserve">Float (0–1)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color w:val="1f2328"/>
                <w:sz w:val="19"/>
                <w:szCs w:val="19"/>
                <w:rtl w:val="0"/>
              </w:rPr>
              <w:t xml:space="preserve">Most recent performance evaluation 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color w:val="1f2328"/>
                <w:sz w:val="19"/>
                <w:szCs w:val="19"/>
                <w:rtl w:val="0"/>
              </w:rPr>
              <w:t xml:space="preserve">number_project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color w:val="1f2328"/>
                <w:sz w:val="19"/>
                <w:szCs w:val="19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color w:val="1f2328"/>
                <w:sz w:val="19"/>
                <w:szCs w:val="19"/>
                <w:rtl w:val="0"/>
              </w:rPr>
              <w:t xml:space="preserve">Number of active projects assigned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color w:val="1f2328"/>
                <w:sz w:val="19"/>
                <w:szCs w:val="19"/>
                <w:rtl w:val="0"/>
              </w:rPr>
              <w:t xml:space="preserve">average_montly_hours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color w:val="1f2328"/>
                <w:sz w:val="19"/>
                <w:szCs w:val="19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color w:val="1f2328"/>
                <w:sz w:val="19"/>
                <w:szCs w:val="19"/>
                <w:rtl w:val="0"/>
              </w:rPr>
              <w:t xml:space="preserve">Average monthly hours worked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color w:val="1f2328"/>
                <w:sz w:val="19"/>
                <w:szCs w:val="19"/>
                <w:rtl w:val="0"/>
              </w:rPr>
              <w:t xml:space="preserve">time_spend_company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color w:val="1f2328"/>
                <w:sz w:val="19"/>
                <w:szCs w:val="19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color w:val="1f2328"/>
                <w:sz w:val="19"/>
                <w:szCs w:val="19"/>
                <w:rtl w:val="0"/>
              </w:rPr>
              <w:t xml:space="preserve">Years at the company (tenure)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color w:val="1f2328"/>
                <w:sz w:val="19"/>
                <w:szCs w:val="19"/>
                <w:rtl w:val="0"/>
              </w:rPr>
              <w:t xml:space="preserve">Work_accident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color w:val="1f2328"/>
                <w:sz w:val="19"/>
                <w:szCs w:val="19"/>
                <w:rtl w:val="0"/>
              </w:rPr>
              <w:t xml:space="preserve">Binary 0/1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color w:val="1f2328"/>
                <w:sz w:val="19"/>
                <w:szCs w:val="19"/>
                <w:rtl w:val="0"/>
              </w:rPr>
              <w:t xml:space="preserve">Had a workplace accident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color w:val="1f2328"/>
                <w:sz w:val="19"/>
                <w:szCs w:val="19"/>
                <w:rtl w:val="0"/>
              </w:rPr>
              <w:t xml:space="preserve">left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color w:val="1f2328"/>
                <w:sz w:val="19"/>
                <w:szCs w:val="19"/>
                <w:rtl w:val="0"/>
              </w:rPr>
              <w:t xml:space="preserve">Binary 0/1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color w:val="1f2328"/>
                <w:sz w:val="19"/>
                <w:szCs w:val="19"/>
                <w:rtl w:val="0"/>
              </w:rPr>
              <w:t xml:space="preserve">TARGET — employee left the company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color w:val="1f2328"/>
                <w:sz w:val="19"/>
                <w:szCs w:val="19"/>
                <w:rtl w:val="0"/>
              </w:rPr>
              <w:t xml:space="preserve">promotion_last_5years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color w:val="1f2328"/>
                <w:sz w:val="19"/>
                <w:szCs w:val="19"/>
                <w:rtl w:val="0"/>
              </w:rPr>
              <w:t xml:space="preserve">Binary 0/1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color w:val="1f2328"/>
                <w:sz w:val="19"/>
                <w:szCs w:val="19"/>
                <w:rtl w:val="0"/>
              </w:rPr>
              <w:t xml:space="preserve">Promoted in the last 5 years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color w:val="1f2328"/>
                <w:sz w:val="19"/>
                <w:szCs w:val="19"/>
                <w:rtl w:val="0"/>
              </w:rPr>
              <w:t xml:space="preserve">Department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color w:val="1f2328"/>
                <w:sz w:val="19"/>
                <w:szCs w:val="19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color w:val="1f2328"/>
                <w:sz w:val="19"/>
                <w:szCs w:val="19"/>
                <w:rtl w:val="0"/>
              </w:rPr>
              <w:t xml:space="preserve">Department name (10 departments)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color w:val="1f2328"/>
                <w:sz w:val="19"/>
                <w:szCs w:val="19"/>
                <w:rtl w:val="0"/>
              </w:rPr>
              <w:t xml:space="preserve">salary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color w:val="1f2328"/>
                <w:sz w:val="19"/>
                <w:szCs w:val="19"/>
                <w:rtl w:val="0"/>
              </w:rPr>
              <w:t xml:space="preserve">low / med / 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color w:val="1f2328"/>
                <w:sz w:val="19"/>
                <w:szCs w:val="19"/>
                <w:rtl w:val="0"/>
              </w:rPr>
              <w:t xml:space="preserve">Salary band category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60" w:before="200" w:lineRule="auto"/>
        <w:rPr/>
      </w:pPr>
      <w:r w:rsidDel="00000000" w:rsidR="00000000" w:rsidRPr="00000000">
        <w:rPr>
          <w:b w:val="1"/>
          <w:bCs w:val="1"/>
          <w:color w:val="1e3a5f"/>
          <w:rtl w:val="0"/>
        </w:rPr>
        <w:t xml:space="preserve">Data Cleaning Steps</w:t>
      </w:r>
      <w:r w:rsidDel="00000000" w:rsidR="00000000" w:rsidRPr="00000000">
        <w:rPr>
          <w:rtl w:val="0"/>
        </w:rPr>
      </w:r>
    </w:p>
    <w:tbl>
      <w:tblPr>
        <w:tblStyle w:val="Table4"/>
        <w:tblW w:w="90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"/>
        <w:gridCol w:w="3312"/>
        <w:gridCol w:w="5328"/>
        <w:tblGridChange w:id="0">
          <w:tblGrid>
            <w:gridCol w:w="432"/>
            <w:gridCol w:w="3312"/>
            <w:gridCol w:w="5328"/>
          </w:tblGrid>
        </w:tblGridChange>
      </w:tblGrid>
      <w:tr>
        <w:trPr>
          <w:cantSplit w:val="0"/>
          <w:tblHeader w:val="0"/>
        </w:trPr>
        <w:tc>
          <w:tcPr>
            <w:shd w:fill="3b82f6" w:val="clear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b82f6" w:val="clear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Method Applied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color w:val="1f2328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color w:val="1f2328"/>
                <w:sz w:val="19"/>
                <w:szCs w:val="19"/>
                <w:rtl w:val="0"/>
              </w:rPr>
              <w:t xml:space="preserve">% strings in satisfaction &amp; evaluation columns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color w:val="1f2328"/>
                <w:sz w:val="19"/>
                <w:szCs w:val="19"/>
                <w:rtl w:val="0"/>
              </w:rPr>
              <w:t xml:space="preserve">str.replace('%','') → astype(float) / 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color w:val="1f2328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color w:val="1f2328"/>
                <w:sz w:val="19"/>
                <w:szCs w:val="19"/>
                <w:rtl w:val="0"/>
              </w:rPr>
              <w:t xml:space="preserve">Incorrect column / value whitespace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color w:val="1f2328"/>
                <w:sz w:val="19"/>
                <w:szCs w:val="19"/>
                <w:rtl w:val="0"/>
              </w:rPr>
              <w:t xml:space="preserve">df.columns.str.strip() + df[col].str.strip()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color w:val="1f2328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color w:val="1f2328"/>
                <w:sz w:val="19"/>
                <w:szCs w:val="19"/>
                <w:rtl w:val="0"/>
              </w:rPr>
              <w:t xml:space="preserve">Mixed/object types in numeric columns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color w:val="1f2328"/>
                <w:sz w:val="19"/>
                <w:szCs w:val="19"/>
                <w:rtl w:val="0"/>
              </w:rPr>
              <w:t xml:space="preserve">pd.to_numeric(errors='coerce') on 6 columns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color w:val="1f2328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color w:val="1f2328"/>
                <w:sz w:val="19"/>
                <w:szCs w:val="19"/>
                <w:rtl w:val="0"/>
              </w:rPr>
              <w:t xml:space="preserve">Duplicate rows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color w:val="1f2328"/>
                <w:sz w:val="19"/>
                <w:szCs w:val="19"/>
                <w:rtl w:val="0"/>
              </w:rPr>
              <w:t xml:space="preserve">df.drop_duplicates() — all remaining rows are unique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color w:val="1f2328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color w:val="1f2328"/>
                <w:sz w:val="19"/>
                <w:szCs w:val="19"/>
                <w:rtl w:val="0"/>
              </w:rPr>
              <w:t xml:space="preserve">Missing 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color w:val="1f2328"/>
                <w:sz w:val="19"/>
                <w:szCs w:val="19"/>
                <w:rtl w:val="0"/>
              </w:rPr>
              <w:t xml:space="preserve">Numeric → median imputation; Categorical → mode imputation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60" w:before="200" w:lineRule="auto"/>
        <w:rPr/>
      </w:pPr>
      <w:r w:rsidDel="00000000" w:rsidR="00000000" w:rsidRPr="00000000">
        <w:rPr>
          <w:b w:val="1"/>
          <w:bCs w:val="1"/>
          <w:color w:val="1e3a5f"/>
          <w:rtl w:val="0"/>
        </w:rPr>
        <w:t xml:space="preserve">Descriptive Statistics — Numeric Features</w:t>
      </w:r>
      <w:r w:rsidDel="00000000" w:rsidR="00000000" w:rsidRPr="00000000">
        <w:rPr>
          <w:rtl w:val="0"/>
        </w:rPr>
      </w:r>
    </w:p>
    <w:tbl>
      <w:tblPr>
        <w:tblStyle w:val="Table5"/>
        <w:tblW w:w="921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84"/>
        <w:gridCol w:w="1584"/>
        <w:gridCol w:w="1584"/>
        <w:gridCol w:w="1440"/>
        <w:gridCol w:w="1584"/>
        <w:gridCol w:w="1440"/>
        <w:tblGridChange w:id="0">
          <w:tblGrid>
            <w:gridCol w:w="1584"/>
            <w:gridCol w:w="1584"/>
            <w:gridCol w:w="1584"/>
            <w:gridCol w:w="1440"/>
            <w:gridCol w:w="1584"/>
            <w:gridCol w:w="1440"/>
          </w:tblGrid>
        </w:tblGridChange>
      </w:tblGrid>
      <w:tr>
        <w:trPr>
          <w:cantSplit w:val="0"/>
          <w:tblHeader w:val="0"/>
        </w:trPr>
        <w:tc>
          <w:tcPr>
            <w:shd w:fill="1e3a5f" w:val="clear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5f" w:val="clear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Satisfaction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5f" w:val="clear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Evaluation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5f" w:val="clear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Projects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5f" w:val="clear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Monthly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5f" w:val="clear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Tenure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color w:val="1f2328"/>
                <w:sz w:val="19"/>
                <w:szCs w:val="19"/>
                <w:rtl w:val="0"/>
              </w:rPr>
              <w:t xml:space="preserve">Mean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color w:val="1f2328"/>
                <w:sz w:val="19"/>
                <w:szCs w:val="19"/>
                <w:rtl w:val="0"/>
              </w:rPr>
              <w:t xml:space="preserve">61.3%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color w:val="1f2328"/>
                <w:sz w:val="19"/>
                <w:szCs w:val="19"/>
                <w:rtl w:val="0"/>
              </w:rPr>
              <w:t xml:space="preserve">71.6%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color w:val="1f2328"/>
                <w:sz w:val="19"/>
                <w:szCs w:val="19"/>
                <w:rtl w:val="0"/>
              </w:rPr>
              <w:t xml:space="preserve">3.80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color w:val="1f2328"/>
                <w:sz w:val="19"/>
                <w:szCs w:val="19"/>
                <w:rtl w:val="0"/>
              </w:rPr>
              <w:t xml:space="preserve">201h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color w:val="1f2328"/>
                <w:sz w:val="19"/>
                <w:szCs w:val="19"/>
                <w:rtl w:val="0"/>
              </w:rPr>
              <w:t xml:space="preserve">3.5 yr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color w:val="1f2328"/>
                <w:sz w:val="19"/>
                <w:szCs w:val="19"/>
                <w:rtl w:val="0"/>
              </w:rPr>
              <w:t xml:space="preserve">Std 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color w:val="1f2328"/>
                <w:sz w:val="19"/>
                <w:szCs w:val="19"/>
                <w:rtl w:val="0"/>
              </w:rPr>
              <w:t xml:space="preserve">±24.9pp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color w:val="1f2328"/>
                <w:sz w:val="19"/>
                <w:szCs w:val="19"/>
                <w:rtl w:val="0"/>
              </w:rPr>
              <w:t xml:space="preserve">±17.1pp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color w:val="1f2328"/>
                <w:sz w:val="19"/>
                <w:szCs w:val="19"/>
                <w:rtl w:val="0"/>
              </w:rPr>
              <w:t xml:space="preserve">±1.23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color w:val="1f2328"/>
                <w:sz w:val="19"/>
                <w:szCs w:val="19"/>
                <w:rtl w:val="0"/>
              </w:rPr>
              <w:t xml:space="preserve">±49.9h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color w:val="1f2328"/>
                <w:sz w:val="19"/>
                <w:szCs w:val="19"/>
                <w:rtl w:val="0"/>
              </w:rPr>
              <w:t xml:space="preserve">±1.5 yr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color w:val="1f2328"/>
                <w:sz w:val="19"/>
                <w:szCs w:val="19"/>
                <w:rtl w:val="0"/>
              </w:rPr>
              <w:t xml:space="preserve">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color w:val="1f2328"/>
                <w:sz w:val="19"/>
                <w:szCs w:val="19"/>
                <w:rtl w:val="0"/>
              </w:rPr>
              <w:t xml:space="preserve">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color w:val="1f2328"/>
                <w:sz w:val="19"/>
                <w:szCs w:val="19"/>
                <w:rtl w:val="0"/>
              </w:rPr>
              <w:t xml:space="preserve">36%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color w:val="1f2328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color w:val="1f2328"/>
                <w:sz w:val="19"/>
                <w:szCs w:val="19"/>
                <w:rtl w:val="0"/>
              </w:rPr>
              <w:t xml:space="preserve">96h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color w:val="1f2328"/>
                <w:sz w:val="19"/>
                <w:szCs w:val="19"/>
                <w:rtl w:val="0"/>
              </w:rPr>
              <w:t xml:space="preserve">2 yr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color w:val="1f2328"/>
                <w:sz w:val="19"/>
                <w:szCs w:val="19"/>
                <w:rtl w:val="0"/>
              </w:rPr>
              <w:t xml:space="preserve">Median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color w:val="1f2328"/>
                <w:sz w:val="19"/>
                <w:szCs w:val="19"/>
                <w:rtl w:val="0"/>
              </w:rPr>
              <w:t xml:space="preserve">64%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color w:val="1f2328"/>
                <w:sz w:val="19"/>
                <w:szCs w:val="19"/>
                <w:rtl w:val="0"/>
              </w:rPr>
              <w:t xml:space="preserve">72%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color w:val="1f2328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color w:val="1f2328"/>
                <w:sz w:val="19"/>
                <w:szCs w:val="19"/>
                <w:rtl w:val="0"/>
              </w:rPr>
              <w:t xml:space="preserve">200h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color w:val="1f2328"/>
                <w:sz w:val="19"/>
                <w:szCs w:val="19"/>
                <w:rtl w:val="0"/>
              </w:rPr>
              <w:t xml:space="preserve">3 yr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color w:val="1f2328"/>
                <w:sz w:val="19"/>
                <w:szCs w:val="19"/>
                <w:rtl w:val="0"/>
              </w:rPr>
              <w:t xml:space="preserve">Max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color w:val="1f2328"/>
                <w:sz w:val="19"/>
                <w:szCs w:val="19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color w:val="1f2328"/>
                <w:sz w:val="19"/>
                <w:szCs w:val="19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color w:val="1f2328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color w:val="1f2328"/>
                <w:sz w:val="19"/>
                <w:szCs w:val="19"/>
                <w:rtl w:val="0"/>
              </w:rPr>
              <w:t xml:space="preserve">310h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color w:val="1f2328"/>
                <w:sz w:val="19"/>
                <w:szCs w:val="19"/>
                <w:rtl w:val="0"/>
              </w:rPr>
              <w:t xml:space="preserve">10 yr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bottom w:color="3b82f6" w:space="2" w:sz="6" w:val="single"/>
        </w:pBdr>
        <w:spacing w:after="80" w:before="320" w:lineRule="auto"/>
        <w:rPr/>
      </w:pPr>
      <w:r w:rsidDel="00000000" w:rsidR="00000000" w:rsidRPr="00000000">
        <w:rPr>
          <w:b w:val="1"/>
          <w:bCs w:val="1"/>
          <w:color w:val="1e3a5f"/>
          <w:sz w:val="24"/>
          <w:szCs w:val="24"/>
          <w:rtl w:val="0"/>
        </w:rPr>
        <w:t xml:space="preserve">4.  DESCRIPTIVE ANALYSIS &amp; VISUALISATIONS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60" w:before="200" w:lineRule="auto"/>
        <w:rPr/>
      </w:pPr>
      <w:r w:rsidDel="00000000" w:rsidR="00000000" w:rsidRPr="00000000">
        <w:rPr>
          <w:b w:val="1"/>
          <w:bCs w:val="1"/>
          <w:color w:val="1e3a5f"/>
          <w:rtl w:val="0"/>
        </w:rPr>
        <w:t xml:space="preserve">4.1  Attrition Overview &amp; Department Breakdowne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00" w:before="20" w:lineRule="auto"/>
        <w:rPr/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Of 14,999 employees, 3,571 (23.8%) have left. HR (29.1%) and Accounting (26.6%) are the highest-attrition departments, while Management (14.4%) and R&amp;D (15.4%) retain staff most effectively.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4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60720" cy="225191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519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60" w:before="200" w:lineRule="auto"/>
        <w:rPr/>
      </w:pPr>
      <w:r w:rsidDel="00000000" w:rsidR="00000000" w:rsidRPr="00000000">
        <w:rPr>
          <w:b w:val="1"/>
          <w:bCs w:val="1"/>
          <w:color w:val="1e3a5f"/>
          <w:rtl w:val="0"/>
        </w:rPr>
        <w:t xml:space="preserve">4.2  Salary Band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00" w:before="20" w:lineRule="auto"/>
        <w:rPr/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48.8% of the workforce is on a low salary. Low-salary employees leave at 29.7% — 4.5× the rate of high-salary employees (6.6%). Medium-salary employees sit at 20.4%.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4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77840" cy="2231136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2311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60" w:before="200" w:lineRule="auto"/>
        <w:rPr/>
      </w:pPr>
      <w:r w:rsidDel="00000000" w:rsidR="00000000" w:rsidRPr="00000000">
        <w:rPr>
          <w:b w:val="1"/>
          <w:bCs w:val="1"/>
          <w:color w:val="1e3a5f"/>
          <w:rtl w:val="0"/>
        </w:rPr>
        <w:t xml:space="preserve">4.3  Satisfaction &amp; Workload Impact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00" w:before="20" w:lineRule="auto"/>
        <w:rPr/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Employees with satisfaction below 30% leave at 48.8% — four times the rate of highly satisfied staff. Workload extremes are equally damaging: both under-utilised (Normal ≤160h, 36.3%) and overloaded employees (&gt;220h, 30.7%) show high attrition; only the 160–220h 'High' band shows a healthy 3.5%.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4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77840" cy="2231136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2311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60" w:before="200" w:lineRule="auto"/>
        <w:rPr/>
      </w:pPr>
      <w:r w:rsidDel="00000000" w:rsidR="00000000" w:rsidRPr="00000000">
        <w:rPr>
          <w:b w:val="1"/>
          <w:bCs w:val="1"/>
          <w:color w:val="1e3a5f"/>
          <w:rtl w:val="0"/>
        </w:rPr>
        <w:t xml:space="preserve">4.4  Attrition by Tenure (Years at Company)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00" w:before="20" w:lineRule="auto"/>
        <w:rPr/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Attrition is negligible at year 2 (1.6%) but escalates sharply — peaking at 56.6% at year 5 before dropping to near-zero for long-tenured staff. Years 3–5 represent the critical intervention window.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4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60720" cy="2340292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402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60" w:before="200" w:lineRule="auto"/>
        <w:rPr/>
      </w:pPr>
      <w:r w:rsidDel="00000000" w:rsidR="00000000" w:rsidRPr="00000000">
        <w:rPr>
          <w:b w:val="1"/>
          <w:bCs w:val="1"/>
          <w:color w:val="1e3a5f"/>
          <w:rtl w:val="0"/>
        </w:rPr>
        <w:t xml:space="preserve">4.5  Number of Projects vs Satisfaction &amp; Attrition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00" w:before="20" w:lineRule="auto"/>
        <w:rPr/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Employees assigned only 2 projects (65.6% attrition, avg satisfaction 47.9%) and those with 7 projects (100% attrition, satisfaction 11.9%) are extreme at-risk groups. The optimal band is 3–4 projects: low attrition (&lt;10%) and highest satisfaction (~69%).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4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60720" cy="252031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203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60" w:before="200" w:lineRule="auto"/>
        <w:rPr/>
      </w:pPr>
      <w:r w:rsidDel="00000000" w:rsidR="00000000" w:rsidRPr="00000000">
        <w:rPr>
          <w:b w:val="1"/>
          <w:bCs w:val="1"/>
          <w:color w:val="1e3a5f"/>
          <w:rtl w:val="0"/>
        </w:rPr>
        <w:t xml:space="preserve">4.6  Attrition by Experience Tier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00" w:before="20" w:lineRule="auto"/>
        <w:rPr/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Junior employees (≤2 yr, 1.6% attrition) are highly stable. Attrition rises sharply through Mid (27.5%) and Senior (47.6%) tiers, then returns to zero for Veterans (&gt;6 yr), confirming that years 3–6 are the highest-risk career phase.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4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77840" cy="2382202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3822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bottom w:color="3b82f6" w:space="2" w:sz="6" w:val="single"/>
        </w:pBdr>
        <w:spacing w:after="80" w:before="320" w:lineRule="auto"/>
        <w:rPr/>
      </w:pPr>
      <w:r w:rsidDel="00000000" w:rsidR="00000000" w:rsidRPr="00000000">
        <w:rPr>
          <w:b w:val="1"/>
          <w:bCs w:val="1"/>
          <w:color w:val="1e3a5f"/>
          <w:sz w:val="24"/>
          <w:szCs w:val="24"/>
          <w:rtl w:val="0"/>
        </w:rPr>
        <w:t xml:space="preserve">5.  KEY FINDINGS &amp; BUSINESS INSIGHTS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60" w:before="200" w:lineRule="auto"/>
        <w:rPr/>
      </w:pPr>
      <w:r w:rsidDel="00000000" w:rsidR="00000000" w:rsidRPr="00000000">
        <w:rPr>
          <w:b w:val="1"/>
          <w:bCs w:val="1"/>
          <w:color w:val="1e3a5f"/>
          <w:rtl w:val="0"/>
        </w:rPr>
        <w:t xml:space="preserve">⚠  High Attrition (23.8%)</w:t>
      </w:r>
      <w:r w:rsidDel="00000000" w:rsidR="00000000" w:rsidRPr="00000000">
        <w:rPr>
          <w:rtl w:val="0"/>
        </w:rPr>
      </w:r>
    </w:p>
    <w:tbl>
      <w:tblPr>
        <w:tblStyle w:val="Table6"/>
        <w:tblW w:w="93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96"/>
        <w:tblGridChange w:id="0">
          <w:tblGrid>
            <w:gridCol w:w="9396"/>
          </w:tblGrid>
        </w:tblGridChange>
      </w:tblGrid>
      <w:tr>
        <w:trPr>
          <w:cantSplit w:val="0"/>
          <w:tblHeader w:val="0"/>
        </w:trPr>
        <w:tc>
          <w:tcPr>
            <w:shd w:fill="fff7ed" w:val="clear"/>
          </w:tcPr>
          <w:p w:rsidR="00000000" w:rsidDel="00000000" w:rsidP="00000000" w:rsidRDefault="00000000" w:rsidRPr="00000000" w14:paraId="000000B5">
            <w:pPr>
              <w:spacing w:after="60" w:before="60" w:lineRule="auto"/>
              <w:rPr/>
            </w:pPr>
            <w:r w:rsidDel="00000000" w:rsidR="00000000" w:rsidRPr="00000000">
              <w:rPr>
                <w:color w:val="b45309"/>
                <w:sz w:val="20"/>
                <w:szCs w:val="20"/>
                <w:rtl w:val="0"/>
              </w:rPr>
              <w:t xml:space="preserve">At 23.8%, attrition exceeds the ~15% industry benchmark by 8.8pp, representing 3,571 departed employees and substantial ongoing talent costs.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60" w:before="200" w:lineRule="auto"/>
        <w:rPr/>
      </w:pPr>
      <w:r w:rsidDel="00000000" w:rsidR="00000000" w:rsidRPr="00000000">
        <w:rPr>
          <w:b w:val="1"/>
          <w:bCs w:val="1"/>
          <w:color w:val="1e3a5f"/>
          <w:rtl w:val="0"/>
        </w:rPr>
        <w:t xml:space="preserve">⚠  Satisfaction is the Primary Driver</w:t>
      </w:r>
      <w:r w:rsidDel="00000000" w:rsidR="00000000" w:rsidRPr="00000000">
        <w:rPr>
          <w:rtl w:val="0"/>
        </w:rPr>
      </w:r>
    </w:p>
    <w:tbl>
      <w:tblPr>
        <w:tblStyle w:val="Table7"/>
        <w:tblW w:w="93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96"/>
        <w:tblGridChange w:id="0">
          <w:tblGrid>
            <w:gridCol w:w="9396"/>
          </w:tblGrid>
        </w:tblGridChange>
      </w:tblGrid>
      <w:tr>
        <w:trPr>
          <w:cantSplit w:val="0"/>
          <w:tblHeader w:val="0"/>
        </w:trPr>
        <w:tc>
          <w:tcPr>
            <w:shd w:fill="fff7ed" w:val="clear"/>
          </w:tcPr>
          <w:p w:rsidR="00000000" w:rsidDel="00000000" w:rsidP="00000000" w:rsidRDefault="00000000" w:rsidRPr="00000000" w14:paraId="000000B8">
            <w:pPr>
              <w:spacing w:after="60" w:before="60" w:lineRule="auto"/>
              <w:rPr/>
            </w:pPr>
            <w:r w:rsidDel="00000000" w:rsidR="00000000" w:rsidRPr="00000000">
              <w:rPr>
                <w:color w:val="b45309"/>
                <w:sz w:val="20"/>
                <w:szCs w:val="20"/>
                <w:rtl w:val="0"/>
              </w:rPr>
              <w:t xml:space="preserve">Low-satisfaction employees (below 30%) leave at 48.8% — 4× the 11.7% rate of highly satisfied staff. Even high-performers leave when engagement is low.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60" w:before="200" w:lineRule="auto"/>
        <w:rPr/>
      </w:pPr>
      <w:r w:rsidDel="00000000" w:rsidR="00000000" w:rsidRPr="00000000">
        <w:rPr>
          <w:b w:val="1"/>
          <w:bCs w:val="1"/>
          <w:color w:val="1e3a5f"/>
          <w:rtl w:val="0"/>
        </w:rPr>
        <w:t xml:space="preserve">⚠  Salary Gap Creates Structural Risk</w:t>
      </w:r>
      <w:r w:rsidDel="00000000" w:rsidR="00000000" w:rsidRPr="00000000">
        <w:rPr>
          <w:rtl w:val="0"/>
        </w:rPr>
      </w:r>
    </w:p>
    <w:tbl>
      <w:tblPr>
        <w:tblStyle w:val="Table8"/>
        <w:tblW w:w="93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96"/>
        <w:tblGridChange w:id="0">
          <w:tblGrid>
            <w:gridCol w:w="9396"/>
          </w:tblGrid>
        </w:tblGridChange>
      </w:tblGrid>
      <w:tr>
        <w:trPr>
          <w:cantSplit w:val="0"/>
          <w:tblHeader w:val="0"/>
        </w:trPr>
        <w:tc>
          <w:tcPr>
            <w:shd w:fill="fff7ed" w:val="clear"/>
          </w:tcPr>
          <w:p w:rsidR="00000000" w:rsidDel="00000000" w:rsidP="00000000" w:rsidRDefault="00000000" w:rsidRPr="00000000" w14:paraId="000000BB">
            <w:pPr>
              <w:spacing w:after="60" w:before="60" w:lineRule="auto"/>
              <w:rPr/>
            </w:pPr>
            <w:r w:rsidDel="00000000" w:rsidR="00000000" w:rsidRPr="00000000">
              <w:rPr>
                <w:color w:val="b45309"/>
                <w:sz w:val="20"/>
                <w:szCs w:val="20"/>
                <w:rtl w:val="0"/>
              </w:rPr>
              <w:t xml:space="preserve">Low-salary employees leave at 29.7% vs 6.6% for high-salary — a 23pp gap. 48.8% of the workforce sits in this high-risk band.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60" w:before="200" w:lineRule="auto"/>
        <w:rPr/>
      </w:pPr>
      <w:r w:rsidDel="00000000" w:rsidR="00000000" w:rsidRPr="00000000">
        <w:rPr>
          <w:b w:val="1"/>
          <w:bCs w:val="1"/>
          <w:color w:val="1e3a5f"/>
          <w:rtl w:val="0"/>
        </w:rPr>
        <w:t xml:space="preserve">📌  Workload Extremes Drive Attrition Equally</w:t>
      </w:r>
      <w:r w:rsidDel="00000000" w:rsidR="00000000" w:rsidRPr="00000000">
        <w:rPr>
          <w:rtl w:val="0"/>
        </w:rPr>
      </w:r>
    </w:p>
    <w:tbl>
      <w:tblPr>
        <w:tblStyle w:val="Table9"/>
        <w:tblW w:w="93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96"/>
        <w:tblGridChange w:id="0">
          <w:tblGrid>
            <w:gridCol w:w="9396"/>
          </w:tblGrid>
        </w:tblGridChange>
      </w:tblGrid>
      <w:tr>
        <w:trPr>
          <w:cantSplit w:val="0"/>
          <w:tblHeader w:val="0"/>
        </w:trPr>
        <w:tc>
          <w:tcPr>
            <w:shd w:fill="eff6ff" w:val="clear"/>
          </w:tcPr>
          <w:p w:rsidR="00000000" w:rsidDel="00000000" w:rsidP="00000000" w:rsidRDefault="00000000" w:rsidRPr="00000000" w14:paraId="000000BE">
            <w:pPr>
              <w:spacing w:after="60" w:before="60" w:lineRule="auto"/>
              <w:rPr/>
            </w:pPr>
            <w:r w:rsidDel="00000000" w:rsidR="00000000" w:rsidRPr="00000000">
              <w:rPr>
                <w:color w:val="1d4ed8"/>
                <w:sz w:val="20"/>
                <w:szCs w:val="20"/>
                <w:rtl w:val="0"/>
              </w:rPr>
              <w:t xml:space="preserve">Both underloaded (≤160h: 36.3%) and overloaded (&gt;220h: 30.7%) employees show high attrition. Only the 160–220h band achieves healthy 3.5% retention.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60" w:before="200" w:lineRule="auto"/>
        <w:rPr/>
      </w:pPr>
      <w:r w:rsidDel="00000000" w:rsidR="00000000" w:rsidRPr="00000000">
        <w:rPr>
          <w:b w:val="1"/>
          <w:bCs w:val="1"/>
          <w:color w:val="1e3a5f"/>
          <w:rtl w:val="0"/>
        </w:rPr>
        <w:t xml:space="preserve">⚠  Promotion Rate is Critically Low</w:t>
      </w:r>
      <w:r w:rsidDel="00000000" w:rsidR="00000000" w:rsidRPr="00000000">
        <w:rPr>
          <w:rtl w:val="0"/>
        </w:rPr>
      </w:r>
    </w:p>
    <w:tbl>
      <w:tblPr>
        <w:tblStyle w:val="Table10"/>
        <w:tblW w:w="93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96"/>
        <w:tblGridChange w:id="0">
          <w:tblGrid>
            <w:gridCol w:w="9396"/>
          </w:tblGrid>
        </w:tblGridChange>
      </w:tblGrid>
      <w:tr>
        <w:trPr>
          <w:cantSplit w:val="0"/>
          <w:tblHeader w:val="0"/>
        </w:trPr>
        <w:tc>
          <w:tcPr>
            <w:shd w:fill="fff7ed" w:val="clear"/>
          </w:tcPr>
          <w:p w:rsidR="00000000" w:rsidDel="00000000" w:rsidP="00000000" w:rsidRDefault="00000000" w:rsidRPr="00000000" w14:paraId="000000C1">
            <w:pPr>
              <w:spacing w:after="60" w:before="60" w:lineRule="auto"/>
              <w:rPr/>
            </w:pPr>
            <w:r w:rsidDel="00000000" w:rsidR="00000000" w:rsidRPr="00000000">
              <w:rPr>
                <w:color w:val="b45309"/>
                <w:sz w:val="20"/>
                <w:szCs w:val="20"/>
                <w:rtl w:val="0"/>
              </w:rPr>
              <w:t xml:space="preserve">Only 2.1% promoted in 5 years. Promoted employees leave at 6.0% vs 24.2% for non-promoted — career stagnation is a powerful, preventable trigger.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60" w:before="200" w:lineRule="auto"/>
        <w:rPr/>
      </w:pPr>
      <w:r w:rsidDel="00000000" w:rsidR="00000000" w:rsidRPr="00000000">
        <w:rPr>
          <w:b w:val="1"/>
          <w:bCs w:val="1"/>
          <w:color w:val="1e3a5f"/>
          <w:rtl w:val="0"/>
        </w:rPr>
        <w:t xml:space="preserve">📌  Year-5 Tenure is the Peak Risk Point</w:t>
      </w:r>
      <w:r w:rsidDel="00000000" w:rsidR="00000000" w:rsidRPr="00000000">
        <w:rPr>
          <w:rtl w:val="0"/>
        </w:rPr>
      </w:r>
    </w:p>
    <w:tbl>
      <w:tblPr>
        <w:tblStyle w:val="Table11"/>
        <w:tblW w:w="93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96"/>
        <w:tblGridChange w:id="0">
          <w:tblGrid>
            <w:gridCol w:w="9396"/>
          </w:tblGrid>
        </w:tblGridChange>
      </w:tblGrid>
      <w:tr>
        <w:trPr>
          <w:cantSplit w:val="0"/>
          <w:tblHeader w:val="0"/>
        </w:trPr>
        <w:tc>
          <w:tcPr>
            <w:shd w:fill="eff6ff" w:val="clear"/>
          </w:tcPr>
          <w:p w:rsidR="00000000" w:rsidDel="00000000" w:rsidP="00000000" w:rsidRDefault="00000000" w:rsidRPr="00000000" w14:paraId="000000C4">
            <w:pPr>
              <w:spacing w:after="60" w:before="60" w:lineRule="auto"/>
              <w:rPr/>
            </w:pPr>
            <w:r w:rsidDel="00000000" w:rsidR="00000000" w:rsidRPr="00000000">
              <w:rPr>
                <w:color w:val="1d4ed8"/>
                <w:sz w:val="20"/>
                <w:szCs w:val="20"/>
                <w:rtl w:val="0"/>
              </w:rPr>
              <w:t xml:space="preserve">Attrition peaks at 56.6% at year 5, rising steeply from 24.6% at year 3. A structured mid-career review at year 4 is the key preventive lever.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Bdr>
          <w:bottom w:color="3b82f6" w:space="2" w:sz="6" w:val="single"/>
        </w:pBdr>
        <w:spacing w:after="80" w:before="320" w:lineRule="auto"/>
        <w:rPr/>
      </w:pPr>
      <w:r w:rsidDel="00000000" w:rsidR="00000000" w:rsidRPr="00000000">
        <w:rPr>
          <w:b w:val="1"/>
          <w:bCs w:val="1"/>
          <w:color w:val="1e3a5f"/>
          <w:sz w:val="24"/>
          <w:szCs w:val="24"/>
          <w:rtl w:val="0"/>
        </w:rPr>
        <w:t xml:space="preserve">6.  HR RECOMMENDATIONS</w:t>
      </w:r>
      <w:r w:rsidDel="00000000" w:rsidR="00000000" w:rsidRPr="00000000">
        <w:rPr>
          <w:rtl w:val="0"/>
        </w:rPr>
      </w:r>
    </w:p>
    <w:tbl>
      <w:tblPr>
        <w:tblStyle w:val="Table12"/>
        <w:tblW w:w="90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68"/>
        <w:gridCol w:w="3168"/>
        <w:gridCol w:w="2304"/>
        <w:gridCol w:w="2232"/>
        <w:tblGridChange w:id="0">
          <w:tblGrid>
            <w:gridCol w:w="1368"/>
            <w:gridCol w:w="3168"/>
            <w:gridCol w:w="2304"/>
            <w:gridCol w:w="2232"/>
          </w:tblGrid>
        </w:tblGridChange>
      </w:tblGrid>
      <w:tr>
        <w:trPr>
          <w:cantSplit w:val="0"/>
          <w:tblHeader w:val="0"/>
        </w:trPr>
        <w:tc>
          <w:tcPr>
            <w:shd w:fill="1e3a5f" w:val="clear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5f" w:val="clear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Recommendation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5f" w:val="clear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Data Basis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5f" w:val="clear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Expected Impact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color w:val="1f2328"/>
                <w:sz w:val="19"/>
                <w:szCs w:val="19"/>
                <w:rtl w:val="0"/>
              </w:rPr>
              <w:t xml:space="preserve">🔴 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color w:val="1f2328"/>
                <w:sz w:val="19"/>
                <w:szCs w:val="19"/>
                <w:rtl w:val="0"/>
              </w:rPr>
              <w:t xml:space="preserve">Salary review &amp; retention bonuses for low-salary cohort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color w:val="1f2328"/>
                <w:sz w:val="19"/>
                <w:szCs w:val="19"/>
                <w:rtl w:val="0"/>
              </w:rPr>
              <w:t xml:space="preserve">29.7% attrition in low band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color w:val="1f2328"/>
                <w:sz w:val="19"/>
                <w:szCs w:val="19"/>
                <w:rtl w:val="0"/>
              </w:rPr>
              <w:t xml:space="preserve">↓ 15–25% attrition in cohort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color w:val="1f2328"/>
                <w:sz w:val="19"/>
                <w:szCs w:val="19"/>
                <w:rtl w:val="0"/>
              </w:rPr>
              <w:t xml:space="preserve">🔴 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color w:val="1f2328"/>
                <w:sz w:val="19"/>
                <w:szCs w:val="19"/>
                <w:rtl w:val="0"/>
              </w:rPr>
              <w:t xml:space="preserve">Targeted engagement for HR &amp; Accounting departments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color w:val="1f2328"/>
                <w:sz w:val="19"/>
                <w:szCs w:val="19"/>
                <w:rtl w:val="0"/>
              </w:rPr>
              <w:t xml:space="preserve">HR 29.1%, Accounting 26.6%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color w:val="1f2328"/>
                <w:sz w:val="19"/>
                <w:szCs w:val="19"/>
                <w:rtl w:val="0"/>
              </w:rPr>
              <w:t xml:space="preserve">↓ 10–20% dept attrition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color w:val="1f2328"/>
                <w:sz w:val="19"/>
                <w:szCs w:val="19"/>
                <w:rtl w:val="0"/>
              </w:rPr>
              <w:t xml:space="preserve">🟠 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color w:val="1f2328"/>
                <w:sz w:val="19"/>
                <w:szCs w:val="19"/>
                <w:rtl w:val="0"/>
              </w:rPr>
              <w:t xml:space="preserve">Structured promotion paths; mid-career review at yr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color w:val="1f2328"/>
                <w:sz w:val="19"/>
                <w:szCs w:val="19"/>
                <w:rtl w:val="0"/>
              </w:rPr>
              <w:t xml:space="preserve">Promoted: 6% vs 24.2% (non)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color w:val="1f2328"/>
                <w:sz w:val="19"/>
                <w:szCs w:val="19"/>
                <w:rtl w:val="0"/>
              </w:rPr>
              <w:t xml:space="preserve">↓ 8–12% overall attrition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color w:val="1f2328"/>
                <w:sz w:val="19"/>
                <w:szCs w:val="19"/>
                <w:rtl w:val="0"/>
              </w:rPr>
              <w:t xml:space="preserve">🟠 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color w:val="1f2328"/>
                <w:sz w:val="19"/>
                <w:szCs w:val="19"/>
                <w:rtl w:val="0"/>
              </w:rPr>
              <w:t xml:space="preserve">Workload rebalancing — enforce 160–220h optimal band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color w:val="1f2328"/>
                <w:sz w:val="19"/>
                <w:szCs w:val="19"/>
                <w:rtl w:val="0"/>
              </w:rPr>
              <w:t xml:space="preserve">Overloaded: 30.7% attrition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color w:val="1f2328"/>
                <w:sz w:val="19"/>
                <w:szCs w:val="19"/>
                <w:rtl w:val="0"/>
              </w:rPr>
              <w:t xml:space="preserve">↓ 10–15% overloaded cohort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color w:val="1f2328"/>
                <w:sz w:val="19"/>
                <w:szCs w:val="19"/>
                <w:rtl w:val="0"/>
              </w:rPr>
              <w:t xml:space="preserve">🟡 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color w:val="1f2328"/>
                <w:sz w:val="19"/>
                <w:szCs w:val="19"/>
                <w:rtl w:val="0"/>
              </w:rPr>
              <w:t xml:space="preserve">Stay interviews &amp; personalised engagement at yr 3–5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color w:val="1f2328"/>
                <w:sz w:val="19"/>
                <w:szCs w:val="19"/>
                <w:rtl w:val="0"/>
              </w:rPr>
              <w:t xml:space="preserve">Attrition peaks yr 5 at 56.6%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color w:val="1f2328"/>
                <w:sz w:val="19"/>
                <w:szCs w:val="19"/>
                <w:rtl w:val="0"/>
              </w:rPr>
              <w:t xml:space="preserve">Pre-empt the yr-5 spike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color w:val="1f2328"/>
                <w:sz w:val="19"/>
                <w:szCs w:val="19"/>
                <w:rtl w:val="0"/>
              </w:rPr>
              <w:t xml:space="preserve">🟡 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color w:val="1f2328"/>
                <w:sz w:val="19"/>
                <w:szCs w:val="19"/>
                <w:rtl w:val="0"/>
              </w:rPr>
              <w:t xml:space="preserve">Optimal project assignment: 3–4 projects per employee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color w:val="1f2328"/>
                <w:sz w:val="19"/>
                <w:szCs w:val="19"/>
                <w:rtl w:val="0"/>
              </w:rPr>
              <w:t xml:space="preserve">2 projects: 65.6%; 7: 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color w:val="1f2328"/>
                <w:sz w:val="19"/>
                <w:szCs w:val="19"/>
                <w:rtl w:val="0"/>
              </w:rPr>
              <w:t xml:space="preserve">↓ attrition in project extremes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color w:val="1f2328"/>
                <w:sz w:val="19"/>
                <w:szCs w:val="19"/>
                <w:rtl w:val="0"/>
              </w:rPr>
              <w:t xml:space="preserve">🟢 Ongoing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color w:val="1f2328"/>
                <w:sz w:val="19"/>
                <w:szCs w:val="19"/>
                <w:rtl w:val="0"/>
              </w:rPr>
              <w:t xml:space="preserve">Quarterly pulse surveys for real-time satisfaction tracking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color w:val="1f2328"/>
                <w:sz w:val="19"/>
                <w:szCs w:val="19"/>
                <w:rtl w:val="0"/>
              </w:rPr>
              <w:t xml:space="preserve">Satisfaction: primary driver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color w:val="1f2328"/>
                <w:sz w:val="19"/>
                <w:szCs w:val="19"/>
                <w:rtl w:val="0"/>
              </w:rPr>
              <w:t xml:space="preserve">Early warning system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3">
      <w:pPr>
        <w:pBdr>
          <w:bottom w:color="3b82f6" w:space="2" w:sz="6" w:val="single"/>
        </w:pBdr>
        <w:spacing w:after="80" w:before="320" w:lineRule="auto"/>
        <w:rPr>
          <w:b w:val="1"/>
          <w:bCs w:val="1"/>
          <w:color w:val="1e3a5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Bdr>
          <w:bottom w:color="3b82f6" w:space="2" w:sz="6" w:val="single"/>
        </w:pBdr>
        <w:spacing w:after="80" w:before="320" w:lineRule="auto"/>
        <w:rPr/>
      </w:pPr>
      <w:r w:rsidDel="00000000" w:rsidR="00000000" w:rsidRPr="00000000">
        <w:rPr>
          <w:b w:val="1"/>
          <w:bCs w:val="1"/>
          <w:color w:val="1e3a5f"/>
          <w:sz w:val="24"/>
          <w:szCs w:val="24"/>
          <w:rtl w:val="0"/>
        </w:rPr>
        <w:t xml:space="preserve">7.  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00" w:before="20" w:lineRule="auto"/>
        <w:rPr/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This analysis of 14,999 HR records confirms that the organisation's 23.8% attrition rate is driven by four interconnected factors: low satisfaction, inadequate compensation, workload extremes, and stagnated career progression. These are not independent problems — they compound: an underpaid employee with heavy workload and no promotion prospect is almost certain to leave.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00" w:before="20" w:lineRule="auto"/>
        <w:rPr/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The good news is that these are addressable. The analysis shows that promoted employees, correctly loaded employees (160–220h), and high-salary employees all exhibit low attrition. The organisation already has a proven retention formula — it needs to apply it more broadly.</w:t>
      </w:r>
      <w:r w:rsidDel="00000000" w:rsidR="00000000" w:rsidRPr="00000000">
        <w:rPr>
          <w:rtl w:val="0"/>
        </w:rPr>
      </w:r>
    </w:p>
    <w:tbl>
      <w:tblPr>
        <w:tblStyle w:val="Table13"/>
        <w:tblW w:w="93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96"/>
        <w:tblGridChange w:id="0">
          <w:tblGrid>
            <w:gridCol w:w="9396"/>
          </w:tblGrid>
        </w:tblGridChange>
      </w:tblGrid>
      <w:tr>
        <w:trPr>
          <w:cantSplit w:val="0"/>
          <w:tblHeader w:val="0"/>
        </w:trPr>
        <w:tc>
          <w:tcPr>
            <w:shd w:fill="eff6ff" w:val="clear"/>
          </w:tcPr>
          <w:p w:rsidR="00000000" w:rsidDel="00000000" w:rsidP="00000000" w:rsidRDefault="00000000" w:rsidRPr="00000000" w14:paraId="000000F7">
            <w:pPr>
              <w:spacing w:after="60" w:before="60" w:lineRule="auto"/>
              <w:rPr/>
            </w:pPr>
            <w:r w:rsidDel="00000000" w:rsidR="00000000" w:rsidRPr="00000000">
              <w:rPr>
                <w:color w:val="1d4ed8"/>
                <w:sz w:val="20"/>
                <w:szCs w:val="20"/>
                <w:rtl w:val="0"/>
              </w:rPr>
              <w:t xml:space="preserve">Priority Action: Address the compensation gap for the 48.8% low-salary cohort first. This single intervention has the largest potential attrition reduction and affects nearly half the workforce (7,316 employees).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jc w:val="center"/>
        <w:rPr/>
      </w:pPr>
      <w:r w:rsidDel="00000000" w:rsidR="00000000" w:rsidRPr="00000000">
        <w:rPr>
          <w:i w:val="1"/>
          <w:iCs w:val="1"/>
          <w:color w:val="475569"/>
          <w:sz w:val="18"/>
          <w:szCs w:val="18"/>
          <w:rtl w:val="0"/>
        </w:rPr>
        <w:t xml:space="preserve">HR Employee Analytics  ·  Yashovardhan Singh </w:t>
      </w:r>
      <w:r w:rsidDel="00000000" w:rsidR="00000000" w:rsidRPr="00000000">
        <w:rPr>
          <w:rtl w:val="0"/>
        </w:rPr>
      </w:r>
    </w:p>
    <w:sectPr>
      <w:footerReference r:id="rId12" w:type="default"/>
      <w:pgSz w:h="15840" w:w="12240" w:orient="portrait"/>
      <w:pgMar w:bottom="1247" w:top="1247" w:left="1417" w:right="141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475569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4.png"/><Relationship Id="rId12" Type="http://schemas.openxmlformats.org/officeDocument/2006/relationships/footer" Target="footer1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