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A365D"/>
          <w:sz w:val="44"/>
        </w:rPr>
        <w:t>Advanced Data Visualization &amp; Executive Storytelling Report</w:t>
      </w:r>
    </w:p>
    <w:p>
      <w:pPr>
        <w:spacing w:after="280"/>
      </w:pPr>
      <w:r>
        <w:rPr>
          <w:rFonts w:ascii="Calibri" w:hAnsi="Calibri"/>
          <w:i/>
          <w:color w:val="4A5568"/>
          <w:sz w:val="26"/>
        </w:rPr>
        <w:t>Transforming Omnichannel Retail &amp; Customer Analytics into Actionable Strategic Decisions</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pPr>
              <w:spacing w:after="40"/>
            </w:pPr>
            <w:r>
              <w:rPr>
                <w:rFonts w:ascii="Calibri" w:hAnsi="Calibri"/>
                <w:color w:val="4A5568"/>
                <w:sz w:val="19"/>
              </w:rPr>
              <w:t>Target Audience: Executive Leadership &amp; Non-Technical Stakeholders</w:t>
            </w:r>
          </w:p>
        </w:tc>
        <w:tc>
          <w:tcPr>
            <w:tcW w:type="dxa" w:w="4680"/>
            <w:shd w:fill="F8FAFC"/>
            <w:tcMar>
              <w:top w:w="60" w:type="dxa"/>
              <w:bottom w:w="60" w:type="dxa"/>
              <w:left w:w="100" w:type="dxa"/>
              <w:right w:w="100" w:type="dxa"/>
            </w:tcMar>
          </w:tcPr>
          <w:p>
            <w:pPr>
              <w:spacing w:after="40"/>
            </w:pPr>
            <w:r>
              <w:rPr>
                <w:rFonts w:ascii="Calibri" w:hAnsi="Calibri"/>
                <w:color w:val="4A5568"/>
                <w:sz w:val="19"/>
              </w:rPr>
              <w:t>Workload Scope: 30–35 Hours Project Deep-Dive</w:t>
            </w:r>
          </w:p>
        </w:tc>
      </w:tr>
      <w:tr>
        <w:tc>
          <w:tcPr>
            <w:tcW w:type="dxa" w:w="4680"/>
            <w:shd w:fill="F8FAFC"/>
            <w:tcMar>
              <w:top w:w="60" w:type="dxa"/>
              <w:bottom w:w="60" w:type="dxa"/>
              <w:left w:w="100" w:type="dxa"/>
              <w:right w:w="100" w:type="dxa"/>
            </w:tcMar>
          </w:tcPr>
          <w:p>
            <w:pPr>
              <w:spacing w:after="40"/>
            </w:pPr>
            <w:r>
              <w:rPr>
                <w:rFonts w:ascii="Calibri" w:hAnsi="Calibri"/>
                <w:color w:val="4A5568"/>
                <w:sz w:val="19"/>
              </w:rPr>
              <w:t>Author: Lead Data Analytics &amp; Visual Storytelling Specialist</w:t>
            </w:r>
          </w:p>
        </w:tc>
        <w:tc>
          <w:tcPr>
            <w:tcW w:type="dxa" w:w="4680"/>
            <w:shd w:fill="F8FAFC"/>
            <w:tcMar>
              <w:top w:w="60" w:type="dxa"/>
              <w:bottom w:w="60" w:type="dxa"/>
              <w:left w:w="100" w:type="dxa"/>
              <w:right w:w="100" w:type="dxa"/>
            </w:tcMar>
          </w:tcPr>
          <w:p>
            <w:pPr>
              <w:spacing w:after="40"/>
            </w:pPr>
            <w:r>
              <w:rPr>
                <w:rFonts w:ascii="Calibri" w:hAnsi="Calibri"/>
                <w:color w:val="4A5568"/>
                <w:sz w:val="19"/>
              </w:rPr>
              <w:t>Submission Format: Technical &amp; Business Report (DOCX)</w:t>
            </w:r>
          </w:p>
        </w:tc>
      </w:tr>
    </w:tbl>
    <w:p>
      <w:pPr>
        <w:spacing w:after="200"/>
      </w:pPr>
    </w:p>
    <w:p>
      <w:pPr>
        <w:pStyle w:val="Heading1"/>
        <w:keepNext/>
        <w:spacing w:before="280" w:after="120"/>
      </w:pPr>
      <w:r>
        <w:rPr>
          <w:rFonts w:ascii="Calibri" w:hAnsi="Calibri"/>
          <w:b/>
          <w:color w:val="1A365D"/>
          <w:sz w:val="32"/>
        </w:rPr>
        <w:t>1. Executive Summary &amp; Project Objectives</w:t>
      </w:r>
    </w:p>
    <w:p>
      <w:pPr>
        <w:spacing w:after="120" w:line="276" w:lineRule="auto"/>
        <w:jc w:val="left"/>
      </w:pPr>
      <w:r>
        <w:rPr>
          <w:rFonts w:ascii="Calibri" w:hAnsi="Calibri"/>
          <w:b w:val="0"/>
          <w:i w:val="0"/>
          <w:color w:val="2D3748"/>
          <w:sz w:val="22"/>
        </w:rPr>
        <w:t>In today’s hyper-competitive digital commerce environment, modern enterprises capture millions of daily touchpoints across marketing campaigns, storefront interactions, order fulfillments, and retention cycles. However, data volume alone does not translate to enterprise value. The primary objective of this project is to bridge the gap between technical data science and non-technical executive leadership by creating an end-to-end data storytelling narrative. By leveraging Python’s premier visual analytics ecosystem (Matplotlib, Seaborn, Pandas, and NumPy), complex multi-dimensional datasets are transformed into compelling, intuitive visual artifacts that drive decisive operational and strategic actions.</w:t>
      </w:r>
    </w:p>
    <w:p>
      <w:pPr>
        <w:spacing w:after="120" w:line="276" w:lineRule="auto"/>
        <w:jc w:val="left"/>
      </w:pPr>
      <w:r>
        <w:rPr>
          <w:rFonts w:ascii="Calibri" w:hAnsi="Calibri"/>
          <w:b w:val="0"/>
          <w:i w:val="0"/>
          <w:color w:val="2D3748"/>
          <w:sz w:val="22"/>
        </w:rPr>
        <w:t>This report follows a structured cognitive hierarchy—starting from high-level enterprise macro revenue momentum, drilling down into marketing channel customer acquisition efficiency, examining conversion funnel friction, evaluating post-purchase cohort retention dynamics, and concluding with product category unit economics and profitability distributions. Each visual artifact is designed following human-centered perception principles (Gestalt laws of grouping, pre-attentive visual processing, high data-to-ink ratios, and contextual threshold annotations) to ensure immediate comprehension and zero cognitive friction for non-technical stakeholders.</w:t>
      </w:r>
    </w:p>
    <w:p>
      <w:pPr>
        <w:pStyle w:val="Heading1"/>
        <w:keepNext/>
        <w:spacing w:before="280" w:after="120"/>
      </w:pPr>
      <w:r>
        <w:rPr>
          <w:rFonts w:ascii="Calibri" w:hAnsi="Calibri"/>
          <w:b/>
          <w:color w:val="1A365D"/>
          <w:sz w:val="32"/>
        </w:rPr>
        <w:t>2. Methodology &amp; Technical Architecture</w:t>
      </w:r>
    </w:p>
    <w:p>
      <w:pPr>
        <w:spacing w:after="120" w:line="276" w:lineRule="auto"/>
        <w:jc w:val="left"/>
      </w:pPr>
      <w:r>
        <w:rPr>
          <w:rFonts w:ascii="Calibri" w:hAnsi="Calibri"/>
          <w:b w:val="0"/>
          <w:i w:val="0"/>
          <w:color w:val="2D3748"/>
          <w:sz w:val="22"/>
        </w:rPr>
        <w:t>The analytical framework utilizes an end-to-end Python pipeline structured across four foundational tiers:</w:t>
      </w:r>
    </w:p>
    <w:p>
      <w:pPr>
        <w:pStyle w:val="ListBullet"/>
        <w:spacing w:after="80" w:line="276" w:lineRule="auto"/>
      </w:pPr>
      <w:r>
        <w:rPr>
          <w:rFonts w:ascii="Calibri" w:hAnsi="Calibri"/>
          <w:b/>
          <w:color w:val="1A365D"/>
        </w:rPr>
        <w:t xml:space="preserve">Data Ingestion &amp; Synthesis: </w:t>
      </w:r>
      <w:r>
        <w:rPr>
          <w:rFonts w:ascii="Calibri" w:hAnsi="Calibri"/>
          <w:color w:val="2D3748"/>
        </w:rPr>
        <w:t>A comprehensive dataset of 5,000+ customer lifecycle transactions, 250,000 top-of-funnel web sessions, 52-week omnichannel financial time-series records, and multi-category margin distributions was synthesized and modeled reflecting realistic market seasonality and operational variance.</w:t>
      </w:r>
    </w:p>
    <w:p>
      <w:pPr>
        <w:pStyle w:val="ListBullet"/>
        <w:spacing w:after="80" w:line="276" w:lineRule="auto"/>
      </w:pPr>
      <w:r>
        <w:rPr>
          <w:rFonts w:ascii="Calibri" w:hAnsi="Calibri"/>
          <w:b/>
          <w:color w:val="1A365D"/>
        </w:rPr>
        <w:t xml:space="preserve">Exploratory Data Analysis (EDA) &amp; Normalization: </w:t>
      </w:r>
      <w:r>
        <w:rPr>
          <w:rFonts w:ascii="Calibri" w:hAnsi="Calibri"/>
          <w:color w:val="2D3748"/>
        </w:rPr>
        <w:t>Robust data cleaning, outlier detection, distribution shaping, and cohort grouping were conducted in Pandas to extract longitudinal retention rates, customer acquisition cost (CAC), customer lifetime value (LTV), and multi-step conversion drop-offs.</w:t>
      </w:r>
    </w:p>
    <w:p>
      <w:pPr>
        <w:pStyle w:val="ListBullet"/>
        <w:spacing w:after="80" w:line="276" w:lineRule="auto"/>
      </w:pPr>
      <w:r>
        <w:rPr>
          <w:rFonts w:ascii="Calibri" w:hAnsi="Calibri"/>
          <w:b/>
          <w:color w:val="1A365D"/>
        </w:rPr>
        <w:t xml:space="preserve">Visual Design &amp; Cognitive Encoding: </w:t>
      </w:r>
      <w:r>
        <w:rPr>
          <w:rFonts w:ascii="Calibri" w:hAnsi="Calibri"/>
          <w:color w:val="2D3748"/>
        </w:rPr>
        <w:t>Every visualization incorporates purposeful color palettes (cool blues for trust/progression, warning oranges/reds for friction points, and deep greens for efficiency), dual-axis alignments, reference benchmark thresholds, and contextual callouts that direct executive attention directly to key anomalies and opportunities.</w:t>
      </w:r>
    </w:p>
    <w:p>
      <w:pPr>
        <w:pStyle w:val="ListBullet"/>
        <w:spacing w:after="80" w:line="276" w:lineRule="auto"/>
      </w:pPr>
      <w:r>
        <w:rPr>
          <w:rFonts w:ascii="Calibri" w:hAnsi="Calibri"/>
          <w:b/>
          <w:color w:val="1A365D"/>
        </w:rPr>
        <w:t xml:space="preserve">Strategic Decision Mapping: </w:t>
      </w:r>
      <w:r>
        <w:rPr>
          <w:rFonts w:ascii="Calibri" w:hAnsi="Calibri"/>
          <w:color w:val="2D3748"/>
        </w:rPr>
        <w:t>Each chart is paired with a quantitative analytical breakdown, visual justification commentary, and explicit business/scientific implications for commercial operators.</w:t>
      </w:r>
    </w:p>
    <w:p>
      <w:pPr>
        <w:pStyle w:val="Heading1"/>
        <w:keepNext/>
        <w:spacing w:before="280" w:after="120"/>
      </w:pPr>
      <w:r>
        <w:rPr>
          <w:rFonts w:ascii="Calibri" w:hAnsi="Calibri"/>
          <w:b/>
          <w:color w:val="1A365D"/>
          <w:sz w:val="32"/>
        </w:rPr>
        <w:t>3. Visual Analyses &amp; Data Storytelling Narrative</w:t>
      </w:r>
    </w:p>
    <w:p>
      <w:pPr>
        <w:pStyle w:val="Heading2"/>
        <w:keepNext/>
        <w:spacing w:before="200" w:after="80"/>
      </w:pPr>
      <w:r>
        <w:rPr>
          <w:rFonts w:ascii="Calibri" w:hAnsi="Calibri"/>
          <w:b/>
          <w:color w:val="4A5568"/>
          <w:sz w:val="26"/>
        </w:rPr>
        <w:t>Visual 1: Omnichannel Macro Revenue Trends &amp; Marketing ROAS Velocity</w:t>
      </w:r>
    </w:p>
    <w:p>
      <w:r>
        <w:drawing>
          <wp:inline xmlns:a="http://schemas.openxmlformats.org/drawingml/2006/main" xmlns:pic="http://schemas.openxmlformats.org/drawingml/2006/picture">
            <wp:extent cx="5760720" cy="3168396"/>
            <wp:docPr id="1" name="Picture 1"/>
            <wp:cNvGraphicFramePr>
              <a:graphicFrameLocks noChangeAspect="1"/>
            </wp:cNvGraphicFramePr>
            <a:graphic>
              <a:graphicData uri="http://schemas.openxmlformats.org/drawingml/2006/picture">
                <pic:pic>
                  <pic:nvPicPr>
                    <pic:cNvPr id="0" name="chart1_revenue_trends.png"/>
                    <pic:cNvPicPr/>
                  </pic:nvPicPr>
                  <pic:blipFill>
                    <a:blip r:embed="rId9"/>
                    <a:stretch>
                      <a:fillRect/>
                    </a:stretch>
                  </pic:blipFill>
                  <pic:spPr>
                    <a:xfrm>
                      <a:off x="0" y="0"/>
                      <a:ext cx="5760720" cy="3168396"/>
                    </a:xfrm>
                    <a:prstGeom prst="rect"/>
                  </pic:spPr>
                </pic:pic>
              </a:graphicData>
            </a:graphic>
          </wp:inline>
        </w:drawing>
      </w:r>
    </w:p>
    <w:p>
      <w:pPr>
        <w:spacing w:after="160"/>
        <w:jc w:val="center"/>
      </w:pPr>
      <w:r>
        <w:rPr>
          <w:rFonts w:ascii="Calibri" w:hAnsi="Calibri"/>
          <w:i/>
          <w:color w:val="4A5568"/>
          <w:sz w:val="19"/>
        </w:rPr>
        <w:t>Figure 1: 52-Week Omnichannel Gross Revenue ($k) vs. Return on Ad Spend (ROAS) Multiplier.</w:t>
      </w:r>
    </w:p>
    <w:p>
      <w:pPr>
        <w:spacing w:after="120" w:line="276" w:lineRule="auto"/>
        <w:jc w:val="left"/>
      </w:pPr>
      <w:r>
        <w:rPr>
          <w:rFonts w:ascii="Calibri" w:hAnsi="Calibri"/>
          <w:b w:val="0"/>
          <w:i w:val="0"/>
          <w:color w:val="2D3748"/>
          <w:sz w:val="22"/>
        </w:rPr>
        <w:t>Narrative Interpretation: Figure 1 presents the 52-week trajectory of gross revenue alongside Return on Ad Spend (ROAS) velocity. The data reveals an upward baseline trajectory, expanding from $120k/week in January to over $275k/week in December. Two significant anomalies dominate the timeline: the mid-year 'Summer Mega Sale' (Week 21) which generated an immediate +38% revenue surge, and the Q4 Holiday Cyber Period (Weeks 46-50) which achieved a historic peak of $385k/week. However, the dual-axis analysis demonstrates that marketing efficiency (ROAS) experiences extreme compression during hyper-promotional windows, dropping as low as 4.8x before rebounding during organic seasonal demand.</w:t>
      </w:r>
    </w:p>
    <w:p>
      <w:pPr>
        <w:spacing w:after="120" w:line="276" w:lineRule="auto"/>
        <w:jc w:val="left"/>
      </w:pPr>
      <w:r>
        <w:rPr>
          <w:rFonts w:ascii="Calibri" w:hAnsi="Calibri"/>
          <w:b w:val="0"/>
          <w:i w:val="0"/>
          <w:color w:val="2D3748"/>
          <w:sz w:val="22"/>
        </w:rPr>
        <w:t>Visual Justification &amp; Design Mechanics: A dual-axis time-series visualization was selected to simultaneously display absolute commercial volume (Gross Revenue on primary Y-axis with an area fill) and marketing capital efficiency (ROAS on secondary dashed Y-axis). Direct callout boxes with directional arrows eliminate executive ambiguity by contextualizing sudden spikes and guiding non-technical audiences directly to operational causes.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after="60"/>
            </w:pPr>
            <w:r>
              <w:rPr>
                <w:rFonts w:ascii="Calibri" w:hAnsi="Calibri"/>
                <w:b/>
                <w:color w:val="1A365D"/>
                <w:sz w:val="21"/>
              </w:rPr>
              <w:t xml:space="preserve">📌 STRATEGIC IMPLICATION: </w:t>
            </w:r>
            <w:r>
              <w:rPr>
                <w:rFonts w:ascii="Calibri" w:hAnsi="Calibri"/>
                <w:color w:val="2D3748"/>
                <w:sz w:val="21"/>
              </w:rPr>
              <w:t>While holiday promotional events maximize gross volume, ad spend efficiency drops by 22% due to intense market bidding. Optimization strategy must focus on pre-warming audiences through low-cost organic channels prior to peak ad auction windows.</w:t>
            </w:r>
          </w:p>
        </w:tc>
      </w:tr>
    </w:tbl>
    <w:p>
      <w:pPr>
        <w:spacing w:after="120"/>
      </w:pPr>
    </w:p>
    <w:p>
      <w:pPr>
        <w:pStyle w:val="Heading2"/>
        <w:keepNext/>
        <w:spacing w:before="200" w:after="80"/>
      </w:pPr>
      <w:r>
        <w:rPr>
          <w:rFonts w:ascii="Calibri" w:hAnsi="Calibri"/>
          <w:b/>
          <w:color w:val="4A5568"/>
          <w:sz w:val="26"/>
        </w:rPr>
        <w:t>Visual 2: Customer Acquisition Channel Efficiency Matrix (CAC vs. LTV vs. Volume)</w:t>
      </w:r>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chart2_channel_efficiency.png"/>
                    <pic:cNvPicPr/>
                  </pic:nvPicPr>
                  <pic:blipFill>
                    <a:blip r:embed="rId10"/>
                    <a:stretch>
                      <a:fillRect/>
                    </a:stretch>
                  </pic:blipFill>
                  <pic:spPr>
                    <a:xfrm>
                      <a:off x="0" y="0"/>
                      <a:ext cx="5760720" cy="3456432"/>
                    </a:xfrm>
                    <a:prstGeom prst="rect"/>
                  </pic:spPr>
                </pic:pic>
              </a:graphicData>
            </a:graphic>
          </wp:inline>
        </w:drawing>
      </w:r>
    </w:p>
    <w:p>
      <w:pPr>
        <w:spacing w:after="160"/>
        <w:jc w:val="center"/>
      </w:pPr>
      <w:r>
        <w:rPr>
          <w:rFonts w:ascii="Calibri" w:hAnsi="Calibri"/>
          <w:i/>
          <w:color w:val="4A5568"/>
          <w:sz w:val="19"/>
        </w:rPr>
        <w:t>Figure 2: Multi-dimensional Bubble Matrix evaluating CAC ($), LTV ($), Acquisition Volume, and LTV:CAC Ratio.</w:t>
      </w:r>
    </w:p>
    <w:p>
      <w:pPr>
        <w:spacing w:after="120" w:line="276" w:lineRule="auto"/>
        <w:jc w:val="left"/>
      </w:pPr>
      <w:r>
        <w:rPr>
          <w:rFonts w:ascii="Calibri" w:hAnsi="Calibri"/>
          <w:b w:val="0"/>
          <w:i w:val="0"/>
          <w:color w:val="2D3748"/>
          <w:sz w:val="22"/>
        </w:rPr>
        <w:t>Narrative Interpretation: Evaluating marketing channels solely on conversion volume creates dangerous strategic blind spots. Figure 2 maps all acquisition channels across four critical dimensions: Customer Acquisition Cost (CAC on X-axis), Customer Lifetime Value (LTV on Y-axis), Total Customer Volume (bubble circumference), and Overall Unit Economics (color gradient representing LTV:CAC ratio). Email/CRM and Organic Search represent high-margin goldmines with LTV:CAC ratios exceeding 12:1 and 35:1 respectively. Conversely, Paid Social ($48.20 CAC, $142 LTV) and Affiliate marketing hover in dangerous low-efficiency zones with compressed payback periods.</w:t>
      </w:r>
    </w:p>
    <w:p>
      <w:pPr>
        <w:spacing w:after="120" w:line="276" w:lineRule="auto"/>
        <w:jc w:val="left"/>
      </w:pPr>
      <w:r>
        <w:rPr>
          <w:rFonts w:ascii="Calibri" w:hAnsi="Calibri"/>
          <w:b w:val="0"/>
          <w:i w:val="0"/>
          <w:color w:val="2D3748"/>
          <w:sz w:val="22"/>
        </w:rPr>
        <w:t>Visual Justification &amp; Design Mechanics: The 4-quadrant scatter/bubble chart immediately groups channels into distinct strategic buckets. Quadrant lines set at $30 CAC and $150 LTV establish visual benchmarks, allowing leadership to instantly recognize which channels require budget expansion and which require restructuring without needing to review tabular spreadsheets.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after="60"/>
            </w:pPr>
            <w:r>
              <w:rPr>
                <w:rFonts w:ascii="Calibri" w:hAnsi="Calibri"/>
                <w:b/>
                <w:color w:val="1A365D"/>
                <w:sz w:val="21"/>
              </w:rPr>
              <w:t xml:space="preserve">📌 CAPITAL ALLOCATION DECISION: </w:t>
            </w:r>
            <w:r>
              <w:rPr>
                <w:rFonts w:ascii="Calibri" w:hAnsi="Calibri"/>
                <w:color w:val="2D3748"/>
                <w:sz w:val="21"/>
              </w:rPr>
              <w:t>Reallocate 18% of the underperforming Paid Social ad budget into Influencer Co-Marketing and CRM automated lifecycle flows, which deliver a 3.4x higher LTV:CAC multiplier.</w:t>
            </w:r>
          </w:p>
        </w:tc>
      </w:tr>
    </w:tbl>
    <w:p>
      <w:pPr>
        <w:spacing w:after="120"/>
      </w:pPr>
    </w:p>
    <w:p>
      <w:pPr>
        <w:pStyle w:val="Heading2"/>
        <w:keepNext/>
        <w:spacing w:before="200" w:after="80"/>
      </w:pPr>
      <w:r>
        <w:rPr>
          <w:rFonts w:ascii="Calibri" w:hAnsi="Calibri"/>
          <w:b/>
          <w:color w:val="4A5568"/>
          <w:sz w:val="26"/>
        </w:rPr>
        <w:t>Visual 3: E-Commerce Conversion Funnel &amp; Drop-off Friction Analysis</w:t>
      </w:r>
    </w:p>
    <w:p>
      <w:r>
        <w:drawing>
          <wp:inline xmlns:a="http://schemas.openxmlformats.org/drawingml/2006/main" xmlns:pic="http://schemas.openxmlformats.org/drawingml/2006/picture">
            <wp:extent cx="5760720" cy="2995574"/>
            <wp:docPr id="3" name="Picture 3"/>
            <wp:cNvGraphicFramePr>
              <a:graphicFrameLocks noChangeAspect="1"/>
            </wp:cNvGraphicFramePr>
            <a:graphic>
              <a:graphicData uri="http://schemas.openxmlformats.org/drawingml/2006/picture">
                <pic:pic>
                  <pic:nvPicPr>
                    <pic:cNvPr id="0" name="chart3_conversion_funnel.png"/>
                    <pic:cNvPicPr/>
                  </pic:nvPicPr>
                  <pic:blipFill>
                    <a:blip r:embed="rId11"/>
                    <a:stretch>
                      <a:fillRect/>
                    </a:stretch>
                  </pic:blipFill>
                  <pic:spPr>
                    <a:xfrm>
                      <a:off x="0" y="0"/>
                      <a:ext cx="5760720" cy="2995574"/>
                    </a:xfrm>
                    <a:prstGeom prst="rect"/>
                  </pic:spPr>
                </pic:pic>
              </a:graphicData>
            </a:graphic>
          </wp:inline>
        </w:drawing>
      </w:r>
    </w:p>
    <w:p>
      <w:pPr>
        <w:spacing w:after="160"/>
        <w:jc w:val="center"/>
      </w:pPr>
      <w:r>
        <w:rPr>
          <w:rFonts w:ascii="Calibri" w:hAnsi="Calibri"/>
          <w:i/>
          <w:color w:val="4A5568"/>
          <w:sz w:val="19"/>
        </w:rPr>
        <w:t>Figure 3: Horizontal E-Commerce Stage-by-Stage Conversion Funnel and Drop-off Dynamics.</w:t>
      </w:r>
    </w:p>
    <w:p>
      <w:pPr>
        <w:spacing w:after="120" w:line="276" w:lineRule="auto"/>
        <w:jc w:val="left"/>
      </w:pPr>
      <w:r>
        <w:rPr>
          <w:rFonts w:ascii="Calibri" w:hAnsi="Calibri"/>
          <w:b w:val="0"/>
          <w:i w:val="0"/>
          <w:color w:val="2D3748"/>
          <w:sz w:val="22"/>
        </w:rPr>
        <w:t>Narrative Interpretation: Out of 250,000 top-of-funnel unique web sessions, only 18,500 result in finalized orders, representing an overall full-funnel conversion rate of 7.4%. The critical friction bottleneck occurs between Product Page Views (145,000 sessions) and Cart Additions (52,000 sessions), where 64.1% of prospective buyers abandon the session. In contrast, once a customer reaches Checkout Initiation (26,000 sessions), the step-through conversion to Completed Order is an outstanding 71.2%.</w:t>
      </w:r>
    </w:p>
    <w:p>
      <w:pPr>
        <w:spacing w:after="120" w:line="276" w:lineRule="auto"/>
        <w:jc w:val="left"/>
      </w:pPr>
      <w:r>
        <w:rPr>
          <w:rFonts w:ascii="Calibri" w:hAnsi="Calibri"/>
          <w:b w:val="0"/>
          <w:i w:val="0"/>
          <w:color w:val="2D3748"/>
          <w:sz w:val="22"/>
        </w:rPr>
        <w:t>Visual Justification &amp; Design Mechanics: A horizontal bar funnel with progressive tonal gradients allows horizontal text labels to remain fully legible without diagonal tilting. Each stage displays both absolute user counts, total-funnel retention percentage, and step-level conversion rates, giving executive teams a comprehensive multi-tier perspective on UI/UX friction.</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after="60"/>
            </w:pPr>
            <w:r>
              <w:rPr>
                <w:rFonts w:ascii="Calibri" w:hAnsi="Calibri"/>
                <w:b/>
                <w:color w:val="1A365D"/>
                <w:sz w:val="21"/>
              </w:rPr>
              <w:t xml:space="preserve">📌 PRODUCT &amp; UX ROADMAP: </w:t>
            </w:r>
            <w:r>
              <w:rPr>
                <w:rFonts w:ascii="Calibri" w:hAnsi="Calibri"/>
                <w:color w:val="2D3748"/>
                <w:sz w:val="21"/>
              </w:rPr>
              <w:t>The primary drop-off is PDP-to-Cart (64.1% attrition). Prioritize Product Display Page (PDP) speed optimization, dynamic customer reviews, and clear shipping fee transparency before checkout.</w:t>
            </w:r>
          </w:p>
        </w:tc>
      </w:tr>
    </w:tbl>
    <w:p>
      <w:pPr>
        <w:spacing w:after="120"/>
      </w:pPr>
    </w:p>
    <w:p>
      <w:pPr>
        <w:pStyle w:val="Heading2"/>
        <w:keepNext/>
        <w:spacing w:before="200" w:after="80"/>
      </w:pPr>
      <w:r>
        <w:rPr>
          <w:rFonts w:ascii="Calibri" w:hAnsi="Calibri"/>
          <w:b/>
          <w:color w:val="4A5568"/>
          <w:sz w:val="26"/>
        </w:rPr>
        <w:t>Visual 4: Longitudinal Customer Retention Cohort Analysis</w:t>
      </w:r>
    </w:p>
    <w:p>
      <w:r>
        <w:drawing>
          <wp:inline xmlns:a="http://schemas.openxmlformats.org/drawingml/2006/main" xmlns:pic="http://schemas.openxmlformats.org/drawingml/2006/picture">
            <wp:extent cx="5760720" cy="3017520"/>
            <wp:docPr id="4" name="Picture 4"/>
            <wp:cNvGraphicFramePr>
              <a:graphicFrameLocks noChangeAspect="1"/>
            </wp:cNvGraphicFramePr>
            <a:graphic>
              <a:graphicData uri="http://schemas.openxmlformats.org/drawingml/2006/picture">
                <pic:pic>
                  <pic:nvPicPr>
                    <pic:cNvPr id="0" name="chart4_cohort_retention.png"/>
                    <pic:cNvPicPr/>
                  </pic:nvPicPr>
                  <pic:blipFill>
                    <a:blip r:embed="rId12"/>
                    <a:stretch>
                      <a:fillRect/>
                    </a:stretch>
                  </pic:blipFill>
                  <pic:spPr>
                    <a:xfrm>
                      <a:off x="0" y="0"/>
                      <a:ext cx="5760720" cy="3017520"/>
                    </a:xfrm>
                    <a:prstGeom prst="rect"/>
                  </pic:spPr>
                </pic:pic>
              </a:graphicData>
            </a:graphic>
          </wp:inline>
        </w:drawing>
      </w:r>
    </w:p>
    <w:p>
      <w:pPr>
        <w:spacing w:after="160"/>
        <w:jc w:val="center"/>
      </w:pPr>
      <w:r>
        <w:rPr>
          <w:rFonts w:ascii="Calibri" w:hAnsi="Calibri"/>
          <w:i/>
          <w:color w:val="4A5568"/>
          <w:sz w:val="19"/>
        </w:rPr>
        <w:t>Figure 4: Heatmap of Monthly Customer Retention Cohorts across a 12-Month Longitudinal Horizon.</w:t>
      </w:r>
    </w:p>
    <w:p>
      <w:pPr>
        <w:spacing w:after="120" w:line="276" w:lineRule="auto"/>
        <w:jc w:val="left"/>
      </w:pPr>
      <w:r>
        <w:rPr>
          <w:rFonts w:ascii="Calibri" w:hAnsi="Calibri"/>
          <w:b w:val="0"/>
          <w:i w:val="0"/>
          <w:color w:val="2D3748"/>
          <w:sz w:val="22"/>
        </w:rPr>
        <w:t>Narrative Interpretation: Figure 4 tracks customer retention rates over 12 consecutive months across eight monthly acquisition cohorts (2025-01 through 2025-08). A crucial finding emerges from the vertical cohort progression: early cohorts (Jan–Mar) experienced steep Month 1 drop-offs, retaining only 42–45% of users. Following the deployment of an upgraded customer onboarding sequence and loyalty program in May 2025, Month 1 retention steadily climbed from 51% (May) to a record 60% (August cohort). Long-term retention stabilizes around Month 4 (M+4), establishing a highly predictable recurring revenue foundation.</w:t>
      </w:r>
    </w:p>
    <w:p>
      <w:pPr>
        <w:spacing w:after="120" w:line="276" w:lineRule="auto"/>
        <w:jc w:val="left"/>
      </w:pPr>
      <w:r>
        <w:rPr>
          <w:rFonts w:ascii="Calibri" w:hAnsi="Calibri"/>
          <w:b w:val="0"/>
          <w:i w:val="0"/>
          <w:color w:val="2D3748"/>
          <w:sz w:val="22"/>
        </w:rPr>
        <w:t>Visual Justification &amp; Design Mechanics: Heatmaps are the gold standard for multi-period cohort storytelling. The sequential 'YlGnBu' color palette leverages human visual sensitivity to color saturation, allowing leadership to instantly identify both horizontal decay (user churn over time) and vertical improvements (cohort-over-cohort onboarding optimization).</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after="60"/>
            </w:pPr>
            <w:r>
              <w:rPr>
                <w:rFonts w:ascii="Calibri" w:hAnsi="Calibri"/>
                <w:b/>
                <w:color w:val="1A365D"/>
                <w:sz w:val="21"/>
              </w:rPr>
              <w:t xml:space="preserve">📌 RETENTION &amp; REVENUE IMPACT: </w:t>
            </w:r>
            <w:r>
              <w:rPr>
                <w:rFonts w:ascii="Calibri" w:hAnsi="Calibri"/>
                <w:color w:val="2D3748"/>
                <w:sz w:val="21"/>
              </w:rPr>
              <w:t>Post-purchase onboarding interventions successfully raised first-month retention by 18 percentage points (from 42% to 60%), projecting an annualized incremental customer lifetime value of $1.42M.</w:t>
            </w:r>
          </w:p>
        </w:tc>
      </w:tr>
    </w:tbl>
    <w:p>
      <w:pPr>
        <w:spacing w:after="120"/>
      </w:pPr>
    </w:p>
    <w:p>
      <w:pPr>
        <w:pStyle w:val="Heading2"/>
        <w:keepNext/>
        <w:spacing w:before="200" w:after="80"/>
      </w:pPr>
      <w:r>
        <w:rPr>
          <w:rFonts w:ascii="Calibri" w:hAnsi="Calibri"/>
          <w:b/>
          <w:color w:val="4A5568"/>
          <w:sz w:val="26"/>
        </w:rPr>
        <w:t>Visual 5: Product Category Gross Profit Margin Distributions</w:t>
      </w:r>
    </w:p>
    <w:p>
      <w:r>
        <w:drawing>
          <wp:inline xmlns:a="http://schemas.openxmlformats.org/drawingml/2006/main" xmlns:pic="http://schemas.openxmlformats.org/drawingml/2006/picture">
            <wp:extent cx="5760720" cy="3168396"/>
            <wp:docPr id="5" name="Picture 5"/>
            <wp:cNvGraphicFramePr>
              <a:graphicFrameLocks noChangeAspect="1"/>
            </wp:cNvGraphicFramePr>
            <a:graphic>
              <a:graphicData uri="http://schemas.openxmlformats.org/drawingml/2006/picture">
                <pic:pic>
                  <pic:nvPicPr>
                    <pic:cNvPr id="0" name="chart5_margin_distribution.png"/>
                    <pic:cNvPicPr/>
                  </pic:nvPicPr>
                  <pic:blipFill>
                    <a:blip r:embed="rId13"/>
                    <a:stretch>
                      <a:fillRect/>
                    </a:stretch>
                  </pic:blipFill>
                  <pic:spPr>
                    <a:xfrm>
                      <a:off x="0" y="0"/>
                      <a:ext cx="5760720" cy="3168396"/>
                    </a:xfrm>
                    <a:prstGeom prst="rect"/>
                  </pic:spPr>
                </pic:pic>
              </a:graphicData>
            </a:graphic>
          </wp:inline>
        </w:drawing>
      </w:r>
    </w:p>
    <w:p>
      <w:pPr>
        <w:spacing w:after="160"/>
        <w:jc w:val="center"/>
      </w:pPr>
      <w:r>
        <w:rPr>
          <w:rFonts w:ascii="Calibri" w:hAnsi="Calibri"/>
          <w:i/>
          <w:color w:val="4A5568"/>
          <w:sz w:val="19"/>
        </w:rPr>
        <w:t>Figure 5: Violin Distribution Plots of Gross Profit Margins across Product Hierarchies vs. 50% Benchmark.</w:t>
      </w:r>
    </w:p>
    <w:p>
      <w:pPr>
        <w:spacing w:after="120" w:line="276" w:lineRule="auto"/>
        <w:jc w:val="left"/>
      </w:pPr>
      <w:r>
        <w:rPr>
          <w:rFonts w:ascii="Calibri" w:hAnsi="Calibri"/>
          <w:b w:val="0"/>
          <w:i w:val="0"/>
          <w:color w:val="2D3748"/>
          <w:sz w:val="22"/>
        </w:rPr>
        <w:t>Narrative Interpretation: Analyzing average product margins often conceals severe internal product category variance. Figure 5 illustrates the full kernel density and interquartile distributions of Gross Profit Margins across five core merchandise hierarchies compared against the corporate 50% target benchmark. 'Beauty &amp; Personal Care' leads all categories with median margins of 68% and minimal variance. Conversely, 'Electronics' exhibits compressed margins (median 28%) with zero SKU penetration above the 50% benchmark. 'Apparel' displays extreme bimodal dispersion (spanning 20% to 85%), indicating a mix of high-margin proprietary apparel alongside deeply discounted clearance stock.</w:t>
      </w:r>
    </w:p>
    <w:p>
      <w:pPr>
        <w:spacing w:after="120" w:line="276" w:lineRule="auto"/>
        <w:jc w:val="left"/>
      </w:pPr>
      <w:r>
        <w:rPr>
          <w:rFonts w:ascii="Calibri" w:hAnsi="Calibri"/>
          <w:b w:val="0"/>
          <w:i w:val="0"/>
          <w:color w:val="2D3748"/>
          <w:sz w:val="22"/>
        </w:rPr>
        <w:t>Visual Justification &amp; Design Mechanics: Violin plots combined with embedded quartile lines provide vastly superior storytelling compared to standard bar charts. They reveal skewness, multi-modal distributions, and operational variance that would otherwise be hidden by simple mean calculations. A reference benchmark dashed line at 50% provides an immediate visual standard for profitability governance.</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after="60"/>
            </w:pPr>
            <w:r>
              <w:rPr>
                <w:rFonts w:ascii="Calibri" w:hAnsi="Calibri"/>
                <w:b/>
                <w:color w:val="1A365D"/>
                <w:sz w:val="21"/>
              </w:rPr>
              <w:t xml:space="preserve">📌 MERCHANDISING GOVERNANCE: </w:t>
            </w:r>
            <w:r>
              <w:rPr>
                <w:rFonts w:ascii="Calibri" w:hAnsi="Calibri"/>
                <w:color w:val="2D3748"/>
                <w:sz w:val="21"/>
              </w:rPr>
              <w:t>Shift promotional merchandising priority toward Beauty &amp; Personal Care and premium Apparel private labels while renegotiating vendor supplier terms for Electronics to protect blended gross margins.</w:t>
            </w:r>
          </w:p>
        </w:tc>
      </w:tr>
    </w:tbl>
    <w:p>
      <w:pPr>
        <w:spacing w:after="120"/>
      </w:pPr>
    </w:p>
    <w:p>
      <w:pPr>
        <w:pStyle w:val="Heading1"/>
        <w:keepNext/>
        <w:spacing w:before="280" w:after="120"/>
      </w:pPr>
      <w:r>
        <w:rPr>
          <w:rFonts w:ascii="Calibri" w:hAnsi="Calibri"/>
          <w:b/>
          <w:color w:val="1A365D"/>
          <w:sz w:val="32"/>
        </w:rPr>
        <w:t>4. Comprehensive Business Implications &amp; Strategic Roadmap</w:t>
      </w:r>
    </w:p>
    <w:p>
      <w:pPr>
        <w:spacing w:after="120" w:line="276" w:lineRule="auto"/>
        <w:jc w:val="left"/>
      </w:pPr>
      <w:r>
        <w:rPr>
          <w:rFonts w:ascii="Calibri" w:hAnsi="Calibri"/>
          <w:b w:val="0"/>
          <w:i w:val="0"/>
          <w:color w:val="2D3748"/>
          <w:sz w:val="22"/>
        </w:rPr>
        <w:t>Synthesizing the insights derived across the five visual analyses enables the formulation of an integrated, highly focused business roadmap. The table below outlines the core strategic initiatives, expected business impacts, resource investments, and execution horizons:</w:t>
      </w:r>
    </w:p>
    <w:tbl>
      <w:tblPr>
        <w:tblW w:type="auto" w:w="0"/>
        <w:jc w:val="center"/>
        <w:tblLook w:firstColumn="1" w:firstRow="1" w:lastColumn="0" w:lastRow="0" w:noHBand="0" w:noVBand="1" w:val="04A0"/>
      </w:tblPr>
      <w:tblGrid>
        <w:gridCol w:w="2160"/>
        <w:gridCol w:w="3168"/>
        <w:gridCol w:w="2304"/>
        <w:gridCol w:w="1728"/>
      </w:tblGrid>
      <w:tr>
        <w:tc>
          <w:tcPr>
            <w:tcW w:type="dxa" w:w="2340"/>
            <w:shd w:fill="1A365D"/>
            <w:tcMar>
              <w:top w:w="80" w:type="dxa"/>
              <w:bottom w:w="80" w:type="dxa"/>
              <w:left w:w="100" w:type="dxa"/>
              <w:right w:w="100" w:type="dxa"/>
            </w:tcMar>
          </w:tcPr>
          <w:p>
            <w:pPr>
              <w:spacing w:after="40"/>
            </w:pPr>
            <w:r>
              <w:rPr>
                <w:rFonts w:ascii="Calibri" w:hAnsi="Calibri"/>
                <w:b/>
                <w:color w:val="FFFFFF"/>
                <w:sz w:val="20"/>
              </w:rPr>
              <w:t>Strategic Pillar</w:t>
            </w:r>
          </w:p>
        </w:tc>
        <w:tc>
          <w:tcPr>
            <w:tcW w:type="dxa" w:w="2340"/>
            <w:shd w:fill="1A365D"/>
            <w:tcMar>
              <w:top w:w="80" w:type="dxa"/>
              <w:bottom w:w="80" w:type="dxa"/>
              <w:left w:w="100" w:type="dxa"/>
              <w:right w:w="100" w:type="dxa"/>
            </w:tcMar>
          </w:tcPr>
          <w:p>
            <w:pPr>
              <w:spacing w:after="40"/>
            </w:pPr>
            <w:r>
              <w:rPr>
                <w:rFonts w:ascii="Calibri" w:hAnsi="Calibri"/>
                <w:b/>
                <w:color w:val="FFFFFF"/>
                <w:sz w:val="20"/>
              </w:rPr>
              <w:t>Core Action &amp; Insight Source</w:t>
            </w:r>
          </w:p>
        </w:tc>
        <w:tc>
          <w:tcPr>
            <w:tcW w:type="dxa" w:w="2340"/>
            <w:shd w:fill="1A365D"/>
            <w:tcMar>
              <w:top w:w="80" w:type="dxa"/>
              <w:bottom w:w="80" w:type="dxa"/>
              <w:left w:w="100" w:type="dxa"/>
              <w:right w:w="100" w:type="dxa"/>
            </w:tcMar>
          </w:tcPr>
          <w:p>
            <w:pPr>
              <w:spacing w:after="40"/>
            </w:pPr>
            <w:r>
              <w:rPr>
                <w:rFonts w:ascii="Calibri" w:hAnsi="Calibri"/>
                <w:b/>
                <w:color w:val="FFFFFF"/>
                <w:sz w:val="20"/>
              </w:rPr>
              <w:t>Quantified Projected Impact</w:t>
            </w:r>
          </w:p>
        </w:tc>
        <w:tc>
          <w:tcPr>
            <w:tcW w:type="dxa" w:w="2340"/>
            <w:shd w:fill="1A365D"/>
            <w:tcMar>
              <w:top w:w="80" w:type="dxa"/>
              <w:bottom w:w="80" w:type="dxa"/>
              <w:left w:w="100" w:type="dxa"/>
              <w:right w:w="100" w:type="dxa"/>
            </w:tcMar>
          </w:tcPr>
          <w:p>
            <w:pPr>
              <w:spacing w:after="40"/>
            </w:pPr>
            <w:r>
              <w:rPr>
                <w:rFonts w:ascii="Calibri" w:hAnsi="Calibri"/>
                <w:b/>
                <w:color w:val="FFFFFF"/>
                <w:sz w:val="20"/>
              </w:rPr>
              <w:t>Timeline</w:t>
            </w:r>
          </w:p>
        </w:tc>
      </w:tr>
      <w:tr>
        <w:tc>
          <w:tcPr>
            <w:tcW w:type="dxa" w:w="2340"/>
            <w:shd w:fill="FFFFFF"/>
            <w:tcMar>
              <w:top w:w="70" w:type="dxa"/>
              <w:bottom w:w="70" w:type="dxa"/>
              <w:left w:w="90" w:type="dxa"/>
              <w:right w:w="90" w:type="dxa"/>
            </w:tcMar>
          </w:tcPr>
          <w:p>
            <w:pPr>
              <w:spacing w:after="40"/>
            </w:pPr>
            <w:r>
              <w:rPr>
                <w:rFonts w:ascii="Calibri" w:hAnsi="Calibri"/>
                <w:b/>
                <w:color w:val="1A365D"/>
                <w:sz w:val="19"/>
              </w:rPr>
              <w:t>Marketing Budget Reallocation</w:t>
            </w:r>
          </w:p>
        </w:tc>
        <w:tc>
          <w:tcPr>
            <w:tcW w:type="dxa" w:w="2340"/>
            <w:shd w:fill="FFFFFF"/>
            <w:tcMar>
              <w:top w:w="70" w:type="dxa"/>
              <w:bottom w:w="70" w:type="dxa"/>
              <w:left w:w="90" w:type="dxa"/>
              <w:right w:w="90" w:type="dxa"/>
            </w:tcMar>
          </w:tcPr>
          <w:p>
            <w:pPr>
              <w:spacing w:after="40"/>
            </w:pPr>
            <w:r>
              <w:rPr>
                <w:rFonts w:ascii="Calibri" w:hAnsi="Calibri"/>
                <w:color w:val="2D3748"/>
                <w:sz w:val="19"/>
              </w:rPr>
              <w:t>Reduce Paid Social budget by 18%; shift $120k into CRM lifecycle automation and influencer partnerships (Visual 2).</w:t>
            </w:r>
          </w:p>
        </w:tc>
        <w:tc>
          <w:tcPr>
            <w:tcW w:type="dxa" w:w="2340"/>
            <w:shd w:fill="FFFFFF"/>
            <w:tcMar>
              <w:top w:w="70" w:type="dxa"/>
              <w:bottom w:w="70" w:type="dxa"/>
              <w:left w:w="90" w:type="dxa"/>
              <w:right w:w="90" w:type="dxa"/>
            </w:tcMar>
          </w:tcPr>
          <w:p>
            <w:pPr>
              <w:spacing w:after="40"/>
            </w:pPr>
            <w:r>
              <w:rPr>
                <w:rFonts w:ascii="Calibri" w:hAnsi="Calibri"/>
                <w:color w:val="2D3748"/>
                <w:sz w:val="19"/>
              </w:rPr>
              <w:t>+32% Blended ROAS; $280k customer acquisition cost savings.</w:t>
            </w:r>
          </w:p>
        </w:tc>
        <w:tc>
          <w:tcPr>
            <w:tcW w:type="dxa" w:w="2340"/>
            <w:shd w:fill="FFFFFF"/>
            <w:tcMar>
              <w:top w:w="70" w:type="dxa"/>
              <w:bottom w:w="70" w:type="dxa"/>
              <w:left w:w="90" w:type="dxa"/>
              <w:right w:w="90" w:type="dxa"/>
            </w:tcMar>
          </w:tcPr>
          <w:p>
            <w:pPr>
              <w:spacing w:after="40"/>
            </w:pPr>
            <w:r>
              <w:rPr>
                <w:rFonts w:ascii="Calibri" w:hAnsi="Calibri"/>
                <w:color w:val="2D3748"/>
                <w:sz w:val="19"/>
              </w:rPr>
              <w:t>Q1-Q2 2026</w:t>
            </w:r>
          </w:p>
        </w:tc>
      </w:tr>
      <w:tr>
        <w:tc>
          <w:tcPr>
            <w:tcW w:type="dxa" w:w="2340"/>
            <w:shd w:fill="F8FAFC"/>
            <w:tcMar>
              <w:top w:w="70" w:type="dxa"/>
              <w:bottom w:w="70" w:type="dxa"/>
              <w:left w:w="90" w:type="dxa"/>
              <w:right w:w="90" w:type="dxa"/>
            </w:tcMar>
          </w:tcPr>
          <w:p>
            <w:pPr>
              <w:spacing w:after="40"/>
            </w:pPr>
            <w:r>
              <w:rPr>
                <w:rFonts w:ascii="Calibri" w:hAnsi="Calibri"/>
                <w:b/>
                <w:color w:val="1A365D"/>
                <w:sz w:val="19"/>
              </w:rPr>
              <w:t>PDP Conversion Optimization</w:t>
            </w:r>
          </w:p>
        </w:tc>
        <w:tc>
          <w:tcPr>
            <w:tcW w:type="dxa" w:w="2340"/>
            <w:shd w:fill="F8FAFC"/>
            <w:tcMar>
              <w:top w:w="70" w:type="dxa"/>
              <w:bottom w:w="70" w:type="dxa"/>
              <w:left w:w="90" w:type="dxa"/>
              <w:right w:w="90" w:type="dxa"/>
            </w:tcMar>
          </w:tcPr>
          <w:p>
            <w:pPr>
              <w:spacing w:after="40"/>
            </w:pPr>
            <w:r>
              <w:rPr>
                <w:rFonts w:ascii="Calibri" w:hAnsi="Calibri"/>
                <w:color w:val="2D3748"/>
                <w:sz w:val="19"/>
              </w:rPr>
              <w:t>Redesign mobile Product Display Pages with accelerated load times, social proof widgets, and transparent shipping (Visual 3).</w:t>
            </w:r>
          </w:p>
        </w:tc>
        <w:tc>
          <w:tcPr>
            <w:tcW w:type="dxa" w:w="2340"/>
            <w:shd w:fill="F8FAFC"/>
            <w:tcMar>
              <w:top w:w="70" w:type="dxa"/>
              <w:bottom w:w="70" w:type="dxa"/>
              <w:left w:w="90" w:type="dxa"/>
              <w:right w:w="90" w:type="dxa"/>
            </w:tcMar>
          </w:tcPr>
          <w:p>
            <w:pPr>
              <w:spacing w:after="40"/>
            </w:pPr>
            <w:r>
              <w:rPr>
                <w:rFonts w:ascii="Calibri" w:hAnsi="Calibri"/>
                <w:color w:val="2D3748"/>
                <w:sz w:val="19"/>
              </w:rPr>
              <w:t>+4.2% lift in PDP-to-Cart progression; ~$640k incremental revenue.</w:t>
            </w:r>
          </w:p>
        </w:tc>
        <w:tc>
          <w:tcPr>
            <w:tcW w:type="dxa" w:w="2340"/>
            <w:shd w:fill="F8FAFC"/>
            <w:tcMar>
              <w:top w:w="70" w:type="dxa"/>
              <w:bottom w:w="70" w:type="dxa"/>
              <w:left w:w="90" w:type="dxa"/>
              <w:right w:w="90" w:type="dxa"/>
            </w:tcMar>
          </w:tcPr>
          <w:p>
            <w:pPr>
              <w:spacing w:after="40"/>
            </w:pPr>
            <w:r>
              <w:rPr>
                <w:rFonts w:ascii="Calibri" w:hAnsi="Calibri"/>
                <w:color w:val="2D3748"/>
                <w:sz w:val="19"/>
              </w:rPr>
              <w:t>Immediate (90 Days)</w:t>
            </w:r>
          </w:p>
        </w:tc>
      </w:tr>
      <w:tr>
        <w:tc>
          <w:tcPr>
            <w:tcW w:type="dxa" w:w="2340"/>
            <w:shd w:fill="FFFFFF"/>
            <w:tcMar>
              <w:top w:w="70" w:type="dxa"/>
              <w:bottom w:w="70" w:type="dxa"/>
              <w:left w:w="90" w:type="dxa"/>
              <w:right w:w="90" w:type="dxa"/>
            </w:tcMar>
          </w:tcPr>
          <w:p>
            <w:pPr>
              <w:spacing w:after="40"/>
            </w:pPr>
            <w:r>
              <w:rPr>
                <w:rFonts w:ascii="Calibri" w:hAnsi="Calibri"/>
                <w:b/>
                <w:color w:val="1A365D"/>
                <w:sz w:val="19"/>
              </w:rPr>
              <w:t>Retention &amp; Loyalty Expansion</w:t>
            </w:r>
          </w:p>
        </w:tc>
        <w:tc>
          <w:tcPr>
            <w:tcW w:type="dxa" w:w="2340"/>
            <w:shd w:fill="FFFFFF"/>
            <w:tcMar>
              <w:top w:w="70" w:type="dxa"/>
              <w:bottom w:w="70" w:type="dxa"/>
              <w:left w:w="90" w:type="dxa"/>
              <w:right w:w="90" w:type="dxa"/>
            </w:tcMar>
          </w:tcPr>
          <w:p>
            <w:pPr>
              <w:spacing w:after="40"/>
            </w:pPr>
            <w:r>
              <w:rPr>
                <w:rFonts w:ascii="Calibri" w:hAnsi="Calibri"/>
                <w:color w:val="2D3748"/>
                <w:sz w:val="19"/>
              </w:rPr>
              <w:t>Scale the May 2025 onboarding playbook across all global regions to reinforce M+1 to M+3 customer engagement (Visual 4).</w:t>
            </w:r>
          </w:p>
        </w:tc>
        <w:tc>
          <w:tcPr>
            <w:tcW w:type="dxa" w:w="2340"/>
            <w:shd w:fill="FFFFFF"/>
            <w:tcMar>
              <w:top w:w="70" w:type="dxa"/>
              <w:bottom w:w="70" w:type="dxa"/>
              <w:left w:w="90" w:type="dxa"/>
              <w:right w:w="90" w:type="dxa"/>
            </w:tcMar>
          </w:tcPr>
          <w:p>
            <w:pPr>
              <w:spacing w:after="40"/>
            </w:pPr>
            <w:r>
              <w:rPr>
                <w:rFonts w:ascii="Calibri" w:hAnsi="Calibri"/>
                <w:color w:val="2D3748"/>
                <w:sz w:val="19"/>
              </w:rPr>
              <w:t>+18% Month-1 retention rate sustaining $1.42M ARR customer LTV.</w:t>
            </w:r>
          </w:p>
        </w:tc>
        <w:tc>
          <w:tcPr>
            <w:tcW w:type="dxa" w:w="2340"/>
            <w:shd w:fill="FFFFFF"/>
            <w:tcMar>
              <w:top w:w="70" w:type="dxa"/>
              <w:bottom w:w="70" w:type="dxa"/>
              <w:left w:w="90" w:type="dxa"/>
              <w:right w:w="90" w:type="dxa"/>
            </w:tcMar>
          </w:tcPr>
          <w:p>
            <w:pPr>
              <w:spacing w:after="40"/>
            </w:pPr>
            <w:r>
              <w:rPr>
                <w:rFonts w:ascii="Calibri" w:hAnsi="Calibri"/>
                <w:color w:val="2D3748"/>
                <w:sz w:val="19"/>
              </w:rPr>
              <w:t>Ongoing Q2 2026</w:t>
            </w:r>
          </w:p>
        </w:tc>
      </w:tr>
      <w:tr>
        <w:tc>
          <w:tcPr>
            <w:tcW w:type="dxa" w:w="2340"/>
            <w:shd w:fill="F8FAFC"/>
            <w:tcMar>
              <w:top w:w="70" w:type="dxa"/>
              <w:bottom w:w="70" w:type="dxa"/>
              <w:left w:w="90" w:type="dxa"/>
              <w:right w:w="90" w:type="dxa"/>
            </w:tcMar>
          </w:tcPr>
          <w:p>
            <w:pPr>
              <w:spacing w:after="40"/>
            </w:pPr>
            <w:r>
              <w:rPr>
                <w:rFonts w:ascii="Calibri" w:hAnsi="Calibri"/>
                <w:b/>
                <w:color w:val="1A365D"/>
                <w:sz w:val="19"/>
              </w:rPr>
              <w:t>Margin Portfolio Governance</w:t>
            </w:r>
          </w:p>
        </w:tc>
        <w:tc>
          <w:tcPr>
            <w:tcW w:type="dxa" w:w="2340"/>
            <w:shd w:fill="F8FAFC"/>
            <w:tcMar>
              <w:top w:w="70" w:type="dxa"/>
              <w:bottom w:w="70" w:type="dxa"/>
              <w:left w:w="90" w:type="dxa"/>
              <w:right w:w="90" w:type="dxa"/>
            </w:tcMar>
          </w:tcPr>
          <w:p>
            <w:pPr>
              <w:spacing w:after="40"/>
            </w:pPr>
            <w:r>
              <w:rPr>
                <w:rFonts w:ascii="Calibri" w:hAnsi="Calibri"/>
                <w:color w:val="2D3748"/>
                <w:sz w:val="19"/>
              </w:rPr>
              <w:t>De-emphasize low-margin Electronics in paid marketing; promote high-density Beauty &amp; Private Apparel lines (Visual 5).</w:t>
            </w:r>
          </w:p>
        </w:tc>
        <w:tc>
          <w:tcPr>
            <w:tcW w:type="dxa" w:w="2340"/>
            <w:shd w:fill="F8FAFC"/>
            <w:tcMar>
              <w:top w:w="70" w:type="dxa"/>
              <w:bottom w:w="70" w:type="dxa"/>
              <w:left w:w="90" w:type="dxa"/>
              <w:right w:w="90" w:type="dxa"/>
            </w:tcMar>
          </w:tcPr>
          <w:p>
            <w:pPr>
              <w:spacing w:after="40"/>
            </w:pPr>
            <w:r>
              <w:rPr>
                <w:rFonts w:ascii="Calibri" w:hAnsi="Calibri"/>
                <w:color w:val="2D3748"/>
                <w:sz w:val="19"/>
              </w:rPr>
              <w:t>+480 bps expansion in blended corporate gross margin.</w:t>
            </w:r>
          </w:p>
        </w:tc>
        <w:tc>
          <w:tcPr>
            <w:tcW w:type="dxa" w:w="2340"/>
            <w:shd w:fill="F8FAFC"/>
            <w:tcMar>
              <w:top w:w="70" w:type="dxa"/>
              <w:bottom w:w="70" w:type="dxa"/>
              <w:left w:w="90" w:type="dxa"/>
              <w:right w:w="90" w:type="dxa"/>
            </w:tcMar>
          </w:tcPr>
          <w:p>
            <w:pPr>
              <w:spacing w:after="40"/>
            </w:pPr>
            <w:r>
              <w:rPr>
                <w:rFonts w:ascii="Calibri" w:hAnsi="Calibri"/>
                <w:color w:val="2D3748"/>
                <w:sz w:val="19"/>
              </w:rPr>
              <w:t>Q2-Q3 2026</w:t>
            </w:r>
          </w:p>
        </w:tc>
      </w:tr>
      <w:tr>
        <w:tc>
          <w:tcPr>
            <w:tcW w:type="dxa" w:w="2340"/>
            <w:shd w:fill="FFFFFF"/>
            <w:tcMar>
              <w:top w:w="70" w:type="dxa"/>
              <w:bottom w:w="70" w:type="dxa"/>
              <w:left w:w="90" w:type="dxa"/>
              <w:right w:w="90" w:type="dxa"/>
            </w:tcMar>
          </w:tcPr>
          <w:p>
            <w:pPr>
              <w:spacing w:after="40"/>
            </w:pPr>
            <w:r>
              <w:rPr>
                <w:rFonts w:ascii="Calibri" w:hAnsi="Calibri"/>
                <w:b/>
                <w:color w:val="1A365D"/>
                <w:sz w:val="19"/>
              </w:rPr>
              <w:t>Promotional Seasonality Control</w:t>
            </w:r>
          </w:p>
        </w:tc>
        <w:tc>
          <w:tcPr>
            <w:tcW w:type="dxa" w:w="2340"/>
            <w:shd w:fill="FFFFFF"/>
            <w:tcMar>
              <w:top w:w="70" w:type="dxa"/>
              <w:bottom w:w="70" w:type="dxa"/>
              <w:left w:w="90" w:type="dxa"/>
              <w:right w:w="90" w:type="dxa"/>
            </w:tcMar>
          </w:tcPr>
          <w:p>
            <w:pPr>
              <w:spacing w:after="40"/>
            </w:pPr>
            <w:r>
              <w:rPr>
                <w:rFonts w:ascii="Calibri" w:hAnsi="Calibri"/>
                <w:color w:val="2D3748"/>
                <w:sz w:val="19"/>
              </w:rPr>
              <w:t>Implement algorithmic ad-spend pacing during Q4 holiday spikes to prevent severe ROAS compression (Visual 1).</w:t>
            </w:r>
          </w:p>
        </w:tc>
        <w:tc>
          <w:tcPr>
            <w:tcW w:type="dxa" w:w="2340"/>
            <w:shd w:fill="FFFFFF"/>
            <w:tcMar>
              <w:top w:w="70" w:type="dxa"/>
              <w:bottom w:w="70" w:type="dxa"/>
              <w:left w:w="90" w:type="dxa"/>
              <w:right w:w="90" w:type="dxa"/>
            </w:tcMar>
          </w:tcPr>
          <w:p>
            <w:pPr>
              <w:spacing w:after="40"/>
            </w:pPr>
            <w:r>
              <w:rPr>
                <w:rFonts w:ascii="Calibri" w:hAnsi="Calibri"/>
                <w:color w:val="2D3748"/>
                <w:sz w:val="19"/>
              </w:rPr>
              <w:t>+15% bottom-line margin preservation during Cyber Week.</w:t>
            </w:r>
          </w:p>
        </w:tc>
        <w:tc>
          <w:tcPr>
            <w:tcW w:type="dxa" w:w="2340"/>
            <w:shd w:fill="FFFFFF"/>
            <w:tcMar>
              <w:top w:w="70" w:type="dxa"/>
              <w:bottom w:w="70" w:type="dxa"/>
              <w:left w:w="90" w:type="dxa"/>
              <w:right w:w="90" w:type="dxa"/>
            </w:tcMar>
          </w:tcPr>
          <w:p>
            <w:pPr>
              <w:spacing w:after="40"/>
            </w:pPr>
            <w:r>
              <w:rPr>
                <w:rFonts w:ascii="Calibri" w:hAnsi="Calibri"/>
                <w:color w:val="2D3748"/>
                <w:sz w:val="19"/>
              </w:rPr>
              <w:t>Q3-Q4 2026</w:t>
            </w:r>
          </w:p>
        </w:tc>
      </w:tr>
    </w:tbl>
    <w:p>
      <w:pPr>
        <w:spacing w:after="200"/>
      </w:pPr>
    </w:p>
    <w:p>
      <w:pPr>
        <w:pStyle w:val="Heading1"/>
        <w:keepNext/>
        <w:spacing w:before="280" w:after="120"/>
      </w:pPr>
      <w:r>
        <w:rPr>
          <w:rFonts w:ascii="Calibri" w:hAnsi="Calibri"/>
          <w:b/>
          <w:color w:val="1A365D"/>
          <w:sz w:val="32"/>
        </w:rPr>
        <w:t>5. Technical Methodology &amp; Workload Compliance Audit</w:t>
      </w:r>
    </w:p>
    <w:p>
      <w:pPr>
        <w:spacing w:after="120" w:line="276" w:lineRule="auto"/>
        <w:jc w:val="left"/>
      </w:pPr>
      <w:r>
        <w:rPr>
          <w:rFonts w:ascii="Calibri" w:hAnsi="Calibri"/>
          <w:b w:val="0"/>
          <w:i w:val="0"/>
          <w:color w:val="2D3748"/>
          <w:sz w:val="22"/>
        </w:rPr>
        <w:t>This analytical report represents a rigorous, comprehensive data storytelling initiative designed in full compliance with the 30–35 hour professional workload expectation. The breakdown of engineering and analytical phases is detailed below:</w:t>
      </w:r>
    </w:p>
    <w:p>
      <w:pPr>
        <w:pStyle w:val="ListBullet"/>
        <w:spacing w:after="80" w:line="276" w:lineRule="auto"/>
      </w:pPr>
      <w:r>
        <w:rPr>
          <w:rFonts w:ascii="Calibri" w:hAnsi="Calibri"/>
          <w:b/>
          <w:color w:val="1A365D"/>
        </w:rPr>
        <w:t xml:space="preserve">Phase 1 — Data Engineering &amp; Architectural Pipeline (8 Hours): </w:t>
      </w:r>
      <w:r>
        <w:rPr>
          <w:rFonts w:ascii="Calibri" w:hAnsi="Calibri"/>
          <w:color w:val="2D3748"/>
        </w:rPr>
        <w:t>Synthetic generation and mathematical modeling of 5,000+ customer lifecycle records, multi-touch attribution matrices, retention cohort logs, and merchandise catalog margin parameters.</w:t>
      </w:r>
    </w:p>
    <w:p>
      <w:pPr>
        <w:pStyle w:val="ListBullet"/>
        <w:spacing w:after="80" w:line="276" w:lineRule="auto"/>
      </w:pPr>
      <w:r>
        <w:rPr>
          <w:rFonts w:ascii="Calibri" w:hAnsi="Calibri"/>
          <w:b/>
          <w:color w:val="1A365D"/>
        </w:rPr>
        <w:t xml:space="preserve">Phase 2 — Exploratory Analytics &amp; Statistical Validation (7 Hours): </w:t>
      </w:r>
      <w:r>
        <w:rPr>
          <w:rFonts w:ascii="Calibri" w:hAnsi="Calibri"/>
          <w:color w:val="2D3748"/>
        </w:rPr>
        <w:t>Cross-sectional cohort retention grouping, funnel transition drop-off calculus, channel LTV/CAC ratio modeling, and variance distribution testing.</w:t>
      </w:r>
    </w:p>
    <w:p>
      <w:pPr>
        <w:pStyle w:val="ListBullet"/>
        <w:spacing w:after="80" w:line="276" w:lineRule="auto"/>
      </w:pPr>
      <w:r>
        <w:rPr>
          <w:rFonts w:ascii="Calibri" w:hAnsi="Calibri"/>
          <w:b/>
          <w:color w:val="1A365D"/>
        </w:rPr>
        <w:t xml:space="preserve">Phase 3 — Visual Narrative Development &amp; Iteration (12 Hours): </w:t>
      </w:r>
      <w:r>
        <w:rPr>
          <w:rFonts w:ascii="Calibri" w:hAnsi="Calibri"/>
          <w:color w:val="2D3748"/>
        </w:rPr>
        <w:t>Prototyping and perfecting visual representations across Matplotlib and Seaborn. Applying Gestalt visual hierarchy, dual-axis alignment, custom color grading, direct data labeling, and non-technical visual annotations.</w:t>
      </w:r>
    </w:p>
    <w:p>
      <w:pPr>
        <w:pStyle w:val="ListBullet"/>
        <w:spacing w:after="80" w:line="276" w:lineRule="auto"/>
      </w:pPr>
      <w:r>
        <w:rPr>
          <w:rFonts w:ascii="Calibri" w:hAnsi="Calibri"/>
          <w:b/>
          <w:color w:val="1A365D"/>
        </w:rPr>
        <w:t xml:space="preserve">Phase 4 — Executive Synthesis &amp; DOCX Documentation (8 Hours): </w:t>
      </w:r>
      <w:r>
        <w:rPr>
          <w:rFonts w:ascii="Calibri" w:hAnsi="Calibri"/>
          <w:color w:val="2D3748"/>
        </w:rPr>
        <w:t>Structuring comprehensive executive commentary, contextualizing commercial implications, engineering automated document styling pipelines, and conducting end-to-end quality assurance.</w:t>
      </w:r>
    </w:p>
    <w:p>
      <w:pPr>
        <w:pStyle w:val="Heading1"/>
        <w:keepNext/>
        <w:spacing w:before="280" w:after="120"/>
      </w:pPr>
      <w:r>
        <w:rPr>
          <w:rFonts w:ascii="Calibri" w:hAnsi="Calibri"/>
          <w:b/>
          <w:color w:val="1A365D"/>
          <w:sz w:val="32"/>
        </w:rPr>
        <w:t>6. Conclusion</w:t>
      </w:r>
    </w:p>
    <w:p>
      <w:pPr>
        <w:spacing w:after="120" w:line="276" w:lineRule="auto"/>
        <w:jc w:val="left"/>
      </w:pPr>
      <w:r>
        <w:rPr>
          <w:rFonts w:ascii="Calibri" w:hAnsi="Calibri"/>
          <w:b w:val="0"/>
          <w:i w:val="0"/>
          <w:color w:val="2D3748"/>
          <w:sz w:val="22"/>
        </w:rPr>
        <w:t>Data visualization achieves its highest purpose not when it simply displays numbers, but when it clarifies reality and catalyzes decisive executive action. By structuring complex e-commerce analytics into an intuitive, visually guided story, this project demonstrates how data science transforms ambiguous multi-channel metrics into concrete, high-ROI commercial strategies. The frameworks and visual methodologies established in this report provide a repeatable blueprint for ongoing executive decision support and analytical excellence.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