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0D3C6E"/>
          <w:sz w:val="48"/>
        </w:rPr>
        <w:t>EQUITY RESEARCH PLATFORM</w:t>
      </w:r>
    </w:p>
    <w:p>
      <w:pPr>
        <w:jc w:val="center"/>
      </w:pPr>
      <w:r>
        <w:rPr>
          <w:rFonts w:ascii="Arial" w:hAnsi="Arial"/>
          <w:color w:val="1565C0"/>
          <w:sz w:val="26"/>
        </w:rPr>
        <w:t>Portfolio Risk Analytics &amp; Signal Intelligence Report</w:t>
      </w:r>
    </w:p>
    <w:p>
      <w:pPr>
        <w:jc w:val="center"/>
        <w:pBdr>
          <w:bottom w:val="single" w:sz="6" w:space="4" w:color="1565C0"/>
        </w:pBdr>
      </w:pPr>
      <w:r>
        <w:rPr>
          <w:rFonts w:ascii="Arial" w:hAnsi="Arial"/>
          <w:color w:val="546E7A"/>
          <w:sz w:val="22"/>
        </w:rPr>
        <w:t>April 26, 2026</w:t>
      </w:r>
    </w:p>
    <w:p>
      <w:pPr>
        <w:spacing w:before="0" w:after="0"/>
      </w:pPr>
    </w:p>
    <w:p>
      <w:pPr>
        <w:jc w:val="center"/>
      </w:pPr>
      <w:r>
        <w:rPr>
          <w:rFonts w:ascii="Arial" w:hAnsi="Arial"/>
          <w:color w:val="546E7A"/>
          <w:sz w:val="20"/>
        </w:rPr>
        <w:t>20-Stock Equal-Weight Portfolio  |  S&amp;P 500 Large-Cap Universe</w:t>
      </w:r>
    </w:p>
    <w:p>
      <w:pPr>
        <w:jc w:val="center"/>
      </w:pPr>
      <w:r>
        <w:rPr>
          <w:rFonts w:ascii="Arial" w:hAnsi="Arial"/>
          <w:color w:val="546E7A"/>
          <w:sz w:val="20"/>
        </w:rPr>
        <w:t>Analysis Period: January 2019 — December 2024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565C0"/>
            <w:tcBorders>
              <w:top w:val="single" w:sz="4" w:space="0" w:color="0D3C6E"/>
              <w:left w:val="single" w:sz="4" w:space="0" w:color="0D3C6E"/>
              <w:bottom w:val="single" w:sz="4" w:space="0" w:color="0D3C6E"/>
              <w:right w:val="single" w:sz="4" w:space="0" w:color="0D3C6E"/>
            </w:tcBorders>
          </w:tcPr>
          <w:p>
            <w:pPr>
              <w:jc w:val="center"/>
            </w:pPr>
            <w:r>
              <w:rPr>
                <w:rFonts w:ascii="Arial" w:hAnsi="Arial"/>
                <w:color w:val="CCE5FF"/>
                <w:sz w:val="16"/>
              </w:rPr>
              <w:t>Ann. Return</w:t>
            </w:r>
          </w:p>
        </w:tc>
        <w:tc>
          <w:tcPr>
            <w:tcW w:type="dxa" w:w="2340"/>
            <w:shd w:val="clear" w:color="auto" w:fill="1565C0"/>
            <w:tcBorders>
              <w:top w:val="single" w:sz="4" w:space="0" w:color="0D3C6E"/>
              <w:left w:val="single" w:sz="4" w:space="0" w:color="0D3C6E"/>
              <w:bottom w:val="single" w:sz="4" w:space="0" w:color="0D3C6E"/>
              <w:right w:val="single" w:sz="4" w:space="0" w:color="0D3C6E"/>
            </w:tcBorders>
          </w:tcPr>
          <w:p>
            <w:pPr>
              <w:jc w:val="center"/>
            </w:pPr>
            <w:r>
              <w:rPr>
                <w:rFonts w:ascii="Arial" w:hAnsi="Arial"/>
                <w:color w:val="CCE5FF"/>
                <w:sz w:val="16"/>
              </w:rPr>
              <w:t>Sharpe Ratio</w:t>
            </w:r>
          </w:p>
        </w:tc>
        <w:tc>
          <w:tcPr>
            <w:tcW w:type="dxa" w:w="2340"/>
            <w:shd w:val="clear" w:color="auto" w:fill="1565C0"/>
            <w:tcBorders>
              <w:top w:val="single" w:sz="4" w:space="0" w:color="0D3C6E"/>
              <w:left w:val="single" w:sz="4" w:space="0" w:color="0D3C6E"/>
              <w:bottom w:val="single" w:sz="4" w:space="0" w:color="0D3C6E"/>
              <w:right w:val="single" w:sz="4" w:space="0" w:color="0D3C6E"/>
            </w:tcBorders>
          </w:tcPr>
          <w:p>
            <w:pPr>
              <w:jc w:val="center"/>
            </w:pPr>
            <w:r>
              <w:rPr>
                <w:rFonts w:ascii="Arial" w:hAnsi="Arial"/>
                <w:color w:val="CCE5FF"/>
                <w:sz w:val="16"/>
              </w:rPr>
              <w:t>Max Drawdown</w:t>
            </w:r>
          </w:p>
        </w:tc>
        <w:tc>
          <w:tcPr>
            <w:tcW w:type="dxa" w:w="2340"/>
            <w:shd w:val="clear" w:color="auto" w:fill="1565C0"/>
            <w:tcBorders>
              <w:top w:val="single" w:sz="4" w:space="0" w:color="0D3C6E"/>
              <w:left w:val="single" w:sz="4" w:space="0" w:color="0D3C6E"/>
              <w:bottom w:val="single" w:sz="4" w:space="0" w:color="0D3C6E"/>
              <w:right w:val="single" w:sz="4" w:space="0" w:color="0D3C6E"/>
            </w:tcBorders>
          </w:tcPr>
          <w:p>
            <w:pPr>
              <w:jc w:val="center"/>
            </w:pPr>
            <w:r>
              <w:rPr>
                <w:rFonts w:ascii="Arial" w:hAnsi="Arial"/>
                <w:color w:val="CCE5FF"/>
                <w:sz w:val="16"/>
              </w:rPr>
              <w:t>VaR (95%)</w:t>
            </w:r>
          </w:p>
        </w:tc>
      </w:tr>
      <w:tr>
        <w:tc>
          <w:tcPr>
            <w:tcW w:type="dxa" w:w="2340"/>
            <w:shd w:val="clear" w:color="auto" w:fill="1565C0"/>
            <w:tcBorders>
              <w:top w:val="single" w:sz="4" w:space="0" w:color="0D3C6E"/>
              <w:left w:val="single" w:sz="4" w:space="0" w:color="0D3C6E"/>
              <w:bottom w:val="single" w:sz="4" w:space="0" w:color="0D3C6E"/>
              <w:right w:val="single" w:sz="4" w:space="0" w:color="0D3C6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24.96%</w:t>
            </w:r>
          </w:p>
        </w:tc>
        <w:tc>
          <w:tcPr>
            <w:tcW w:type="dxa" w:w="2340"/>
            <w:shd w:val="clear" w:color="auto" w:fill="1565C0"/>
            <w:tcBorders>
              <w:top w:val="single" w:sz="4" w:space="0" w:color="0D3C6E"/>
              <w:left w:val="single" w:sz="4" w:space="0" w:color="0D3C6E"/>
              <w:bottom w:val="single" w:sz="4" w:space="0" w:color="0D3C6E"/>
              <w:right w:val="single" w:sz="4" w:space="0" w:color="0D3C6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0.8967</w:t>
            </w:r>
          </w:p>
        </w:tc>
        <w:tc>
          <w:tcPr>
            <w:tcW w:type="dxa" w:w="2340"/>
            <w:shd w:val="clear" w:color="auto" w:fill="1565C0"/>
            <w:tcBorders>
              <w:top w:val="single" w:sz="4" w:space="0" w:color="0D3C6E"/>
              <w:left w:val="single" w:sz="4" w:space="0" w:color="0D3C6E"/>
              <w:bottom w:val="single" w:sz="4" w:space="0" w:color="0D3C6E"/>
              <w:right w:val="single" w:sz="4" w:space="0" w:color="0D3C6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-39.13%</w:t>
            </w:r>
          </w:p>
        </w:tc>
        <w:tc>
          <w:tcPr>
            <w:tcW w:type="dxa" w:w="2340"/>
            <w:shd w:val="clear" w:color="auto" w:fill="1565C0"/>
            <w:tcBorders>
              <w:top w:val="single" w:sz="4" w:space="0" w:color="0D3C6E"/>
              <w:left w:val="single" w:sz="4" w:space="0" w:color="0D3C6E"/>
              <w:bottom w:val="single" w:sz="4" w:space="0" w:color="0D3C6E"/>
              <w:right w:val="single" w:sz="4" w:space="0" w:color="0D3C6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1.824%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4" w:color="1565C0"/>
        </w:pBdr>
      </w:pPr>
      <w:r>
        <w:rPr>
          <w:rFonts w:ascii="Arial" w:hAnsi="Arial"/>
          <w:b/>
          <w:color w:val="0D3C6E"/>
          <w:sz w:val="28"/>
        </w:rPr>
        <w:t>1. Executive Summary</w:t>
      </w:r>
    </w:p>
    <w:p>
      <w:pPr>
        <w:spacing w:before="60" w:after="60"/>
      </w:pPr>
      <w:r>
        <w:rPr>
          <w:rFonts w:ascii="Arial" w:hAnsi="Arial"/>
          <w:i w:val="0"/>
          <w:color w:val="212121"/>
          <w:sz w:val="20"/>
        </w:rPr>
        <w:t>This report presents a comprehensive quantitative analysis of a 20-stock equal-weight portfolio drawn from five S&amp;P 500 sectors: Technology, Financials, Healthcare, Energy, and Consumer Discretionary. The analysis covers January 2019 to December 2024, encompassing the COVID-19 market shock, the 2022 rate-hiking cycle, and the subsequent recovery.</w:t>
      </w:r>
    </w:p>
    <w:p>
      <w:pPr>
        <w:spacing w:before="0" w:after="0"/>
      </w:pPr>
    </w:p>
    <w:p>
      <w:pPr>
        <w:spacing w:before="60" w:after="60"/>
      </w:pPr>
      <w:r>
        <w:rPr>
          <w:rFonts w:ascii="Arial" w:hAnsi="Arial"/>
          <w:i w:val="0"/>
          <w:color w:val="212121"/>
          <w:sz w:val="20"/>
        </w:rPr>
        <w:t>A machine learning signal model was developed to predict next-day return direction, validated on a strictly out-of-sample held-out test period using walk-forward methodology to prevent data leakage.</w:t>
      </w:r>
    </w:p>
    <w:p>
      <w:pPr>
        <w:spacing w:before="0" w:after="0"/>
      </w:pPr>
    </w:p>
    <w:p>
      <w:pPr>
        <w:spacing w:before="240" w:after="80"/>
      </w:pPr>
      <w:r>
        <w:rPr>
          <w:rFonts w:ascii="Arial" w:hAnsi="Arial"/>
          <w:b/>
          <w:color w:val="1565C0"/>
          <w:sz w:val="22"/>
        </w:rPr>
        <w:t>Key Findings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Portfolio annualised return: 24.96%  |  Volatility: 22.25%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Sharpe Ratio: 0.8967  |  Sortino Ratio: 1.0652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Maximum Drawdown: -39.13%  |  Beta vs S&amp;P 500: 1.0427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1-Day 95% VaR on $1M portfolio: $18,240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Best ML model: XGBoost  |  ROC-AUC: 0.5044  |  Accuracy: 0.5197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Top predictive feature: macro_treasury_10y</w:t>
      </w:r>
    </w:p>
    <w:p>
      <w:pPr>
        <w:spacing w:before="0" w:after="0"/>
      </w:pPr>
    </w:p>
    <w:p>
      <w:pPr>
        <w:spacing w:before="360" w:after="120"/>
        <w:pBdr>
          <w:bottom w:val="single" w:sz="6" w:space="4" w:color="1565C0"/>
        </w:pBdr>
      </w:pPr>
      <w:r>
        <w:rPr>
          <w:rFonts w:ascii="Arial" w:hAnsi="Arial"/>
          <w:b/>
          <w:color w:val="0D3C6E"/>
          <w:sz w:val="28"/>
        </w:rPr>
        <w:t>2. Portfolio Risk Metrics</w:t>
      </w:r>
    </w:p>
    <w:p>
      <w:pPr>
        <w:spacing w:before="60" w:after="60"/>
      </w:pPr>
      <w:r>
        <w:rPr>
          <w:rFonts w:ascii="Arial" w:hAnsi="Arial"/>
          <w:i w:val="0"/>
          <w:color w:val="212121"/>
          <w:sz w:val="20"/>
        </w:rPr>
        <w:t>All metrics are annualised where applicable (252 trading days). Risk-free rate assumed at 5.0% per annum.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4320"/>
      </w:tblGrid>
      <w:tr>
        <w:tc>
          <w:tcPr>
            <w:tcW w:type="dxa" w:w="4680"/>
            <w:shd w:val="clear" w:color="auto" w:fill="E3F2FD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r>
              <w:rPr>
                <w:rFonts w:ascii="Arial" w:hAnsi="Arial"/>
                <w:color w:val="546E7A"/>
                <w:sz w:val="18"/>
              </w:rPr>
              <w:t>Annualised Return</w:t>
            </w:r>
          </w:p>
        </w:tc>
        <w:tc>
          <w:tcPr>
            <w:tcW w:type="dxa" w:w="4680"/>
            <w:shd w:val="clear" w:color="auto" w:fill="E3F2FD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color w:val="0D3C6E"/>
                <w:sz w:val="18"/>
              </w:rPr>
              <w:t>24.96%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r>
              <w:rPr>
                <w:rFonts w:ascii="Arial" w:hAnsi="Arial"/>
                <w:color w:val="546E7A"/>
                <w:sz w:val="18"/>
              </w:rPr>
              <w:t>Annualised Volatility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color w:val="0D3C6E"/>
                <w:sz w:val="18"/>
              </w:rPr>
              <w:t>22.25%</w:t>
            </w:r>
          </w:p>
        </w:tc>
      </w:tr>
      <w:tr>
        <w:tc>
          <w:tcPr>
            <w:tcW w:type="dxa" w:w="4680"/>
            <w:shd w:val="clear" w:color="auto" w:fill="E3F2FD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r>
              <w:rPr>
                <w:rFonts w:ascii="Arial" w:hAnsi="Arial"/>
                <w:color w:val="546E7A"/>
                <w:sz w:val="18"/>
              </w:rPr>
              <w:t>Sharpe Ratio</w:t>
            </w:r>
          </w:p>
        </w:tc>
        <w:tc>
          <w:tcPr>
            <w:tcW w:type="dxa" w:w="4680"/>
            <w:shd w:val="clear" w:color="auto" w:fill="E3F2FD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color w:val="0D3C6E"/>
                <w:sz w:val="18"/>
              </w:rPr>
              <w:t>0.8967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r>
              <w:rPr>
                <w:rFonts w:ascii="Arial" w:hAnsi="Arial"/>
                <w:color w:val="546E7A"/>
                <w:sz w:val="18"/>
              </w:rPr>
              <w:t>Sortino Ratio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color w:val="0D3C6E"/>
                <w:sz w:val="18"/>
              </w:rPr>
              <w:t>1.0652</w:t>
            </w:r>
          </w:p>
        </w:tc>
      </w:tr>
      <w:tr>
        <w:tc>
          <w:tcPr>
            <w:tcW w:type="dxa" w:w="4680"/>
            <w:shd w:val="clear" w:color="auto" w:fill="E3F2FD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r>
              <w:rPr>
                <w:rFonts w:ascii="Arial" w:hAnsi="Arial"/>
                <w:color w:val="546E7A"/>
                <w:sz w:val="18"/>
              </w:rPr>
              <w:t>Maximum Drawdown</w:t>
            </w:r>
          </w:p>
        </w:tc>
        <w:tc>
          <w:tcPr>
            <w:tcW w:type="dxa" w:w="4680"/>
            <w:shd w:val="clear" w:color="auto" w:fill="E3F2FD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color w:val="0D3C6E"/>
                <w:sz w:val="18"/>
              </w:rPr>
              <w:t>-39.13%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r>
              <w:rPr>
                <w:rFonts w:ascii="Arial" w:hAnsi="Arial"/>
                <w:color w:val="546E7A"/>
                <w:sz w:val="18"/>
              </w:rPr>
              <w:t>Historical VaR (95%, 1-Day)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color w:val="0D3C6E"/>
                <w:sz w:val="18"/>
              </w:rPr>
              <w:t>1.824%</w:t>
            </w:r>
          </w:p>
        </w:tc>
      </w:tr>
      <w:tr>
        <w:tc>
          <w:tcPr>
            <w:tcW w:type="dxa" w:w="4680"/>
            <w:shd w:val="clear" w:color="auto" w:fill="E3F2FD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r>
              <w:rPr>
                <w:rFonts w:ascii="Arial" w:hAnsi="Arial"/>
                <w:color w:val="546E7A"/>
                <w:sz w:val="18"/>
              </w:rPr>
              <w:t>CVaR / Expected Shortfall</w:t>
            </w:r>
          </w:p>
        </w:tc>
        <w:tc>
          <w:tcPr>
            <w:tcW w:type="dxa" w:w="4680"/>
            <w:shd w:val="clear" w:color="auto" w:fill="E3F2FD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color w:val="0D3C6E"/>
                <w:sz w:val="18"/>
              </w:rPr>
              <w:t>3.295%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r>
              <w:rPr>
                <w:rFonts w:ascii="Arial" w:hAnsi="Arial"/>
                <w:color w:val="546E7A"/>
                <w:sz w:val="18"/>
              </w:rPr>
              <w:t>Dollar VaR ($1M Notional)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color w:val="0D3C6E"/>
                <w:sz w:val="18"/>
              </w:rPr>
              <w:t>$18,240</w:t>
            </w:r>
          </w:p>
        </w:tc>
      </w:tr>
      <w:tr>
        <w:tc>
          <w:tcPr>
            <w:tcW w:type="dxa" w:w="4680"/>
            <w:shd w:val="clear" w:color="auto" w:fill="E3F2FD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r>
              <w:rPr>
                <w:rFonts w:ascii="Arial" w:hAnsi="Arial"/>
                <w:color w:val="546E7A"/>
                <w:sz w:val="18"/>
              </w:rPr>
              <w:t>Beta vs S&amp;P 500</w:t>
            </w:r>
          </w:p>
        </w:tc>
        <w:tc>
          <w:tcPr>
            <w:tcW w:type="dxa" w:w="4680"/>
            <w:shd w:val="clear" w:color="auto" w:fill="E3F2FD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color w:val="0D3C6E"/>
                <w:sz w:val="18"/>
              </w:rPr>
              <w:t>1.0427</w:t>
            </w:r>
          </w:p>
        </w:tc>
      </w:tr>
    </w:tbl>
    <w:p>
      <w:pPr>
        <w:spacing w:before="0" w:after="0"/>
      </w:pPr>
    </w:p>
    <w:p>
      <w:pPr>
        <w:spacing w:before="240" w:after="80"/>
      </w:pPr>
      <w:r>
        <w:rPr>
          <w:rFonts w:ascii="Arial" w:hAnsi="Arial"/>
          <w:b/>
          <w:color w:val="1565C0"/>
          <w:sz w:val="22"/>
        </w:rPr>
        <w:t>Value at Risk Methodology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Historical Simulation VaR: Sorts actual observed returns, reads the loss at the 5th percentile. No distributional assumptions — most robust during regime changes.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Parametric VaR: Assumes normally distributed returns. Fast and widely used in internal bank models. Underestimates tail risk during stress periods.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Monte Carlo VaR: Simulates 10,000 return paths. Most flexible — can be extended to fat-tailed or regime-switching distributions.</w:t>
      </w:r>
    </w:p>
    <w:p>
      <w:pPr>
        <w:spacing w:before="0" w:after="0"/>
      </w:pPr>
    </w:p>
    <w:p>
      <w:pPr>
        <w:spacing w:before="360" w:after="120"/>
        <w:pBdr>
          <w:bottom w:val="single" w:sz="6" w:space="4" w:color="1565C0"/>
        </w:pBdr>
      </w:pPr>
      <w:r>
        <w:rPr>
          <w:rFonts w:ascii="Arial" w:hAnsi="Arial"/>
          <w:b/>
          <w:color w:val="0D3C6E"/>
          <w:sz w:val="28"/>
        </w:rPr>
        <w:t>3. Top Stock Picks by Risk-Adjusted Return</w:t>
      </w:r>
    </w:p>
    <w:p>
      <w:pPr>
        <w:spacing w:before="60" w:after="60"/>
      </w:pPr>
      <w:r>
        <w:rPr>
          <w:rFonts w:ascii="Arial" w:hAnsi="Arial"/>
          <w:i w:val="0"/>
          <w:color w:val="212121"/>
          <w:sz w:val="20"/>
        </w:rPr>
        <w:t>The following stocks ranked highest on Sharpe Ratio — strongest excess return per unit of total risk.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152"/>
            <w:shd w:val="clear" w:color="auto" w:fill="1565C0"/>
            <w:tcBorders>
              <w:top w:val="single" w:sz="4" w:space="0" w:color="0D3C6E"/>
              <w:left w:val="single" w:sz="4" w:space="0" w:color="0D3C6E"/>
              <w:bottom w:val="single" w:sz="4" w:space="0" w:color="0D3C6E"/>
              <w:right w:val="single" w:sz="4" w:space="0" w:color="0D3C6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224"/>
            <w:shd w:val="clear" w:color="auto" w:fill="1565C0"/>
            <w:tcBorders>
              <w:top w:val="single" w:sz="4" w:space="0" w:color="0D3C6E"/>
              <w:left w:val="single" w:sz="4" w:space="0" w:color="0D3C6E"/>
              <w:bottom w:val="single" w:sz="4" w:space="0" w:color="0D3C6E"/>
              <w:right w:val="single" w:sz="4" w:space="0" w:color="0D3C6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Ann Ret %</w:t>
            </w:r>
          </w:p>
        </w:tc>
        <w:tc>
          <w:tcPr>
            <w:tcW w:type="dxa" w:w="1224"/>
            <w:shd w:val="clear" w:color="auto" w:fill="1565C0"/>
            <w:tcBorders>
              <w:top w:val="single" w:sz="4" w:space="0" w:color="0D3C6E"/>
              <w:left w:val="single" w:sz="4" w:space="0" w:color="0D3C6E"/>
              <w:bottom w:val="single" w:sz="4" w:space="0" w:color="0D3C6E"/>
              <w:right w:val="single" w:sz="4" w:space="0" w:color="0D3C6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Ann Vol %</w:t>
            </w:r>
          </w:p>
        </w:tc>
        <w:tc>
          <w:tcPr>
            <w:tcW w:type="dxa" w:w="1224"/>
            <w:shd w:val="clear" w:color="auto" w:fill="1565C0"/>
            <w:tcBorders>
              <w:top w:val="single" w:sz="4" w:space="0" w:color="0D3C6E"/>
              <w:left w:val="single" w:sz="4" w:space="0" w:color="0D3C6E"/>
              <w:bottom w:val="single" w:sz="4" w:space="0" w:color="0D3C6E"/>
              <w:right w:val="single" w:sz="4" w:space="0" w:color="0D3C6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Sharpe</w:t>
            </w:r>
          </w:p>
        </w:tc>
        <w:tc>
          <w:tcPr>
            <w:tcW w:type="dxa" w:w="1224"/>
            <w:shd w:val="clear" w:color="auto" w:fill="1565C0"/>
            <w:tcBorders>
              <w:top w:val="single" w:sz="4" w:space="0" w:color="0D3C6E"/>
              <w:left w:val="single" w:sz="4" w:space="0" w:color="0D3C6E"/>
              <w:bottom w:val="single" w:sz="4" w:space="0" w:color="0D3C6E"/>
              <w:right w:val="single" w:sz="4" w:space="0" w:color="0D3C6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Sortino</w:t>
            </w:r>
          </w:p>
        </w:tc>
        <w:tc>
          <w:tcPr>
            <w:tcW w:type="dxa" w:w="1224"/>
            <w:shd w:val="clear" w:color="auto" w:fill="1565C0"/>
            <w:tcBorders>
              <w:top w:val="single" w:sz="4" w:space="0" w:color="0D3C6E"/>
              <w:left w:val="single" w:sz="4" w:space="0" w:color="0D3C6E"/>
              <w:bottom w:val="single" w:sz="4" w:space="0" w:color="0D3C6E"/>
              <w:right w:val="single" w:sz="4" w:space="0" w:color="0D3C6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Max DD %</w:t>
            </w:r>
          </w:p>
        </w:tc>
        <w:tc>
          <w:tcPr>
            <w:tcW w:type="dxa" w:w="1224"/>
            <w:shd w:val="clear" w:color="auto" w:fill="1565C0"/>
            <w:tcBorders>
              <w:top w:val="single" w:sz="4" w:space="0" w:color="0D3C6E"/>
              <w:left w:val="single" w:sz="4" w:space="0" w:color="0D3C6E"/>
              <w:bottom w:val="single" w:sz="4" w:space="0" w:color="0D3C6E"/>
              <w:right w:val="single" w:sz="4" w:space="0" w:color="0D3C6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Beta</w:t>
            </w:r>
          </w:p>
        </w:tc>
      </w:tr>
      <w:tr>
        <w:tc>
          <w:tcPr>
            <w:tcW w:type="dxa" w:w="1152"/>
            <w:shd w:val="clear" w:color="auto" w:fill="F5F7F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NVDA</w:t>
            </w:r>
          </w:p>
        </w:tc>
        <w:tc>
          <w:tcPr>
            <w:tcW w:type="dxa" w:w="1224"/>
            <w:shd w:val="clear" w:color="auto" w:fill="F5F7F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75.37</w:t>
            </w:r>
          </w:p>
        </w:tc>
        <w:tc>
          <w:tcPr>
            <w:tcW w:type="dxa" w:w="1224"/>
            <w:shd w:val="clear" w:color="auto" w:fill="F5F7F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51.89</w:t>
            </w:r>
          </w:p>
        </w:tc>
        <w:tc>
          <w:tcPr>
            <w:tcW w:type="dxa" w:w="1224"/>
            <w:shd w:val="clear" w:color="auto" w:fill="F5F7F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1.356</w:t>
            </w:r>
          </w:p>
        </w:tc>
        <w:tc>
          <w:tcPr>
            <w:tcW w:type="dxa" w:w="1224"/>
            <w:shd w:val="clear" w:color="auto" w:fill="F5F7F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2.134</w:t>
            </w:r>
          </w:p>
        </w:tc>
        <w:tc>
          <w:tcPr>
            <w:tcW w:type="dxa" w:w="1224"/>
            <w:shd w:val="clear" w:color="auto" w:fill="F5F7F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-66.34</w:t>
            </w:r>
          </w:p>
        </w:tc>
        <w:tc>
          <w:tcPr>
            <w:tcW w:type="dxa" w:w="1224"/>
            <w:shd w:val="clear" w:color="auto" w:fill="F5F7F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1.79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TSLA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70.98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64.48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1.023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1.515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-73.63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1.56</w:t>
            </w:r>
          </w:p>
        </w:tc>
      </w:tr>
      <w:tr>
        <w:tc>
          <w:tcPr>
            <w:tcW w:type="dxa" w:w="1152"/>
            <w:shd w:val="clear" w:color="auto" w:fill="F5F7F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AAPL</w:t>
            </w:r>
          </w:p>
        </w:tc>
        <w:tc>
          <w:tcPr>
            <w:tcW w:type="dxa" w:w="1224"/>
            <w:shd w:val="clear" w:color="auto" w:fill="F5F7F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36.53</w:t>
            </w:r>
          </w:p>
        </w:tc>
        <w:tc>
          <w:tcPr>
            <w:tcW w:type="dxa" w:w="1224"/>
            <w:shd w:val="clear" w:color="auto" w:fill="F5F7F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30.85</w:t>
            </w:r>
          </w:p>
        </w:tc>
        <w:tc>
          <w:tcPr>
            <w:tcW w:type="dxa" w:w="1224"/>
            <w:shd w:val="clear" w:color="auto" w:fill="F5F7F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1.022</w:t>
            </w:r>
          </w:p>
        </w:tc>
        <w:tc>
          <w:tcPr>
            <w:tcW w:type="dxa" w:w="1224"/>
            <w:shd w:val="clear" w:color="auto" w:fill="F5F7F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1.416</w:t>
            </w:r>
          </w:p>
        </w:tc>
        <w:tc>
          <w:tcPr>
            <w:tcW w:type="dxa" w:w="1224"/>
            <w:shd w:val="clear" w:color="auto" w:fill="F5F7F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-31.43</w:t>
            </w:r>
          </w:p>
        </w:tc>
        <w:tc>
          <w:tcPr>
            <w:tcW w:type="dxa" w:w="1224"/>
            <w:shd w:val="clear" w:color="auto" w:fill="F5F7F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1.199</w:t>
            </w:r>
          </w:p>
        </w:tc>
      </w:tr>
    </w:tbl>
    <w:p>
      <w:pPr>
        <w:spacing w:before="0" w:after="0"/>
      </w:pPr>
    </w:p>
    <w:p>
      <w:pPr>
        <w:spacing w:before="60" w:after="60"/>
      </w:pPr>
      <w:r>
        <w:rPr>
          <w:rFonts w:ascii="Arial" w:hAnsi="Arial"/>
          <w:i/>
          <w:color w:val="546E7A"/>
          <w:sz w:val="20"/>
        </w:rPr>
        <w:t>Note: Sortino Ratio penalises only downside volatility and is preferred for asymmetric return distributions.</w:t>
      </w:r>
    </w:p>
    <w:p>
      <w:pPr>
        <w:spacing w:before="0" w:after="0"/>
      </w:pPr>
    </w:p>
    <w:p>
      <w:pPr>
        <w:spacing w:before="360" w:after="120"/>
        <w:pBdr>
          <w:bottom w:val="single" w:sz="6" w:space="4" w:color="1565C0"/>
        </w:pBdr>
      </w:pPr>
      <w:r>
        <w:rPr>
          <w:rFonts w:ascii="Arial" w:hAnsi="Arial"/>
          <w:b/>
          <w:color w:val="0D3C6E"/>
          <w:sz w:val="28"/>
        </w:rPr>
        <w:t>4. Machine Learning Signal Model</w:t>
      </w:r>
    </w:p>
    <w:p>
      <w:pPr>
        <w:spacing w:before="60" w:after="60"/>
      </w:pPr>
      <w:r>
        <w:rPr>
          <w:rFonts w:ascii="Arial" w:hAnsi="Arial"/>
          <w:i w:val="0"/>
          <w:color w:val="212121"/>
          <w:sz w:val="20"/>
        </w:rPr>
        <w:t>A supervised classification model was trained to predict next-day return direction (Up/Down). Validated using strict walk-forward methodology — test set consists exclusively of dates after the training cutoff.</w:t>
      </w:r>
    </w:p>
    <w:p>
      <w:pPr>
        <w:spacing w:before="0" w:after="0"/>
      </w:pPr>
    </w:p>
    <w:p>
      <w:pPr>
        <w:spacing w:before="240" w:after="80"/>
      </w:pPr>
      <w:r>
        <w:rPr>
          <w:rFonts w:ascii="Arial" w:hAnsi="Arial"/>
          <w:b/>
          <w:color w:val="1565C0"/>
          <w:sz w:val="22"/>
        </w:rPr>
        <w:t>Model Architecture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Random Forest: 300 trees, max depth 6, balanced class weights, min 20 samples per leaf.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XGBoost: Gradient boosting, learning rate 0.05, column/row subsampling for regularisation.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Cross-Validation: 5-fold TimeSeriesSplit — each fold tests on a later window than its training set.</w:t>
      </w:r>
    </w:p>
    <w:p>
      <w:pPr>
        <w:spacing w:before="0" w:after="0"/>
      </w:pPr>
    </w:p>
    <w:p>
      <w:pPr>
        <w:spacing w:before="240" w:after="80"/>
      </w:pPr>
      <w:r>
        <w:rPr>
          <w:rFonts w:ascii="Arial" w:hAnsi="Arial"/>
          <w:b/>
          <w:color w:val="1565C0"/>
          <w:sz w:val="22"/>
        </w:rPr>
        <w:t>Model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872"/>
            <w:shd w:val="clear" w:color="auto" w:fill="1565C0"/>
            <w:tcBorders>
              <w:top w:val="single" w:sz="4" w:space="0" w:color="0D3C6E"/>
              <w:left w:val="single" w:sz="4" w:space="0" w:color="0D3C6E"/>
              <w:bottom w:val="single" w:sz="4" w:space="0" w:color="0D3C6E"/>
              <w:right w:val="single" w:sz="4" w:space="0" w:color="0D3C6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123"/>
            <w:shd w:val="clear" w:color="auto" w:fill="1565C0"/>
            <w:tcBorders>
              <w:top w:val="single" w:sz="4" w:space="0" w:color="0D3C6E"/>
              <w:left w:val="single" w:sz="4" w:space="0" w:color="0D3C6E"/>
              <w:bottom w:val="single" w:sz="4" w:space="0" w:color="0D3C6E"/>
              <w:right w:val="single" w:sz="4" w:space="0" w:color="0D3C6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ROC-AUC</w:t>
            </w:r>
          </w:p>
        </w:tc>
        <w:tc>
          <w:tcPr>
            <w:tcW w:type="dxa" w:w="1123"/>
            <w:shd w:val="clear" w:color="auto" w:fill="1565C0"/>
            <w:tcBorders>
              <w:top w:val="single" w:sz="4" w:space="0" w:color="0D3C6E"/>
              <w:left w:val="single" w:sz="4" w:space="0" w:color="0D3C6E"/>
              <w:bottom w:val="single" w:sz="4" w:space="0" w:color="0D3C6E"/>
              <w:right w:val="single" w:sz="4" w:space="0" w:color="0D3C6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123"/>
            <w:shd w:val="clear" w:color="auto" w:fill="1565C0"/>
            <w:tcBorders>
              <w:top w:val="single" w:sz="4" w:space="0" w:color="0D3C6E"/>
              <w:left w:val="single" w:sz="4" w:space="0" w:color="0D3C6E"/>
              <w:bottom w:val="single" w:sz="4" w:space="0" w:color="0D3C6E"/>
              <w:right w:val="single" w:sz="4" w:space="0" w:color="0D3C6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Prec (Up)</w:t>
            </w:r>
          </w:p>
        </w:tc>
        <w:tc>
          <w:tcPr>
            <w:tcW w:type="dxa" w:w="1123"/>
            <w:shd w:val="clear" w:color="auto" w:fill="1565C0"/>
            <w:tcBorders>
              <w:top w:val="single" w:sz="4" w:space="0" w:color="0D3C6E"/>
              <w:left w:val="single" w:sz="4" w:space="0" w:color="0D3C6E"/>
              <w:bottom w:val="single" w:sz="4" w:space="0" w:color="0D3C6E"/>
              <w:right w:val="single" w:sz="4" w:space="0" w:color="0D3C6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Recall (Up)</w:t>
            </w:r>
          </w:p>
        </w:tc>
        <w:tc>
          <w:tcPr>
            <w:tcW w:type="dxa" w:w="1123"/>
            <w:shd w:val="clear" w:color="auto" w:fill="1565C0"/>
            <w:tcBorders>
              <w:top w:val="single" w:sz="4" w:space="0" w:color="0D3C6E"/>
              <w:left w:val="single" w:sz="4" w:space="0" w:color="0D3C6E"/>
              <w:bottom w:val="single" w:sz="4" w:space="0" w:color="0D3C6E"/>
              <w:right w:val="single" w:sz="4" w:space="0" w:color="0D3C6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F1 (Up)</w:t>
            </w:r>
          </w:p>
        </w:tc>
        <w:tc>
          <w:tcPr>
            <w:tcW w:type="dxa" w:w="1123"/>
            <w:shd w:val="clear" w:color="auto" w:fill="1565C0"/>
            <w:tcBorders>
              <w:top w:val="single" w:sz="4" w:space="0" w:color="0D3C6E"/>
              <w:left w:val="single" w:sz="4" w:space="0" w:color="0D3C6E"/>
              <w:bottom w:val="single" w:sz="4" w:space="0" w:color="0D3C6E"/>
              <w:right w:val="single" w:sz="4" w:space="0" w:color="0D3C6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Avg Prec</w:t>
            </w:r>
          </w:p>
        </w:tc>
      </w:tr>
      <w:tr>
        <w:tc>
          <w:tcPr>
            <w:tcW w:type="dxa" w:w="1872"/>
            <w:shd w:val="clear" w:color="auto" w:fill="F5F7F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RandomForest</w:t>
            </w:r>
          </w:p>
        </w:tc>
        <w:tc>
          <w:tcPr>
            <w:tcW w:type="dxa" w:w="1123"/>
            <w:shd w:val="clear" w:color="auto" w:fill="F5F7F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0.4964</w:t>
            </w:r>
          </w:p>
        </w:tc>
        <w:tc>
          <w:tcPr>
            <w:tcW w:type="dxa" w:w="1123"/>
            <w:shd w:val="clear" w:color="auto" w:fill="F5F7F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0.5019</w:t>
            </w:r>
          </w:p>
        </w:tc>
        <w:tc>
          <w:tcPr>
            <w:tcW w:type="dxa" w:w="1123"/>
            <w:shd w:val="clear" w:color="auto" w:fill="F5F7F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0.5281</w:t>
            </w:r>
          </w:p>
        </w:tc>
        <w:tc>
          <w:tcPr>
            <w:tcW w:type="dxa" w:w="1123"/>
            <w:shd w:val="clear" w:color="auto" w:fill="F5F7F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0.6214</w:t>
            </w:r>
          </w:p>
        </w:tc>
        <w:tc>
          <w:tcPr>
            <w:tcW w:type="dxa" w:w="1123"/>
            <w:shd w:val="clear" w:color="auto" w:fill="F5F7F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0.571</w:t>
            </w:r>
          </w:p>
        </w:tc>
        <w:tc>
          <w:tcPr>
            <w:tcW w:type="dxa" w:w="1123"/>
            <w:shd w:val="clear" w:color="auto" w:fill="F5F7F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0.5336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left"/>
            </w:pPr>
            <w:r>
              <w:rPr>
                <w:rFonts w:ascii="Arial" w:hAnsi="Arial"/>
                <w:color w:val="212121"/>
                <w:sz w:val="18"/>
              </w:rPr>
              <w:t>XGBoost</w:t>
            </w:r>
          </w:p>
        </w:tc>
        <w:tc>
          <w:tcPr>
            <w:tcW w:type="dxa" w:w="1123"/>
            <w:shd w:val="clear" w:color="auto" w:fill="FFFFFF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0.5044</w:t>
            </w:r>
          </w:p>
        </w:tc>
        <w:tc>
          <w:tcPr>
            <w:tcW w:type="dxa" w:w="1123"/>
            <w:shd w:val="clear" w:color="auto" w:fill="FFFFFF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0.5197</w:t>
            </w:r>
          </w:p>
        </w:tc>
        <w:tc>
          <w:tcPr>
            <w:tcW w:type="dxa" w:w="1123"/>
            <w:shd w:val="clear" w:color="auto" w:fill="FFFFFF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0.5328</w:t>
            </w:r>
          </w:p>
        </w:tc>
        <w:tc>
          <w:tcPr>
            <w:tcW w:type="dxa" w:w="1123"/>
            <w:shd w:val="clear" w:color="auto" w:fill="FFFFFF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0.8094</w:t>
            </w:r>
          </w:p>
        </w:tc>
        <w:tc>
          <w:tcPr>
            <w:tcW w:type="dxa" w:w="1123"/>
            <w:shd w:val="clear" w:color="auto" w:fill="FFFFFF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0.6426</w:t>
            </w:r>
          </w:p>
        </w:tc>
        <w:tc>
          <w:tcPr>
            <w:tcW w:type="dxa" w:w="1123"/>
            <w:shd w:val="clear" w:color="auto" w:fill="FFFFFF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</w:tcPr>
          <w:p>
            <w:pPr>
              <w:jc w:val="center"/>
            </w:pPr>
            <w:r>
              <w:rPr>
                <w:rFonts w:ascii="Arial" w:hAnsi="Arial"/>
                <w:color w:val="212121"/>
                <w:sz w:val="18"/>
              </w:rPr>
              <w:t>0.5379</w:t>
            </w:r>
          </w:p>
        </w:tc>
      </w:tr>
    </w:tbl>
    <w:p>
      <w:pPr>
        <w:spacing w:before="0" w:after="0"/>
      </w:pPr>
    </w:p>
    <w:p>
      <w:pPr>
        <w:spacing w:before="60" w:after="60"/>
      </w:pPr>
      <w:r>
        <w:rPr>
          <w:rFonts w:ascii="Arial" w:hAnsi="Arial"/>
          <w:i w:val="0"/>
          <w:color w:val="212121"/>
          <w:sz w:val="20"/>
        </w:rPr>
        <w:t>Interpretation: ROC-AUC &gt; 0.53 is meaningful for daily equity prediction. Markets are efficient by design — any edge is modest but probabilistically valuable when applied consistently across a large universe of stocks.</w:t>
      </w:r>
    </w:p>
    <w:p>
      <w:pPr>
        <w:spacing w:before="0" w:after="0"/>
      </w:pPr>
    </w:p>
    <w:p>
      <w:pPr>
        <w:spacing w:before="240" w:after="80"/>
      </w:pPr>
      <w:r>
        <w:rPr>
          <w:rFonts w:ascii="Arial" w:hAnsi="Arial"/>
          <w:b/>
          <w:color w:val="1565C0"/>
          <w:sz w:val="22"/>
        </w:rPr>
        <w:t>Top Predictive Features</w:t>
      </w:r>
    </w:p>
    <w:p>
      <w:pPr>
        <w:spacing w:before="60" w:after="60"/>
      </w:pPr>
      <w:r>
        <w:rPr>
          <w:rFonts w:ascii="Arial" w:hAnsi="Arial"/>
          <w:i w:val="0"/>
          <w:color w:val="212121"/>
          <w:sz w:val="20"/>
        </w:rPr>
        <w:t>Assessed using permutation importance — measures AUC decrease when each feature is shuffled.</w:t>
      </w:r>
    </w:p>
    <w:p>
      <w:pPr>
        <w:spacing w:before="0" w:after="0"/>
      </w:pP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1. macro_treasury_10y  —  permutation importance: 0.0024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2. macd_hist  —  permutation importance: 0.0006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3. macd_signal  —  permutation importance: 0.0002</w:t>
      </w:r>
    </w:p>
    <w:p>
      <w:pPr>
        <w:spacing w:before="0" w:after="0"/>
      </w:pPr>
    </w:p>
    <w:p>
      <w:pPr>
        <w:spacing w:before="360" w:after="120"/>
        <w:pBdr>
          <w:bottom w:val="single" w:sz="6" w:space="4" w:color="1565C0"/>
        </w:pBdr>
      </w:pPr>
      <w:r>
        <w:rPr>
          <w:rFonts w:ascii="Arial" w:hAnsi="Arial"/>
          <w:b/>
          <w:color w:val="0D3C6E"/>
          <w:sz w:val="28"/>
        </w:rPr>
        <w:t>5. Risk Observations &amp; Recommendations</w:t>
      </w:r>
    </w:p>
    <w:p>
      <w:pPr>
        <w:spacing w:before="240" w:after="80"/>
      </w:pPr>
      <w:r>
        <w:rPr>
          <w:rFonts w:ascii="Arial" w:hAnsi="Arial"/>
          <w:b/>
          <w:color w:val="1565C0"/>
          <w:sz w:val="22"/>
        </w:rPr>
        <w:t>Concentration &amp; Correlation Risk</w:t>
      </w:r>
    </w:p>
    <w:p>
      <w:pPr>
        <w:spacing w:before="60" w:after="60"/>
      </w:pPr>
      <w:r>
        <w:rPr>
          <w:rFonts w:ascii="Arial" w:hAnsi="Arial"/>
          <w:i w:val="0"/>
          <w:color w:val="212121"/>
          <w:sz w:val="20"/>
        </w:rPr>
        <w:t>The correlation matrix reveals meaningful positive correlations within sectors, particularly Technology and Financials. During stress events, intra-sector correlations spike toward 1.0, reducing diversification benefit.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Recommendation: Reduce Technology weight below 20% given its above-average beta (typically &gt; 1.2).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Recommendation: Add genuinely uncorrelated assets (short-duration bonds, commodities) to improve portfolio efficiency.</w:t>
      </w:r>
    </w:p>
    <w:p>
      <w:pPr>
        <w:spacing w:before="0" w:after="0"/>
      </w:pPr>
    </w:p>
    <w:p>
      <w:pPr>
        <w:spacing w:before="240" w:after="80"/>
      </w:pPr>
      <w:r>
        <w:rPr>
          <w:rFonts w:ascii="Arial" w:hAnsi="Arial"/>
          <w:b/>
          <w:color w:val="1565C0"/>
          <w:sz w:val="22"/>
        </w:rPr>
        <w:t>Drawdown &amp; Tail Risk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The spread between parametric and historical VaR measures fat-tail exposure. A large spread indicates leptokurtic returns — more extreme losses than normality predicts.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CVaR (Expected Shortfall) is required under Basel III. Banks use CVaR alongside VaR for complete tail risk characterisation.</w:t>
      </w:r>
    </w:p>
    <w:p>
      <w:pPr>
        <w:spacing w:before="0" w:after="0"/>
      </w:pPr>
    </w:p>
    <w:p>
      <w:pPr>
        <w:spacing w:before="240" w:after="80"/>
      </w:pPr>
      <w:r>
        <w:rPr>
          <w:rFonts w:ascii="Arial" w:hAnsi="Arial"/>
          <w:b/>
          <w:color w:val="1565C0"/>
          <w:sz w:val="22"/>
        </w:rPr>
        <w:t>Signal Model Deployment Considerations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The ML signal should be one input among several — combine with fundamental analysis and macro regime filters.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Monitor model performance monthly. Market regime changes can degrade performance and require retraining.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Transaction costs, market impact, and short-selling constraints are not modelled here.</w:t>
      </w:r>
    </w:p>
    <w:p>
      <w:pPr>
        <w:spacing w:before="0" w:after="0"/>
      </w:pPr>
    </w:p>
    <w:p>
      <w:pPr>
        <w:spacing w:before="360" w:after="120"/>
        <w:pBdr>
          <w:bottom w:val="single" w:sz="6" w:space="4" w:color="1565C0"/>
        </w:pBdr>
      </w:pPr>
      <w:r>
        <w:rPr>
          <w:rFonts w:ascii="Arial" w:hAnsi="Arial"/>
          <w:b/>
          <w:color w:val="0D3C6E"/>
          <w:sz w:val="28"/>
        </w:rPr>
        <w:t>6. Methodology &amp; Data Sources</w:t>
      </w:r>
    </w:p>
    <w:p>
      <w:pPr>
        <w:spacing w:before="240" w:after="80"/>
      </w:pPr>
      <w:r>
        <w:rPr>
          <w:rFonts w:ascii="Arial" w:hAnsi="Arial"/>
          <w:b/>
          <w:color w:val="1565C0"/>
          <w:sz w:val="22"/>
        </w:rPr>
        <w:t>Data Sources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Price Data: Yahoo Finance via yfinance (adjusted close, split/dividend adjusted).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Macro Data: FRED — VIX, Fed Funds Rate, 10Y Treasury Yield, CPI, Unemployment, GDP Growth.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Benchmark: S&amp;P 500 Index (^GSPC).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Analysis Period: January 2019 — December 2024 (~1,500 trading days).</w:t>
      </w:r>
    </w:p>
    <w:p>
      <w:pPr>
        <w:spacing w:before="0" w:after="0"/>
      </w:pPr>
    </w:p>
    <w:p>
      <w:pPr>
        <w:spacing w:before="240" w:after="80"/>
      </w:pPr>
      <w:r>
        <w:rPr>
          <w:rFonts w:ascii="Arial" w:hAnsi="Arial"/>
          <w:b/>
          <w:color w:val="1565C0"/>
          <w:sz w:val="22"/>
        </w:rPr>
        <w:t>Technical Stack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Data Engineering: Python, Pandas, SQLAlchemy, SQLite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Risk Analytics: NumPy, SciPy (VaR, CVaR, Sharpe, Sortino, Beta, Drawdown)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Machine Learning: scikit-learn (Random Forest, TimeSeriesSplit CV), XGBoost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Visualisation: Matplotlib, Power BI / Tableau</w:t>
      </w:r>
    </w:p>
    <w:p>
      <w:pPr>
        <w:pStyle w:val="ListBullet"/>
        <w:spacing w:before="40" w:after="40"/>
      </w:pPr>
      <w:r>
        <w:rPr>
          <w:rFonts w:ascii="Arial" w:hAnsi="Arial"/>
          <w:color w:val="212121"/>
          <w:sz w:val="20"/>
        </w:rPr>
        <w:t>Version Control: Git / GitHub</w:t>
      </w:r>
    </w:p>
    <w:p>
      <w:pPr>
        <w:spacing w:before="0" w:after="0"/>
      </w:pPr>
    </w:p>
    <w:p>
      <w:pPr>
        <w:spacing w:before="60" w:after="60"/>
      </w:pPr>
      <w:r>
        <w:rPr>
          <w:rFonts w:ascii="Arial" w:hAnsi="Arial"/>
          <w:i/>
          <w:color w:val="546E7A"/>
          <w:sz w:val="20"/>
        </w:rPr>
        <w:t>This report was produced as a student data analysis project demonstrating end-to-end quantitative research capability. For educational purposes only — not investment advice.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