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2E5395"/>
          <w:sz w:val="20"/>
          <w:szCs w:val="20"/>
        </w:rPr>
        <w:t xml:space="preserve">LLM DATA FORGE  •  FINAL PROJECT REPORT</w:t>
      </w:r>
    </w:p>
    <w:p>
      <w:pPr>
        <w:spacing w:after="80"/>
        <w:jc w:val="center"/>
      </w:pPr>
      <w:r>
        <w:rPr>
          <w:b/>
          <w:bCs/>
          <w:sz w:val="40"/>
          <w:szCs w:val="40"/>
        </w:rPr>
        <w:t xml:space="preserve">Final Project Report</w:t>
      </w:r>
    </w:p>
    <w:p>
      <w:pPr>
        <w:spacing w:after="300"/>
        <w:jc w:val="center"/>
      </w:pPr>
      <w:r>
        <w:rPr>
          <w:i/>
          <w:iCs/>
          <w:color w:val="444444"/>
          <w:sz w:val="22"/>
          <w:szCs w:val="22"/>
        </w:rPr>
        <w:t xml:space="preserve">CSCI 6996 Independent Study — Distributed Data Curation &amp; Quality Optimization for Efficient LLM Pretraining</w:t>
      </w:r>
    </w:p>
    <w:p>
      <w:pPr>
        <w:pBdr>
          <w:bottom w:val="single" w:color="2E5395" w:sz="12" w:space="1"/>
        </w:pBdr>
        <w:spacing w:after="24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400"/>
        <w:gridCol w:w="6950"/>
      </w:tblGrid>
      <w:tr>
        <w:tc>
          <w:tcPr>
            <w:tcW w:type="dxa" w:w="2400"/>
          </w:tcPr>
          <w:p>
            <w:r>
              <w:rPr>
                <w:b/>
                <w:bCs/>
                <w:sz w:val="21"/>
                <w:szCs w:val="21"/>
              </w:rPr>
              <w:t xml:space="preserve">Prepared by:</w:t>
            </w:r>
          </w:p>
        </w:tc>
        <w:tc>
          <w:tcPr>
            <w:tcW w:type="dxa" w:w="6950"/>
          </w:tcPr>
          <w:p>
            <w:r>
              <w:rPr>
                <w:i/>
                <w:iCs/>
                <w:color w:val="808080"/>
                <w:sz w:val="21"/>
                <w:szCs w:val="21"/>
              </w:rPr>
              <w:t xml:space="preserve">[Your name]</w:t>
            </w:r>
          </w:p>
        </w:tc>
      </w:tr>
      <w:tr>
        <w:tc>
          <w:tcPr>
            <w:tcW w:type="dxa" w:w="2400"/>
          </w:tcPr>
          <w:p>
            <w:r>
              <w:rPr>
                <w:b/>
                <w:bCs/>
                <w:sz w:val="21"/>
                <w:szCs w:val="21"/>
              </w:rPr>
              <w:t xml:space="preserve">Date:</w:t>
            </w:r>
          </w:p>
        </w:tc>
        <w:tc>
          <w:tcPr>
            <w:tcW w:type="dxa" w:w="6950"/>
          </w:tcPr>
          <w:p>
            <w:r>
              <w:rPr>
                <w:i/>
                <w:iCs/>
                <w:color w:val="808080"/>
                <w:sz w:val="21"/>
                <w:szCs w:val="21"/>
              </w:rPr>
              <w:t xml:space="preserve">[Date this report was completed]</w:t>
            </w:r>
          </w:p>
        </w:tc>
      </w:tr>
      <w:tr>
        <w:tc>
          <w:tcPr>
            <w:tcW w:type="dxa" w:w="2400"/>
          </w:tcPr>
          <w:p>
            <w:r>
              <w:rPr>
                <w:b/>
                <w:bCs/>
                <w:sz w:val="21"/>
                <w:szCs w:val="21"/>
              </w:rPr>
              <w:t xml:space="preserve">Project duration:</w:t>
            </w:r>
          </w:p>
        </w:tc>
        <w:tc>
          <w:tcPr>
            <w:tcW w:type="dxa" w:w="6950"/>
          </w:tcPr>
          <w:p>
            <w:r>
              <w:rPr>
                <w:i/>
                <w:iCs/>
                <w:color w:val="808080"/>
                <w:sz w:val="21"/>
                <w:szCs w:val="21"/>
              </w:rPr>
              <w:t xml:space="preserve">[Start date – End date]</w:t>
            </w:r>
          </w:p>
        </w:tc>
      </w:tr>
      <w:tr>
        <w:tc>
          <w:tcPr>
            <w:tcW w:type="dxa" w:w="2400"/>
          </w:tcPr>
          <w:p>
            <w:r>
              <w:rPr>
                <w:b/>
                <w:bCs/>
                <w:sz w:val="21"/>
                <w:szCs w:val="21"/>
              </w:rPr>
              <w:t xml:space="preserve">Phase reports referenced:</w:t>
            </w:r>
          </w:p>
        </w:tc>
        <w:tc>
          <w:tcPr>
            <w:tcW w:type="dxa" w:w="6950"/>
          </w:tcPr>
          <w:p>
            <w:r>
              <w:rPr>
                <w:i/>
                <w:iCs/>
                <w:color w:val="808080"/>
                <w:sz w:val="21"/>
                <w:szCs w:val="21"/>
              </w:rPr>
              <w:t xml:space="preserve">Phase 1–5 Reports (attached/linked)</w:t>
            </w:r>
          </w:p>
        </w:tc>
      </w:tr>
    </w:tbl>
    <w:p>
      <w:pPr>
        <w:pStyle w:val="Heading2"/>
        <w:spacing w:after="120" w:before="320"/>
      </w:pPr>
      <w:r>
        <w:rPr>
          <w:color w:val="2E5395"/>
        </w:rPr>
        <w:t xml:space="preserve">1. Executive Summary</w:t>
      </w:r>
    </w:p>
    <w:p>
      <w:pPr>
        <w:shd w:fill="F2F2F2" w:val="clear"/>
        <w:spacing w:after="160"/>
      </w:pPr>
      <w:r>
        <w:rPr>
          <w:i/>
          <w:iCs/>
          <w:color w:val="808080"/>
          <w:sz w:val="21"/>
          <w:szCs w:val="21"/>
        </w:rPr>
        <w:t xml:space="preserve">[3–5 sentences: what you built, the headline result (e.g., 'a filtered + deduplicated dataset X% smaller achieved Y performance at Z% less compute'), and whether the project's objective was achieved.]</w:t>
      </w:r>
    </w:p>
    <w:p>
      <w:pPr>
        <w:pStyle w:val="Heading2"/>
        <w:spacing w:after="120" w:before="320"/>
      </w:pPr>
      <w:r>
        <w:rPr>
          <w:color w:val="2E5395"/>
        </w:rPr>
        <w:t xml:space="preserve">2. Project Background</w:t>
      </w:r>
    </w:p>
    <w:p>
      <w:pPr>
        <w:pStyle w:val="Heading3"/>
        <w:spacing w:after="80" w:before="200"/>
      </w:pPr>
      <w:r>
        <w:t xml:space="preserve">Problem Statement</w:t>
      </w:r>
    </w:p>
    <w:p>
      <w:pPr>
        <w:spacing w:after="140"/>
      </w:pPr>
      <w:r>
        <w:rPr>
          <w:sz w:val="22"/>
          <w:szCs w:val="22"/>
        </w:rPr>
        <w:t xml:space="preserve">Large Language Models require large volumes of training data, but these datasets often contain duplicate, repetitive, noisy, or low-quality content. Processing unnecessary data increases storage, processing time, and computational cost. This project addressed the challenge of identifying and improving the quality of LLM training data using scalable distributed data-processing techniques.</w:t>
      </w:r>
    </w:p>
    <w:p>
      <w:pPr>
        <w:pStyle w:val="Heading3"/>
        <w:spacing w:after="80" w:before="200"/>
      </w:pPr>
      <w:r>
        <w:t xml:space="preserve">Objective</w:t>
      </w:r>
    </w:p>
    <w:p>
      <w:pPr>
        <w:spacing w:after="140"/>
      </w:pPr>
      <w:r>
        <w:rPr>
          <w:sz w:val="22"/>
          <w:szCs w:val="22"/>
        </w:rPr>
        <w:t xml:space="preserve">To develop a distributed data-curation pipeline that filters, deduplicates, and organizes large-scale LLM training data, and to evaluate the impact of these techniques on training efficiency and model performance.</w:t>
      </w:r>
    </w:p>
    <w:p>
      <w:pPr>
        <w:pStyle w:val="Heading3"/>
        <w:spacing w:after="80" w:before="200"/>
      </w:pPr>
      <w:r>
        <w:t xml:space="preserve">End Goal</w:t>
      </w:r>
    </w:p>
    <w:p>
      <w:pPr>
        <w:spacing w:after="140"/>
      </w:pPr>
      <w:r>
        <w:rPr>
          <w:sz w:val="22"/>
          <w:szCs w:val="22"/>
        </w:rPr>
        <w:t xml:space="preserve">To determine whether better-curated training data can reduce data and computational requirements while maintaining or improving LLM performance, providing practical insights into more efficient LLM training.</w:t>
      </w:r>
    </w:p>
    <w:p>
      <w:pPr>
        <w:pStyle w:val="Heading2"/>
        <w:spacing w:after="120" w:before="320"/>
      </w:pPr>
      <w:r>
        <w:rPr>
          <w:color w:val="2E5395"/>
        </w:rPr>
        <w:t xml:space="preserve">3. Methodology Overview</w:t>
      </w:r>
    </w:p>
    <w:p>
      <w:pPr>
        <w:spacing w:after="140"/>
      </w:pPr>
      <w:r>
        <w:rPr>
          <w:sz w:val="22"/>
          <w:szCs w:val="22"/>
        </w:rPr>
        <w:t xml:space="preserve">The project was executed as a distributed Big Data pipeline built on Apache Spark, using Parquet for storage and partitioning. Raw text data was cleaned and quality-filtered, then deduplicated using exact hashing and MinHash / Locality-Sensitive Hashing (LSH) for near-duplicate detection. This produced multiple curated dataset variants (raw, filtered-only, deduplicated-only, filtered+deduplicated), each tokenized and used to pretrain a small/medium-scale language model under matched compute budgets. Results were then compared across variants for both training efficiency and downstream performance.</w:t>
      </w:r>
    </w:p>
    <w:p>
      <w:pPr>
        <w:pStyle w:val="Heading2"/>
        <w:spacing w:after="120" w:before="320"/>
      </w:pPr>
      <w:r>
        <w:rPr>
          <w:color w:val="2E5395"/>
        </w:rPr>
        <w:t xml:space="preserve">4. Phase-by-Phase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50"/>
      </w:tblGrid>
      <w:tr>
        <w:trPr>
          <w:tblHeader/>
        </w:trPr>
        <w:tc>
          <w:tcPr>
            <w:tcW w:type="dxa" w:w="2300"/>
            <w:shd w:fill="2E5395" w:val="clear"/>
            <w:tcMar>
              <w:top w:type="dxa" w:w="80"/>
              <w:left w:type="dxa" w:w="100"/>
              <w:bottom w:type="dxa" w:w="80"/>
              <w:right w:type="dxa" w:w="100"/>
            </w:tcMar>
          </w:tcPr>
          <w:p>
            <w:r>
              <w:rPr>
                <w:b/>
                <w:bCs/>
                <w:color w:val="FFFFFF"/>
                <w:sz w:val="20"/>
                <w:szCs w:val="20"/>
              </w:rPr>
              <w:t xml:space="preserve">Phase</w:t>
            </w:r>
          </w:p>
        </w:tc>
        <w:tc>
          <w:tcPr>
            <w:tcW w:type="dxa" w:w="3600"/>
            <w:shd w:fill="2E5395" w:val="clear"/>
            <w:tcMar>
              <w:top w:type="dxa" w:w="80"/>
              <w:left w:type="dxa" w:w="100"/>
              <w:bottom w:type="dxa" w:w="80"/>
              <w:right w:type="dxa" w:w="100"/>
            </w:tcMar>
          </w:tcPr>
          <w:p>
            <w:r>
              <w:rPr>
                <w:b/>
                <w:bCs/>
                <w:color w:val="FFFFFF"/>
                <w:sz w:val="20"/>
                <w:szCs w:val="20"/>
              </w:rPr>
              <w:t xml:space="preserve">Objective</w:t>
            </w:r>
          </w:p>
        </w:tc>
        <w:tc>
          <w:tcPr>
            <w:tcW w:type="dxa" w:w="3450"/>
            <w:shd w:fill="2E5395" w:val="clear"/>
            <w:tcMar>
              <w:top w:type="dxa" w:w="80"/>
              <w:left w:type="dxa" w:w="100"/>
              <w:bottom w:type="dxa" w:w="80"/>
              <w:right w:type="dxa" w:w="100"/>
            </w:tcMar>
          </w:tcPr>
          <w:p>
            <w:r>
              <w:rPr>
                <w:b/>
                <w:bCs/>
                <w:color w:val="FFFFFF"/>
                <w:sz w:val="20"/>
                <w:szCs w:val="20"/>
              </w:rPr>
              <w:t xml:space="preserve">Key Outcome</w:t>
            </w:r>
          </w:p>
        </w:tc>
      </w:tr>
      <w:tr>
        <w:tc>
          <w:tcPr>
            <w:tcW w:type="dxa" w:w="2300"/>
            <w:tcMar>
              <w:top w:type="dxa" w:w="80"/>
              <w:left w:type="dxa" w:w="100"/>
              <w:bottom w:type="dxa" w:w="80"/>
              <w:right w:type="dxa" w:w="100"/>
            </w:tcMar>
          </w:tcPr>
          <w:p>
            <w:r>
              <w:rPr>
                <w:b w:val="false"/>
                <w:bCs w:val="false"/>
                <w:color w:val="000000"/>
                <w:sz w:val="20"/>
                <w:szCs w:val="20"/>
              </w:rPr>
              <w:t xml:space="preserve">Phase 1: Data Acquisition &amp; Infrastructure Setup</w:t>
            </w:r>
          </w:p>
        </w:tc>
        <w:tc>
          <w:tcPr>
            <w:tcW w:type="dxa" w:w="3600"/>
            <w:tcMar>
              <w:top w:type="dxa" w:w="80"/>
              <w:left w:type="dxa" w:w="100"/>
              <w:bottom w:type="dxa" w:w="80"/>
              <w:right w:type="dxa" w:w="100"/>
            </w:tcMar>
          </w:tcPr>
          <w:p>
            <w:r>
              <w:rPr>
                <w:b w:val="false"/>
                <w:bCs w:val="false"/>
                <w:color w:val="000000"/>
                <w:sz w:val="20"/>
                <w:szCs w:val="20"/>
              </w:rPr>
              <w:t xml:space="preserve">Source raw text corpora for pretraining experiments, and stand up the distributed proce...</w:t>
            </w:r>
          </w:p>
        </w:tc>
        <w:tc>
          <w:tcPr>
            <w:tcW w:type="dxa" w:w="3450"/>
            <w:tcMar>
              <w:top w:type="dxa" w:w="80"/>
              <w:left w:type="dxa" w:w="100"/>
              <w:bottom w:type="dxa" w:w="80"/>
              <w:right w:type="dxa" w:w="100"/>
            </w:tcMar>
          </w:tcPr>
          <w:p>
            <w:r>
              <w:rPr>
                <w:b w:val="false"/>
                <w:bCs w:val="false"/>
                <w:color w:val="000000"/>
                <w:sz w:val="20"/>
                <w:szCs w:val="20"/>
              </w:rPr>
              <w:t xml:space="preserve">[See Phase 1 Report — summarize key outcome/metric here]</w:t>
            </w:r>
          </w:p>
        </w:tc>
      </w:tr>
      <w:tr>
        <w:tc>
          <w:tcPr>
            <w:tcW w:type="dxa" w:w="2300"/>
            <w:tcMar>
              <w:top w:type="dxa" w:w="80"/>
              <w:left w:type="dxa" w:w="100"/>
              <w:bottom w:type="dxa" w:w="80"/>
              <w:right w:type="dxa" w:w="100"/>
            </w:tcMar>
          </w:tcPr>
          <w:p>
            <w:r>
              <w:rPr>
                <w:b w:val="false"/>
                <w:bCs w:val="false"/>
                <w:color w:val="000000"/>
                <w:sz w:val="20"/>
                <w:szCs w:val="20"/>
              </w:rPr>
              <w:t xml:space="preserve">Phase 2: Cleaning &amp; Quality Filtering Pipeline</w:t>
            </w:r>
          </w:p>
        </w:tc>
        <w:tc>
          <w:tcPr>
            <w:tcW w:type="dxa" w:w="3600"/>
            <w:tcMar>
              <w:top w:type="dxa" w:w="80"/>
              <w:left w:type="dxa" w:w="100"/>
              <w:bottom w:type="dxa" w:w="80"/>
              <w:right w:type="dxa" w:w="100"/>
            </w:tcMar>
          </w:tcPr>
          <w:p>
            <w:r>
              <w:rPr>
                <w:b w:val="false"/>
                <w:bCs w:val="false"/>
                <w:color w:val="000000"/>
                <w:sz w:val="20"/>
                <w:szCs w:val="20"/>
              </w:rPr>
              <w:t xml:space="preserve">Build the Spark-based ETL stage that cleans raw text and applies quality filters, produ...</w:t>
            </w:r>
          </w:p>
        </w:tc>
        <w:tc>
          <w:tcPr>
            <w:tcW w:type="dxa" w:w="3450"/>
            <w:tcMar>
              <w:top w:type="dxa" w:w="80"/>
              <w:left w:type="dxa" w:w="100"/>
              <w:bottom w:type="dxa" w:w="80"/>
              <w:right w:type="dxa" w:w="100"/>
            </w:tcMar>
          </w:tcPr>
          <w:p>
            <w:r>
              <w:rPr>
                <w:b w:val="false"/>
                <w:bCs w:val="false"/>
                <w:color w:val="000000"/>
                <w:sz w:val="20"/>
                <w:szCs w:val="20"/>
              </w:rPr>
              <w:t xml:space="preserve">[See Phase 2 Report — summarize key outcome/metric here]</w:t>
            </w:r>
          </w:p>
        </w:tc>
      </w:tr>
      <w:tr>
        <w:tc>
          <w:tcPr>
            <w:tcW w:type="dxa" w:w="2300"/>
            <w:tcMar>
              <w:top w:type="dxa" w:w="80"/>
              <w:left w:type="dxa" w:w="100"/>
              <w:bottom w:type="dxa" w:w="80"/>
              <w:right w:type="dxa" w:w="100"/>
            </w:tcMar>
          </w:tcPr>
          <w:p>
            <w:r>
              <w:rPr>
                <w:b w:val="false"/>
                <w:bCs w:val="false"/>
                <w:color w:val="000000"/>
                <w:sz w:val="20"/>
                <w:szCs w:val="20"/>
              </w:rPr>
              <w:t xml:space="preserve">Phase 3: Deduplication Pipeline</w:t>
            </w:r>
          </w:p>
        </w:tc>
        <w:tc>
          <w:tcPr>
            <w:tcW w:type="dxa" w:w="3600"/>
            <w:tcMar>
              <w:top w:type="dxa" w:w="80"/>
              <w:left w:type="dxa" w:w="100"/>
              <w:bottom w:type="dxa" w:w="80"/>
              <w:right w:type="dxa" w:w="100"/>
            </w:tcMar>
          </w:tcPr>
          <w:p>
            <w:r>
              <w:rPr>
                <w:b w:val="false"/>
                <w:bCs w:val="false"/>
                <w:color w:val="000000"/>
                <w:sz w:val="20"/>
                <w:szCs w:val="20"/>
              </w:rPr>
              <w:t xml:space="preserve">Implement exact and near-duplicate detection at scale to produce deduplicated dataset v...</w:t>
            </w:r>
          </w:p>
        </w:tc>
        <w:tc>
          <w:tcPr>
            <w:tcW w:type="dxa" w:w="3450"/>
            <w:tcMar>
              <w:top w:type="dxa" w:w="80"/>
              <w:left w:type="dxa" w:w="100"/>
              <w:bottom w:type="dxa" w:w="80"/>
              <w:right w:type="dxa" w:w="100"/>
            </w:tcMar>
          </w:tcPr>
          <w:p>
            <w:r>
              <w:rPr>
                <w:b w:val="false"/>
                <w:bCs w:val="false"/>
                <w:color w:val="000000"/>
                <w:sz w:val="20"/>
                <w:szCs w:val="20"/>
              </w:rPr>
              <w:t xml:space="preserve">[See Phase 3 Report — summarize key outcome/metric here]</w:t>
            </w:r>
          </w:p>
        </w:tc>
      </w:tr>
      <w:tr>
        <w:tc>
          <w:tcPr>
            <w:tcW w:type="dxa" w:w="2300"/>
            <w:tcMar>
              <w:top w:type="dxa" w:w="80"/>
              <w:left w:type="dxa" w:w="100"/>
              <w:bottom w:type="dxa" w:w="80"/>
              <w:right w:type="dxa" w:w="100"/>
            </w:tcMar>
          </w:tcPr>
          <w:p>
            <w:r>
              <w:rPr>
                <w:b w:val="false"/>
                <w:bCs w:val="false"/>
                <w:color w:val="000000"/>
                <w:sz w:val="20"/>
                <w:szCs w:val="20"/>
              </w:rPr>
              <w:t xml:space="preserve">Phase 4: Model Pretraining &amp; Experimentation</w:t>
            </w:r>
          </w:p>
        </w:tc>
        <w:tc>
          <w:tcPr>
            <w:tcW w:type="dxa" w:w="3600"/>
            <w:tcMar>
              <w:top w:type="dxa" w:w="80"/>
              <w:left w:type="dxa" w:w="100"/>
              <w:bottom w:type="dxa" w:w="80"/>
              <w:right w:type="dxa" w:w="100"/>
            </w:tcMar>
          </w:tcPr>
          <w:p>
            <w:r>
              <w:rPr>
                <w:b w:val="false"/>
                <w:bCs w:val="false"/>
                <w:color w:val="000000"/>
                <w:sz w:val="20"/>
                <w:szCs w:val="20"/>
              </w:rPr>
              <w:t xml:space="preserve">Tokenize each curated dataset variant and pretrain a small/medium-scale language model ...</w:t>
            </w:r>
          </w:p>
        </w:tc>
        <w:tc>
          <w:tcPr>
            <w:tcW w:type="dxa" w:w="3450"/>
            <w:tcMar>
              <w:top w:type="dxa" w:w="80"/>
              <w:left w:type="dxa" w:w="100"/>
              <w:bottom w:type="dxa" w:w="80"/>
              <w:right w:type="dxa" w:w="100"/>
            </w:tcMar>
          </w:tcPr>
          <w:p>
            <w:r>
              <w:rPr>
                <w:b w:val="false"/>
                <w:bCs w:val="false"/>
                <w:color w:val="000000"/>
                <w:sz w:val="20"/>
                <w:szCs w:val="20"/>
              </w:rPr>
              <w:t xml:space="preserve">[See Phase 4 Report — summarize key outcome/metric here]</w:t>
            </w:r>
          </w:p>
        </w:tc>
      </w:tr>
      <w:tr>
        <w:tc>
          <w:tcPr>
            <w:tcW w:type="dxa" w:w="2300"/>
            <w:tcMar>
              <w:top w:type="dxa" w:w="80"/>
              <w:left w:type="dxa" w:w="100"/>
              <w:bottom w:type="dxa" w:w="80"/>
              <w:right w:type="dxa" w:w="100"/>
            </w:tcMar>
          </w:tcPr>
          <w:p>
            <w:r>
              <w:rPr>
                <w:b w:val="false"/>
                <w:bCs w:val="false"/>
                <w:color w:val="000000"/>
                <w:sz w:val="20"/>
                <w:szCs w:val="20"/>
              </w:rPr>
              <w:t xml:space="preserve">Phase 5: Evaluation &amp; Analysis</w:t>
            </w:r>
          </w:p>
        </w:tc>
        <w:tc>
          <w:tcPr>
            <w:tcW w:type="dxa" w:w="3600"/>
            <w:tcMar>
              <w:top w:type="dxa" w:w="80"/>
              <w:left w:type="dxa" w:w="100"/>
              <w:bottom w:type="dxa" w:w="80"/>
              <w:right w:type="dxa" w:w="100"/>
            </w:tcMar>
          </w:tcPr>
          <w:p>
            <w:r>
              <w:rPr>
                <w:b w:val="false"/>
                <w:bCs w:val="false"/>
                <w:color w:val="000000"/>
                <w:sz w:val="20"/>
                <w:szCs w:val="20"/>
              </w:rPr>
              <w:t xml:space="preserve">Evaluate and compare the models trained on each dataset variant, and determine whether ...</w:t>
            </w:r>
          </w:p>
        </w:tc>
        <w:tc>
          <w:tcPr>
            <w:tcW w:type="dxa" w:w="3450"/>
            <w:tcMar>
              <w:top w:type="dxa" w:w="80"/>
              <w:left w:type="dxa" w:w="100"/>
              <w:bottom w:type="dxa" w:w="80"/>
              <w:right w:type="dxa" w:w="100"/>
            </w:tcMar>
          </w:tcPr>
          <w:p>
            <w:r>
              <w:rPr>
                <w:b w:val="false"/>
                <w:bCs w:val="false"/>
                <w:color w:val="000000"/>
                <w:sz w:val="20"/>
                <w:szCs w:val="20"/>
              </w:rPr>
              <w:t xml:space="preserve">[See Phase 5 Report — summarize key outcome/metric here]</w:t>
            </w:r>
          </w:p>
        </w:tc>
      </w:tr>
    </w:tbl>
    <w:p>
      <w:pPr>
        <w:spacing w:after="160"/>
      </w:pPr>
    </w:p>
    <w:p>
      <w:pPr>
        <w:spacing w:after="140"/>
      </w:pPr>
      <w:r>
        <w:rPr>
          <w:sz w:val="22"/>
          <w:szCs w:val="22"/>
        </w:rPr>
        <w:t xml:space="preserve">Full detail for each phase is in the corresponding Phase Report (1–5).</w:t>
      </w:r>
    </w:p>
    <w:p>
      <w:pPr>
        <w:pStyle w:val="Heading2"/>
        <w:spacing w:after="120" w:before="320"/>
      </w:pPr>
      <w:r>
        <w:rPr>
          <w:color w:val="2E5395"/>
        </w:rPr>
        <w:t xml:space="preserve">5. Results &amp; Findings</w:t>
      </w:r>
    </w:p>
    <w:p>
      <w:pPr>
        <w:shd w:fill="F2F2F2" w:val="clear"/>
        <w:spacing w:after="160"/>
      </w:pPr>
      <w:r>
        <w:rPr>
          <w:i/>
          <w:iCs/>
          <w:color w:val="808080"/>
          <w:sz w:val="21"/>
          <w:szCs w:val="21"/>
        </w:rPr>
        <w:t xml:space="preserve">[Insert the comparative results table/chart across dataset variants: dataset size, dedup/filter rate, training time/compute, and downstream evaluation metric(s). Summarize the headline pattern in 2–4 sentences.]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100"/>
        <w:gridCol w:w="2250"/>
      </w:tblGrid>
      <w:tr>
        <w:trPr>
          <w:tblHeader/>
        </w:trPr>
        <w:tc>
          <w:tcPr>
            <w:tcW w:type="dxa" w:w="2900"/>
            <w:shd w:fill="2E5395" w:val="clear"/>
            <w:tcMar>
              <w:top w:type="dxa" w:w="80"/>
              <w:left w:type="dxa" w:w="100"/>
              <w:bottom w:type="dxa" w:w="80"/>
              <w:right w:type="dxa" w:w="100"/>
            </w:tcMar>
          </w:tcPr>
          <w:p>
            <w:r>
              <w:rPr>
                <w:b/>
                <w:bCs/>
                <w:color w:val="FFFFFF"/>
                <w:sz w:val="20"/>
                <w:szCs w:val="20"/>
              </w:rPr>
              <w:t xml:space="preserve">Dataset Variant</w:t>
            </w:r>
          </w:p>
        </w:tc>
        <w:tc>
          <w:tcPr>
            <w:tcW w:type="dxa" w:w="2100"/>
            <w:shd w:fill="2E5395" w:val="clear"/>
            <w:tcMar>
              <w:top w:type="dxa" w:w="80"/>
              <w:left w:type="dxa" w:w="100"/>
              <w:bottom w:type="dxa" w:w="80"/>
              <w:right w:type="dxa" w:w="100"/>
            </w:tcMar>
          </w:tcPr>
          <w:p>
            <w:r>
              <w:rPr>
                <w:b/>
                <w:bCs/>
                <w:color w:val="FFFFFF"/>
                <w:sz w:val="20"/>
                <w:szCs w:val="20"/>
              </w:rPr>
              <w:t xml:space="preserve">Size vs. Raw</w:t>
            </w:r>
          </w:p>
        </w:tc>
        <w:tc>
          <w:tcPr>
            <w:tcW w:type="dxa" w:w="2100"/>
            <w:shd w:fill="2E5395" w:val="clear"/>
            <w:tcMar>
              <w:top w:type="dxa" w:w="80"/>
              <w:left w:type="dxa" w:w="100"/>
              <w:bottom w:type="dxa" w:w="80"/>
              <w:right w:type="dxa" w:w="100"/>
            </w:tcMar>
          </w:tcPr>
          <w:p>
            <w:r>
              <w:rPr>
                <w:b/>
                <w:bCs/>
                <w:color w:val="FFFFFF"/>
                <w:sz w:val="20"/>
                <w:szCs w:val="20"/>
              </w:rPr>
              <w:t xml:space="preserve">Training Compute</w:t>
            </w:r>
          </w:p>
        </w:tc>
        <w:tc>
          <w:tcPr>
            <w:tcW w:type="dxa" w:w="2250"/>
            <w:shd w:fill="2E5395" w:val="clear"/>
            <w:tcMar>
              <w:top w:type="dxa" w:w="80"/>
              <w:left w:type="dxa" w:w="100"/>
              <w:bottom w:type="dxa" w:w="80"/>
              <w:right w:type="dxa" w:w="100"/>
            </w:tcMar>
          </w:tcPr>
          <w:p>
            <w:r>
              <w:rPr>
                <w:b/>
                <w:bCs/>
                <w:color w:val="FFFFFF"/>
                <w:sz w:val="20"/>
                <w:szCs w:val="20"/>
              </w:rPr>
              <w:t xml:space="preserve">Downstream Performance</w:t>
            </w:r>
          </w:p>
        </w:tc>
      </w:tr>
      <w:tr>
        <w:tc>
          <w:tcPr>
            <w:tcW w:type="dxa" w:w="2900"/>
            <w:tcMar>
              <w:top w:type="dxa" w:w="80"/>
              <w:left w:type="dxa" w:w="100"/>
              <w:bottom w:type="dxa" w:w="80"/>
              <w:right w:type="dxa" w:w="100"/>
            </w:tcMar>
          </w:tcPr>
          <w:p>
            <w:r>
              <w:rPr>
                <w:b w:val="false"/>
                <w:bCs w:val="false"/>
                <w:color w:val="000000"/>
                <w:sz w:val="20"/>
                <w:szCs w:val="20"/>
              </w:rPr>
              <w:t xml:space="preserve">Raw (unfiltered)</w:t>
            </w:r>
          </w:p>
        </w:tc>
        <w:tc>
          <w:tcPr>
            <w:tcW w:type="dxa" w:w="2100"/>
            <w:tcMar>
              <w:top w:type="dxa" w:w="80"/>
              <w:left w:type="dxa" w:w="100"/>
              <w:bottom w:type="dxa" w:w="80"/>
              <w:right w:type="dxa" w:w="100"/>
            </w:tcMar>
          </w:tcPr>
          <w:p>
            <w:r>
              <w:rPr>
                <w:b w:val="false"/>
                <w:bCs w:val="false"/>
                <w:color w:val="000000"/>
                <w:sz w:val="20"/>
                <w:szCs w:val="20"/>
              </w:rPr>
              <w:t xml:space="preserve">100%</w:t>
            </w:r>
          </w:p>
        </w:tc>
        <w:tc>
          <w:tcPr>
            <w:tcW w:type="dxa" w:w="2100"/>
            <w:tcMar>
              <w:top w:type="dxa" w:w="80"/>
              <w:left w:type="dxa" w:w="100"/>
              <w:bottom w:type="dxa" w:w="80"/>
              <w:right w:type="dxa" w:w="100"/>
            </w:tcMar>
          </w:tcPr>
          <w:p>
            <w:r>
              <w:rPr>
                <w:b w:val="false"/>
                <w:bCs w:val="false"/>
                <w:color w:val="000000"/>
                <w:sz w:val="20"/>
                <w:szCs w:val="20"/>
              </w:rPr>
              <w:t xml:space="preserve">[value]</w:t>
            </w:r>
          </w:p>
        </w:tc>
        <w:tc>
          <w:tcPr>
            <w:tcW w:type="dxa" w:w="2250"/>
            <w:tcMar>
              <w:top w:type="dxa" w:w="80"/>
              <w:left w:type="dxa" w:w="100"/>
              <w:bottom w:type="dxa" w:w="80"/>
              <w:right w:type="dxa" w:w="100"/>
            </w:tcMar>
          </w:tcPr>
          <w:p>
            <w:r>
              <w:rPr>
                <w:b w:val="false"/>
                <w:bCs w:val="false"/>
                <w:color w:val="000000"/>
                <w:sz w:val="20"/>
                <w:szCs w:val="20"/>
              </w:rPr>
              <w:t xml:space="preserve">[value]</w:t>
            </w:r>
          </w:p>
        </w:tc>
      </w:tr>
      <w:tr>
        <w:tc>
          <w:tcPr>
            <w:tcW w:type="dxa" w:w="2900"/>
            <w:tcMar>
              <w:top w:type="dxa" w:w="80"/>
              <w:left w:type="dxa" w:w="100"/>
              <w:bottom w:type="dxa" w:w="80"/>
              <w:right w:type="dxa" w:w="100"/>
            </w:tcMar>
          </w:tcPr>
          <w:p>
            <w:r>
              <w:rPr>
                <w:b w:val="false"/>
                <w:bCs w:val="false"/>
                <w:color w:val="000000"/>
                <w:sz w:val="20"/>
                <w:szCs w:val="20"/>
              </w:rPr>
              <w:t xml:space="preserve">Filtered only</w:t>
            </w:r>
          </w:p>
        </w:tc>
        <w:tc>
          <w:tcPr>
            <w:tcW w:type="dxa" w:w="2100"/>
            <w:tcMar>
              <w:top w:type="dxa" w:w="80"/>
              <w:left w:type="dxa" w:w="100"/>
              <w:bottom w:type="dxa" w:w="80"/>
              <w:right w:type="dxa" w:w="100"/>
            </w:tcMar>
          </w:tcPr>
          <w:p>
            <w:r>
              <w:rPr>
                <w:b w:val="false"/>
                <w:bCs w:val="false"/>
                <w:color w:val="000000"/>
                <w:sz w:val="20"/>
                <w:szCs w:val="20"/>
              </w:rPr>
              <w:t xml:space="preserve">[value]</w:t>
            </w:r>
          </w:p>
        </w:tc>
        <w:tc>
          <w:tcPr>
            <w:tcW w:type="dxa" w:w="2100"/>
            <w:tcMar>
              <w:top w:type="dxa" w:w="80"/>
              <w:left w:type="dxa" w:w="100"/>
              <w:bottom w:type="dxa" w:w="80"/>
              <w:right w:type="dxa" w:w="100"/>
            </w:tcMar>
          </w:tcPr>
          <w:p>
            <w:r>
              <w:rPr>
                <w:b w:val="false"/>
                <w:bCs w:val="false"/>
                <w:color w:val="000000"/>
                <w:sz w:val="20"/>
                <w:szCs w:val="20"/>
              </w:rPr>
              <w:t xml:space="preserve">[value]</w:t>
            </w:r>
          </w:p>
        </w:tc>
        <w:tc>
          <w:tcPr>
            <w:tcW w:type="dxa" w:w="2250"/>
            <w:tcMar>
              <w:top w:type="dxa" w:w="80"/>
              <w:left w:type="dxa" w:w="100"/>
              <w:bottom w:type="dxa" w:w="80"/>
              <w:right w:type="dxa" w:w="100"/>
            </w:tcMar>
          </w:tcPr>
          <w:p>
            <w:r>
              <w:rPr>
                <w:b w:val="false"/>
                <w:bCs w:val="false"/>
                <w:color w:val="000000"/>
                <w:sz w:val="20"/>
                <w:szCs w:val="20"/>
              </w:rPr>
              <w:t xml:space="preserve">[value]</w:t>
            </w:r>
          </w:p>
        </w:tc>
      </w:tr>
      <w:tr>
        <w:tc>
          <w:tcPr>
            <w:tcW w:type="dxa" w:w="2900"/>
            <w:tcMar>
              <w:top w:type="dxa" w:w="80"/>
              <w:left w:type="dxa" w:w="100"/>
              <w:bottom w:type="dxa" w:w="80"/>
              <w:right w:type="dxa" w:w="100"/>
            </w:tcMar>
          </w:tcPr>
          <w:p>
            <w:r>
              <w:rPr>
                <w:b w:val="false"/>
                <w:bCs w:val="false"/>
                <w:color w:val="000000"/>
                <w:sz w:val="20"/>
                <w:szCs w:val="20"/>
              </w:rPr>
              <w:t xml:space="preserve">Deduplicated only</w:t>
            </w:r>
          </w:p>
        </w:tc>
        <w:tc>
          <w:tcPr>
            <w:tcW w:type="dxa" w:w="2100"/>
            <w:tcMar>
              <w:top w:type="dxa" w:w="80"/>
              <w:left w:type="dxa" w:w="100"/>
              <w:bottom w:type="dxa" w:w="80"/>
              <w:right w:type="dxa" w:w="100"/>
            </w:tcMar>
          </w:tcPr>
          <w:p>
            <w:r>
              <w:rPr>
                <w:b w:val="false"/>
                <w:bCs w:val="false"/>
                <w:color w:val="000000"/>
                <w:sz w:val="20"/>
                <w:szCs w:val="20"/>
              </w:rPr>
              <w:t xml:space="preserve">[value]</w:t>
            </w:r>
          </w:p>
        </w:tc>
        <w:tc>
          <w:tcPr>
            <w:tcW w:type="dxa" w:w="2100"/>
            <w:tcMar>
              <w:top w:type="dxa" w:w="80"/>
              <w:left w:type="dxa" w:w="100"/>
              <w:bottom w:type="dxa" w:w="80"/>
              <w:right w:type="dxa" w:w="100"/>
            </w:tcMar>
          </w:tcPr>
          <w:p>
            <w:r>
              <w:rPr>
                <w:b w:val="false"/>
                <w:bCs w:val="false"/>
                <w:color w:val="000000"/>
                <w:sz w:val="20"/>
                <w:szCs w:val="20"/>
              </w:rPr>
              <w:t xml:space="preserve">[value]</w:t>
            </w:r>
          </w:p>
        </w:tc>
        <w:tc>
          <w:tcPr>
            <w:tcW w:type="dxa" w:w="2250"/>
            <w:tcMar>
              <w:top w:type="dxa" w:w="80"/>
              <w:left w:type="dxa" w:w="100"/>
              <w:bottom w:type="dxa" w:w="80"/>
              <w:right w:type="dxa" w:w="100"/>
            </w:tcMar>
          </w:tcPr>
          <w:p>
            <w:r>
              <w:rPr>
                <w:b w:val="false"/>
                <w:bCs w:val="false"/>
                <w:color w:val="000000"/>
                <w:sz w:val="20"/>
                <w:szCs w:val="20"/>
              </w:rPr>
              <w:t xml:space="preserve">[value]</w:t>
            </w:r>
          </w:p>
        </w:tc>
      </w:tr>
      <w:tr>
        <w:tc>
          <w:tcPr>
            <w:tcW w:type="dxa" w:w="2900"/>
            <w:tcMar>
              <w:top w:type="dxa" w:w="80"/>
              <w:left w:type="dxa" w:w="100"/>
              <w:bottom w:type="dxa" w:w="80"/>
              <w:right w:type="dxa" w:w="100"/>
            </w:tcMar>
          </w:tcPr>
          <w:p>
            <w:r>
              <w:rPr>
                <w:b w:val="false"/>
                <w:bCs w:val="false"/>
                <w:color w:val="000000"/>
                <w:sz w:val="20"/>
                <w:szCs w:val="20"/>
              </w:rPr>
              <w:t xml:space="preserve">Filtered + Deduplicated</w:t>
            </w:r>
          </w:p>
        </w:tc>
        <w:tc>
          <w:tcPr>
            <w:tcW w:type="dxa" w:w="2100"/>
            <w:tcMar>
              <w:top w:type="dxa" w:w="80"/>
              <w:left w:type="dxa" w:w="100"/>
              <w:bottom w:type="dxa" w:w="80"/>
              <w:right w:type="dxa" w:w="100"/>
            </w:tcMar>
          </w:tcPr>
          <w:p>
            <w:r>
              <w:rPr>
                <w:b w:val="false"/>
                <w:bCs w:val="false"/>
                <w:color w:val="000000"/>
                <w:sz w:val="20"/>
                <w:szCs w:val="20"/>
              </w:rPr>
              <w:t xml:space="preserve">[value]</w:t>
            </w:r>
          </w:p>
        </w:tc>
        <w:tc>
          <w:tcPr>
            <w:tcW w:type="dxa" w:w="2100"/>
            <w:tcMar>
              <w:top w:type="dxa" w:w="80"/>
              <w:left w:type="dxa" w:w="100"/>
              <w:bottom w:type="dxa" w:w="80"/>
              <w:right w:type="dxa" w:w="100"/>
            </w:tcMar>
          </w:tcPr>
          <w:p>
            <w:r>
              <w:rPr>
                <w:b w:val="false"/>
                <w:bCs w:val="false"/>
                <w:color w:val="000000"/>
                <w:sz w:val="20"/>
                <w:szCs w:val="20"/>
              </w:rPr>
              <w:t xml:space="preserve">[value]</w:t>
            </w:r>
          </w:p>
        </w:tc>
        <w:tc>
          <w:tcPr>
            <w:tcW w:type="dxa" w:w="2250"/>
            <w:tcMar>
              <w:top w:type="dxa" w:w="80"/>
              <w:left w:type="dxa" w:w="100"/>
              <w:bottom w:type="dxa" w:w="80"/>
              <w:right w:type="dxa" w:w="100"/>
            </w:tcMar>
          </w:tcPr>
          <w:p>
            <w:r>
              <w:rPr>
                <w:b w:val="false"/>
                <w:bCs w:val="false"/>
                <w:color w:val="000000"/>
                <w:sz w:val="20"/>
                <w:szCs w:val="20"/>
              </w:rPr>
              <w:t xml:space="preserve">[value]</w:t>
            </w:r>
          </w:p>
        </w:tc>
      </w:tr>
    </w:tbl>
    <w:p>
      <w:pPr>
        <w:spacing w:after="160"/>
      </w:pPr>
    </w:p>
    <w:p>
      <w:pPr>
        <w:pStyle w:val="Heading2"/>
        <w:spacing w:after="120" w:before="320"/>
      </w:pPr>
      <w:r>
        <w:rPr>
          <w:color w:val="2E5395"/>
        </w:rPr>
        <w:t xml:space="preserve">6. Did We Achieve the Objective?</w:t>
      </w:r>
    </w:p>
    <w:p>
      <w:pPr>
        <w:pStyle w:val="Heading3"/>
        <w:spacing w:after="80" w:before="200"/>
      </w:pPr>
      <w:r>
        <w:t xml:space="preserve">Objective recap</w:t>
      </w:r>
    </w:p>
    <w:p>
      <w:pPr>
        <w:spacing w:after="140"/>
      </w:pPr>
      <w:r>
        <w:rPr>
          <w:sz w:val="22"/>
          <w:szCs w:val="22"/>
        </w:rPr>
        <w:t xml:space="preserve">Develop a distributed data-curation pipeline that filters, deduplicates, and organizes large-scale LLM training data, and evaluate the impact on training efficiency and model performance.</w:t>
      </w:r>
    </w:p>
    <w:p>
      <w:pPr>
        <w:pStyle w:val="Heading3"/>
        <w:spacing w:after="80" w:before="200"/>
      </w:pPr>
      <w:r>
        <w:t xml:space="preserve">Findings vs. objective</w:t>
      </w:r>
    </w:p>
    <w:p>
      <w:pPr>
        <w:shd w:fill="F2F2F2" w:val="clear"/>
        <w:spacing w:after="160"/>
      </w:pPr>
      <w:r>
        <w:rPr>
          <w:i/>
          <w:iCs/>
          <w:color w:val="808080"/>
          <w:sz w:val="21"/>
          <w:szCs w:val="21"/>
        </w:rPr>
        <w:t xml:space="preserve">[Directly state, with evidence from Section 5, whether curation reduced data/compute needs while maintaining or improving performance. Reference specific numbers.]</w:t>
      </w:r>
    </w:p>
    <w:p>
      <w:pPr>
        <w:pStyle w:val="Heading3"/>
        <w:spacing w:after="80" w:before="200"/>
      </w:pPr>
      <w:r>
        <w:t xml:space="preserve">Conclusion</w:t>
      </w:r>
    </w:p>
    <w:p>
      <w:pPr>
        <w:shd w:fill="F2F2F2" w:val="clear"/>
        <w:spacing w:after="160"/>
      </w:pPr>
      <w:r>
        <w:rPr>
          <w:i/>
          <w:iCs/>
          <w:color w:val="808080"/>
          <w:sz w:val="21"/>
          <w:szCs w:val="21"/>
        </w:rPr>
        <w:t xml:space="preserve">[State clearly: Objective Achieved / Partially Achieved / Not Achieved — and why, in 2–3 sentences.]</w:t>
      </w:r>
    </w:p>
    <w:p>
      <w:pPr>
        <w:pStyle w:val="Heading2"/>
        <w:spacing w:after="120" w:before="320"/>
      </w:pPr>
      <w:r>
        <w:rPr>
          <w:color w:val="2E5395"/>
        </w:rPr>
        <w:t xml:space="preserve">7. Challenges &amp; Limitations</w:t>
      </w:r>
    </w:p>
    <w:p>
      <w:pPr>
        <w:shd w:fill="F2F2F2" w:val="clear"/>
        <w:spacing w:after="160"/>
      </w:pPr>
      <w:r>
        <w:rPr>
          <w:i/>
          <w:iCs/>
          <w:color w:val="808080"/>
          <w:sz w:val="21"/>
          <w:szCs w:val="21"/>
        </w:rPr>
        <w:t xml:space="preserve">[Technical limitations (compute/time/scale constraints), methodological caveats (e.g., small model size not fully representative of production LLMs), and anything that would need to change to scale this up.]</w:t>
      </w:r>
    </w:p>
    <w:p>
      <w:pPr>
        <w:pStyle w:val="Heading2"/>
        <w:spacing w:after="120" w:before="320"/>
      </w:pPr>
      <w:r>
        <w:rPr>
          <w:color w:val="2E5395"/>
        </w:rPr>
        <w:t xml:space="preserve">8. Conclusion &amp; Future Work</w:t>
      </w:r>
    </w:p>
    <w:p>
      <w:pPr>
        <w:shd w:fill="F2F2F2" w:val="clear"/>
        <w:spacing w:after="160"/>
      </w:pPr>
      <w:r>
        <w:rPr>
          <w:i/>
          <w:iCs/>
          <w:color w:val="808080"/>
          <w:sz w:val="21"/>
          <w:szCs w:val="21"/>
        </w:rPr>
        <w:t xml:space="preserve">[Summarize what this project demonstrated. Suggest concrete next steps: larger-scale runs, additional filtering signals, different dedup thresholds, larger models, additional benchmarks, etc.]</w:t>
      </w:r>
    </w:p>
    <w:p>
      <w:pPr>
        <w:pStyle w:val="Heading2"/>
        <w:spacing w:after="120" w:before="320"/>
      </w:pPr>
      <w:r>
        <w:rPr>
          <w:color w:val="2E5395"/>
        </w:rPr>
        <w:t xml:space="preserve">9. References</w:t>
      </w:r>
    </w:p>
    <w:p>
      <w:pPr>
        <w:pStyle w:val="ListParagraph"/>
        <w:numPr>
          <w:ilvl w:val="0"/>
          <w:numId w:val="2"/>
        </w:numPr>
        <w:spacing w:after="60"/>
      </w:pPr>
      <w:r>
        <w:rPr>
          <w:sz w:val="22"/>
          <w:szCs w:val="22"/>
        </w:rPr>
        <w:t xml:space="preserve">L. Gao et al., “The Pile: An 800GB Dataset of Diverse Text for Language Modeling,” arXiv preprint arXiv:2101.00027, 2020.</w:t>
      </w:r>
    </w:p>
    <w:p>
      <w:pPr>
        <w:pStyle w:val="ListParagraph"/>
        <w:numPr>
          <w:ilvl w:val="0"/>
          <w:numId w:val="2"/>
        </w:numPr>
        <w:spacing w:after="60"/>
      </w:pPr>
      <w:r>
        <w:rPr>
          <w:sz w:val="22"/>
          <w:szCs w:val="22"/>
        </w:rPr>
        <w:t xml:space="preserve">K. Lee et al., “Deduplicating Training Data Makes Language Models Better,” arXiv preprint arXiv:2107.06499, 2022.</w:t>
      </w:r>
    </w:p>
    <w:p>
      <w:pPr>
        <w:pStyle w:val="ListParagraph"/>
        <w:numPr>
          <w:ilvl w:val="0"/>
          <w:numId w:val="2"/>
        </w:numPr>
        <w:spacing w:after="60"/>
      </w:pPr>
      <w:r>
        <w:rPr>
          <w:sz w:val="22"/>
          <w:szCs w:val="22"/>
        </w:rPr>
        <w:t xml:space="preserve">G. Penedo et al., “The Refined Web Dataset for Falcon LLMs: Outperforming Curated Corpora with Web Data, and Web Data Only,” 2023.</w:t>
      </w:r>
    </w:p>
    <w:p>
      <w:pPr>
        <w:pStyle w:val="ListParagraph"/>
        <w:numPr>
          <w:ilvl w:val="0"/>
          <w:numId w:val="2"/>
        </w:numPr>
        <w:spacing w:after="60"/>
      </w:pPr>
      <w:r>
        <w:rPr>
          <w:sz w:val="22"/>
          <w:szCs w:val="22"/>
        </w:rPr>
        <w:t xml:space="preserve">G. Penedo et al., “The Fine Web Datasets: Decanting the Web for the Finest Text Data at Scale,” Advances in Neural Information Processing Systems (NeurIPS), 2024.</w:t>
      </w:r>
    </w:p>
    <w:p>
      <w:pPr>
        <w:pStyle w:val="ListParagraph"/>
        <w:numPr>
          <w:ilvl w:val="0"/>
          <w:numId w:val="2"/>
        </w:numPr>
        <w:spacing w:after="60"/>
      </w:pPr>
      <w:r>
        <w:rPr>
          <w:sz w:val="22"/>
          <w:szCs w:val="22"/>
        </w:rPr>
        <w:t xml:space="preserve">J. Kaplan et al., “Scaling Laws for Neural Language Models,” arXiv preprint arXiv:2001.08361, 2020.</w:t>
      </w:r>
    </w:p>
    <w:p>
      <w:pPr>
        <w:pStyle w:val="ListParagraph"/>
        <w:numPr>
          <w:ilvl w:val="0"/>
          <w:numId w:val="2"/>
        </w:numPr>
        <w:spacing w:after="60"/>
      </w:pPr>
      <w:r>
        <w:rPr>
          <w:sz w:val="22"/>
          <w:szCs w:val="22"/>
        </w:rPr>
        <w:t xml:space="preserve">J. Hoffmann et al., “Training Compute-Optimal Large Language Models,” arXiv preprint arXiv:2203.15556, 2022.</w:t>
      </w:r>
    </w:p>
    <w:p>
      <w:pPr>
        <w:pStyle w:val="ListParagraph"/>
        <w:numPr>
          <w:ilvl w:val="0"/>
          <w:numId w:val="2"/>
        </w:numPr>
        <w:spacing w:after="60"/>
      </w:pPr>
      <w:r>
        <w:rPr>
          <w:sz w:val="22"/>
          <w:szCs w:val="22"/>
        </w:rPr>
        <w:t xml:space="preserve">S. Y. Gadre et al., “Data Comp: In Search of the Next Generation of Multimodal Datasets,” arXiv preprint arXiv:2304.14108, 2023.</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LLM Data Forge — CSCI 6996 Independent Study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420" w:hanging="260"/>
      </w:pPr>
    </w:lvl>
  </w:abstractNum>
  <w:abstractNum w:abstractNumId="4" w15:restartNumberingAfterBreak="0">
    <w:multiLevelType w:val="hybridMultilevel"/>
    <w:lvl w:ilvl="0" w15:tentative="1">
      <w:start w:val="1"/>
      <w:numFmt w:val="bullet"/>
      <w:lvlText w:val="•"/>
      <w:lvlJc w:val="left"/>
      <w:pPr>
        <w:ind w:left="420" w:hanging="260"/>
      </w:pPr>
    </w:lvl>
  </w:abstractNum>
  <w:abstractNum w:abstractNumId="5" w15:restartNumberingAfterBreak="0">
    <w:multiLevelType w:val="hybridMultilevel"/>
    <w:lvl w:ilvl="0" w15:tentative="1">
      <w:start w:val="1"/>
      <w:numFmt w:val="bullet"/>
      <w:lvlText w:val="•"/>
      <w:lvlJc w:val="left"/>
      <w:pPr>
        <w:ind w:left="420" w:hanging="260"/>
      </w:pPr>
    </w:lvl>
  </w:abstractNum>
  <w:abstractNum w:abstractNumId="6" w15:restartNumberingAfterBreak="0">
    <w:multiLevelType w:val="hybridMultilevel"/>
    <w:lvl w:ilvl="0" w15:tentative="1">
      <w:start w:val="1"/>
      <w:numFmt w:val="bullet"/>
      <w:lvlText w:val="•"/>
      <w:lvlJc w:val="left"/>
      <w:pPr>
        <w:ind w:left="420" w:hanging="260"/>
      </w:pPr>
    </w:lvl>
  </w:abstractNum>
  <w:abstractNum w:abstractNumId="7"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2026-09-13T13:13:18.742Z</dcterms:created>
  <dcterms:modified xsi:type="dcterms:W3CDTF">2026-09-13T13:13:18.742Z</dcterms:modified>
</cp:coreProperties>
</file>

<file path=docProps/custom.xml><?xml version="1.0" encoding="utf-8"?>
<Properties xmlns="http://schemas.openxmlformats.org/officeDocument/2006/custom-properties" xmlns:vt="http://schemas.openxmlformats.org/officeDocument/2006/docPropsVTypes"/>
</file>