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Executive Summary: Delivery Performance, Delay Risk, and Logistics Efficiency Analysis</w:t>
      </w:r>
    </w:p>
    <w:p>
      <w:pPr/>
      <w:r>
        <w:rPr>
          <w:b/>
        </w:rPr>
        <w:t xml:space="preserve">Prepared for:</w:t>
      </w:r>
      <w:r>
        <w:t xml:space="preserve"> APL Logistics (KWE Group) | </w:t>
      </w:r>
      <w:r>
        <w:rPr>
          <w:b/>
        </w:rPr>
        <w:t xml:space="preserve">Programme:</w:t>
      </w:r>
      <w:r>
        <w:t xml:space="preserve"> Unified Mentor </w:t>
      </w:r>
      <w:r>
        <w:rPr>
          <w:b/>
        </w:rPr>
        <w:t xml:space="preserve">Author:</w:t>
      </w:r>
      <w:r>
        <w:t xml:space="preserve"> Yashraj Sagar Shedage | </w:t>
      </w:r>
      <w:r>
        <w:rPr>
          <w:b/>
        </w:rPr>
        <w:t xml:space="preserve">Date:</w:t>
      </w:r>
      <w:r>
        <w:t xml:space="preserve"> October 2026</w:t>
      </w:r>
    </w:p>
    <w:p>
      <w:pPr>
        <w:pStyle w:val="Heading2"/>
      </w:pPr>
      <w:r>
        <w:t xml:space="preserve">Purpose</w:t>
      </w:r>
    </w:p>
    <w:p>
      <w:pPr/>
      <w:r>
        <w:t xml:space="preserve">APL Logistics handles high-volume shipments across many regions and markets, but has no quantified view of how reliably those shipments arrive. This project builds a diagnostic layer that measures on-time delivery, explains the late-delivery risk flag, and shows which shipping modes, regions, and customer segments carry the most delay risk. It is delivered as a research paper and a live Streamlit dashboard.</w:t>
      </w:r>
    </w:p>
    <w:p>
      <w:pPr>
        <w:pStyle w:val="Heading2"/>
      </w:pPr>
      <w:r>
        <w:t xml:space="preserve">Approach</w:t>
      </w:r>
    </w:p>
    <w:p>
      <w:pPr/>
      <w:r>
        <w:t xml:space="preserve">For every order, the Delivery Delay Gap is calculated as actual shipping days minus scheduled shipping days, and each order is classified as On-time, Delayed, or Early. Five KPIs are then computed overall and by shipping mode, region, market, and customer segment. The analysis covers 5,910 cleaned orders from a schema-accurate demonstration dataset. It is a demonstration of the method, and the pipeline can be re-run on real data without code changes.</w:t>
      </w:r>
    </w:p>
    <w:p>
      <w:pPr>
        <w:pStyle w:val="Heading2"/>
      </w:pPr>
      <w:r>
        <w:t xml:space="preserve">Key Findings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Result</w:t>
            </w:r>
          </w:p>
        </w:tc>
      </w:tr>
      <w:tr>
        <w:tc>
          <w:tcPr>
            <w:tcW w:w="4680" w:type="dxa"/>
          </w:tcPr>
          <w:p>
            <w:pPr/>
            <w:r>
              <w:t xml:space="preserve">On-Time Delivery Rate</w:t>
            </w:r>
          </w:p>
        </w:tc>
        <w:tc>
          <w:tcPr>
            <w:tcW w:w="4680" w:type="dxa"/>
          </w:tcPr>
          <w:p>
            <w:pPr/>
            <w:r>
              <w:t xml:space="preserve">28.2%</w:t>
            </w:r>
          </w:p>
        </w:tc>
      </w:tr>
      <w:tr>
        <w:tc>
          <w:tcPr>
            <w:tcW w:w="4680" w:type="dxa"/>
          </w:tcPr>
          <w:p>
            <w:pPr/>
            <w:r>
              <w:t xml:space="preserve">Late (Delayed) orders</w:t>
            </w:r>
          </w:p>
        </w:tc>
        <w:tc>
          <w:tcPr>
            <w:tcW w:w="4680" w:type="dxa"/>
          </w:tcPr>
          <w:p>
            <w:pPr/>
            <w:r>
              <w:t xml:space="preserve">38.9%</w:t>
            </w:r>
          </w:p>
        </w:tc>
      </w:tr>
      <w:tr>
        <w:tc>
          <w:tcPr>
            <w:tcW w:w="4680" w:type="dxa"/>
          </w:tcPr>
          <w:p>
            <w:pPr/>
            <w:r>
              <w:t xml:space="preserve">Early orders</w:t>
            </w:r>
          </w:p>
        </w:tc>
        <w:tc>
          <w:tcPr>
            <w:tcW w:w="4680" w:type="dxa"/>
          </w:tcPr>
          <w:p>
            <w:pPr/>
            <w:r>
              <w:t xml:space="preserve">32.9%</w:t>
            </w:r>
          </w:p>
        </w:tc>
      </w:tr>
      <w:tr>
        <w:tc>
          <w:tcPr>
            <w:tcW w:w="4680" w:type="dxa"/>
          </w:tcPr>
          <w:p>
            <w:pPr/>
            <w:r>
              <w:t xml:space="preserve">Average Delivery Delay</w:t>
            </w:r>
          </w:p>
        </w:tc>
        <w:tc>
          <w:tcPr>
            <w:tcW w:w="4680" w:type="dxa"/>
          </w:tcPr>
          <w:p>
            <w:pPr/>
            <w:r>
              <w:t xml:space="preserve">0.13 days</w:t>
            </w:r>
          </w:p>
        </w:tc>
      </w:tr>
      <w:tr>
        <w:tc>
          <w:tcPr>
            <w:tcW w:w="4680" w:type="dxa"/>
          </w:tcPr>
          <w:p>
            <w:pPr/>
            <w:r>
              <w:t xml:space="preserve">Orders 2 or more days late</w:t>
            </w:r>
          </w:p>
        </w:tc>
        <w:tc>
          <w:tcPr>
            <w:tcW w:w="4680" w:type="dxa"/>
          </w:tcPr>
          <w:p>
            <w:pPr/>
            <w:r>
              <w:t xml:space="preserve">16.7%</w:t>
            </w:r>
          </w:p>
        </w:tc>
      </w:tr>
    </w:tbl>
    <w:p>
      <w:pPr>
        <w:pStyle w:val="ListParagraph"/>
        <w:numPr>
          <w:ilvl w:val="0"/>
          <w:numId w:val="2"/>
        </w:numPr>
      </w:pPr>
      <w:r>
        <w:rPr>
          <w:b/>
        </w:rPr>
        <w:t xml:space="preserve">Delays are systemic.</w:t>
      </w:r>
      <w:r>
        <w:t xml:space="preserve"> Nearly two in five orders arrive late, and fewer than three in ten arrive exactly on schedule.</w:t>
      </w:r>
    </w:p>
    <w:p>
      <w:pPr>
        <w:pStyle w:val="ListParagraph"/>
        <w:numPr>
          <w:ilvl w:val="0"/>
          <w:numId w:val="2"/>
        </w:numPr>
      </w:pPr>
      <w:r>
        <w:rPr>
          <w:b/>
        </w:rPr>
        <w:t xml:space="preserve">The average hides the risk.</w:t>
      </w:r>
      <w:r>
        <w:t xml:space="preserve"> The mean delay is close to zero, but the spread is wide, and one order in six is two or more days late.</w:t>
      </w:r>
    </w:p>
    <w:p>
      <w:pPr>
        <w:pStyle w:val="ListParagraph"/>
        <w:numPr>
          <w:ilvl w:val="0"/>
          <w:numId w:val="2"/>
        </w:numPr>
      </w:pPr>
      <w:r>
        <w:rPr>
          <w:b/>
        </w:rPr>
        <w:t xml:space="preserve">Scheduled windows look miscalibrated.</w:t>
      </w:r>
      <w:r>
        <w:t xml:space="preserve"> A third of orders arrive early while another 39% arrive late.</w:t>
      </w:r>
    </w:p>
    <w:p>
      <w:pPr>
        <w:pStyle w:val="ListParagraph"/>
        <w:numPr>
          <w:ilvl w:val="0"/>
          <w:numId w:val="2"/>
        </w:numPr>
      </w:pPr>
      <w:r>
        <w:rPr>
          <w:b/>
        </w:rPr>
        <w:t xml:space="preserve">The risk flag is an outcome, not a warning.</w:t>
      </w:r>
      <w:r>
        <w:t xml:space="preserve"> </w:t>
      </w:r>
      <w:r>
        <w:rPr>
          <w:rStyle w:val="CodeChar"/>
        </w:rPr>
        <w:t xml:space="preserve">Late_delivery_risk</w:t>
      </w:r>
      <w:r>
        <w:t xml:space="preserve"> equals 1 for every Delayed order and 0 for all others, so it can only be known after shipping.</w:t>
      </w:r>
    </w:p>
    <w:p>
      <w:pPr>
        <w:pStyle w:val="ListParagraph"/>
        <w:numPr>
          <w:ilvl w:val="0"/>
          <w:numId w:val="2"/>
        </w:numPr>
      </w:pPr>
      <w:r>
        <w:rPr>
          <w:b/>
        </w:rPr>
        <w:t xml:space="preserve">Expedited modes are the weakest.</w:t>
      </w:r>
      <w:r>
        <w:t xml:space="preserve"> Same Day (efficiency index 2.13) and First Class (1.81) carry about twice the burden of Standard Class (1.05). Same Day orders are late about half the time.</w:t>
      </w:r>
    </w:p>
    <w:p>
      <w:pPr>
        <w:pStyle w:val="ListParagraph"/>
        <w:numPr>
          <w:ilvl w:val="0"/>
          <w:numId w:val="2"/>
        </w:numPr>
      </w:pPr>
      <w:r>
        <w:rPr>
          <w:b/>
        </w:rPr>
        <w:t xml:space="preserve">Risk varies by region.</w:t>
      </w:r>
      <w:r>
        <w:t xml:space="preserve"> Regional Delay Index ranges from 0.96 (North Africa) to 1.64 (Canada). Market-level averages (1.21 to 1.38) hide these local differences.</w:t>
      </w:r>
    </w:p>
    <w:p>
      <w:pPr>
        <w:pStyle w:val="ListParagraph"/>
        <w:numPr>
          <w:ilvl w:val="0"/>
          <w:numId w:val="2"/>
        </w:numPr>
      </w:pPr>
      <w:r>
        <w:rPr>
          <w:b/>
        </w:rPr>
        <w:t xml:space="preserve">No customer segment is protected.</w:t>
      </w:r>
      <w:r>
        <w:t xml:space="preserve"> Late-risk is 38.6% to 39.3% across Consumer, Corporate, and Home Office customers.</w:t>
      </w:r>
    </w:p>
    <w:p>
      <w:pPr>
        <w:pStyle w:val="ListParagraph"/>
        <w:numPr>
          <w:ilvl w:val="0"/>
          <w:numId w:val="2"/>
        </w:numPr>
      </w:pPr>
      <w:r>
        <w:rPr>
          <w:b/>
        </w:rPr>
        <w:t xml:space="preserve">Delays cost money.</w:t>
      </w:r>
      <w:r>
        <w:t xml:space="preserve"> Delayed orders earn about 5% less benefit per order than on-time or early orders.</w:t>
      </w:r>
    </w:p>
    <w:p>
      <w:pPr>
        <w:pStyle w:val="Heading2"/>
      </w:pPr>
      <w:r>
        <w:t xml:space="preserve">Recommendations</w:t>
      </w:r>
    </w:p>
    <w:p>
      <w:pPr>
        <w:pStyle w:val="ListParagraph"/>
        <w:numPr>
          <w:ilvl w:val="0"/>
          <w:numId w:val="3"/>
        </w:numPr>
      </w:pPr>
      <w:r>
        <w:t xml:space="preserve">Recalibrate scheduled windows for Same Day and First Class, or add mode-specific buffers.</w:t>
      </w:r>
    </w:p>
    <w:p>
      <w:pPr>
        <w:pStyle w:val="ListParagraph"/>
        <w:numPr>
          <w:ilvl w:val="0"/>
          <w:numId w:val="3"/>
        </w:numPr>
      </w:pPr>
      <w:r>
        <w:t xml:space="preserve">Review carriers and routes in the highest-risk regions before adding volume.</w:t>
      </w:r>
    </w:p>
    <w:p>
      <w:pPr>
        <w:pStyle w:val="ListParagraph"/>
        <w:numPr>
          <w:ilvl w:val="0"/>
          <w:numId w:val="3"/>
        </w:numPr>
      </w:pPr>
      <w:r>
        <w:t xml:space="preserve">Quote delivery dates at booking from mode and region history.</w:t>
      </w:r>
    </w:p>
    <w:p>
      <w:pPr>
        <w:pStyle w:val="ListParagraph"/>
        <w:numPr>
          <w:ilvl w:val="0"/>
          <w:numId w:val="3"/>
        </w:numPr>
      </w:pPr>
      <w:r>
        <w:t xml:space="preserve">Apply delay mitigation across all customer segments.</w:t>
      </w:r>
    </w:p>
    <w:p>
      <w:pPr>
        <w:pStyle w:val="ListParagraph"/>
        <w:numPr>
          <w:ilvl w:val="0"/>
          <w:numId w:val="3"/>
        </w:numPr>
      </w:pPr>
      <w:r>
        <w:t xml:space="preserve">Track the KPIs weekly or monthly in the dashboard.</w:t>
      </w:r>
    </w:p>
    <w:p>
      <w:pPr>
        <w:pStyle w:val="ListParagraph"/>
        <w:numPr>
          <w:ilvl w:val="0"/>
          <w:numId w:val="3"/>
        </w:numPr>
      </w:pPr>
      <w:r>
        <w:t xml:space="preserve">Build a predictive model to flag late risk at order intake, since the current flag only appears after delivery.</w:t>
      </w:r>
    </w:p>
    <w:p>
      <w:pPr>
        <w:pStyle w:val="Heading2"/>
      </w:pPr>
      <w:r>
        <w:t xml:space="preserve">Caveats</w:t>
      </w:r>
    </w:p>
    <w:p>
      <w:pPr/>
      <w:r>
        <w:t xml:space="preserve">Results come from demonstration data, so specific regional and mode rankings must be confirmed on production data. The study is descriptive and does not establish causes. Some regions have fewer than 200 orders, so neighbouring ranks are not statistically firm.</w:t>
      </w:r>
    </w:p>
    <w:p>
      <w:pPr>
        <w:pStyle w:val="Heading2"/>
      </w:pPr>
      <w:r>
        <w:t xml:space="preserve">Next Steps</w:t>
      </w:r>
    </w:p>
    <w:p>
      <w:pPr/>
      <w:r>
        <w:t xml:space="preserve">Load APL's real order extract into the existing pipeline to refresh every figure, then move to predictive modelling of late-delivery risk and optimization of carrier, route, and mode selection.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Executive Summary Delivery Performance, Delay Risk, and Logistics Efficiency Ana</dc:title>
  <dc:description>Claude Docs node/429d6745-9e35@1 docx-w6</dc:description>
  <cp:revision>1</cp:revision>
</cp:coreProperties>
</file>