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F91D" w14:textId="77777777" w:rsidR="00495B48" w:rsidRDefault="00000000">
      <w:pPr>
        <w:spacing w:after="100"/>
        <w:jc w:val="center"/>
      </w:pPr>
      <w:r>
        <w:rPr>
          <w:b/>
          <w:bCs/>
          <w:color w:val="1F4E5F"/>
          <w:sz w:val="40"/>
          <w:szCs w:val="40"/>
        </w:rPr>
        <w:t>Executive Summary</w:t>
      </w:r>
    </w:p>
    <w:p w14:paraId="453DF91E" w14:textId="77777777" w:rsidR="00495B48" w:rsidRDefault="00000000">
      <w:pPr>
        <w:spacing w:after="100"/>
        <w:jc w:val="center"/>
      </w:pPr>
      <w:r>
        <w:rPr>
          <w:i/>
          <w:iCs/>
          <w:sz w:val="24"/>
          <w:szCs w:val="24"/>
        </w:rPr>
        <w:t>Delivery Performance, Delay Risk &amp; Logistics Efficiency Analysis — APL Logistics (KWE Group)</w:t>
      </w:r>
    </w:p>
    <w:p w14:paraId="453DF91F" w14:textId="77777777" w:rsidR="00495B48" w:rsidRDefault="00000000">
      <w:pPr>
        <w:spacing w:after="400"/>
        <w:jc w:val="center"/>
      </w:pPr>
      <w:r>
        <w:rPr>
          <w:color w:val="555555"/>
          <w:sz w:val="20"/>
          <w:szCs w:val="20"/>
        </w:rPr>
        <w:t>Prepared for government and oversight stakeholders · August 2026</w:t>
      </w:r>
    </w:p>
    <w:p w14:paraId="453DF920" w14:textId="77777777" w:rsidR="00495B48" w:rsidRDefault="00000000">
      <w:pPr>
        <w:pStyle w:val="Heading1"/>
        <w:spacing w:before="260" w:after="140"/>
      </w:pPr>
      <w:r>
        <w:t>Purpose</w:t>
      </w:r>
    </w:p>
    <w:p w14:paraId="453DF921" w14:textId="77777777" w:rsidR="00495B48" w:rsidRDefault="00000000">
      <w:pPr>
        <w:spacing w:after="160"/>
        <w:jc w:val="both"/>
      </w:pPr>
      <w:r>
        <w:t>APL Logistics (KWE Group) operates high-volume, multi-region shipping across global markets. This analysis was commissioned to give logistics leadership — and the government stakeholders overseeing this operational review — a clear, evidence-based picture of delivery reliability: how often shipments arrive on time, why delays occur, and where risk is concentrated geographically and operationally.</w:t>
      </w:r>
    </w:p>
    <w:p w14:paraId="453DF922" w14:textId="77777777" w:rsidR="00495B48" w:rsidRDefault="00000000">
      <w:pPr>
        <w:pStyle w:val="Heading1"/>
        <w:spacing w:before="260" w:after="140"/>
      </w:pPr>
      <w:r>
        <w:t>Headline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0"/>
        <w:gridCol w:w="3740"/>
      </w:tblGrid>
      <w:tr w:rsidR="00495B48" w14:paraId="453DF925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</w:tcPr>
          <w:p w14:paraId="453DF923" w14:textId="77777777" w:rsidR="00495B48" w:rsidRDefault="00000000">
            <w:r>
              <w:rPr>
                <w:b/>
                <w:bCs/>
              </w:rPr>
              <w:t>On-Time Delivery Rate</w:t>
            </w:r>
          </w:p>
        </w:tc>
        <w:tc>
          <w:tcPr>
            <w:tcW w:w="2000" w:type="pct"/>
          </w:tcPr>
          <w:p w14:paraId="453DF924" w14:textId="77777777" w:rsidR="00495B48" w:rsidRDefault="00000000">
            <w:r>
              <w:rPr>
                <w:b/>
                <w:bCs/>
                <w:color w:val="1F4E5F"/>
              </w:rPr>
              <w:t>~28%</w:t>
            </w:r>
          </w:p>
        </w:tc>
      </w:tr>
      <w:tr w:rsidR="00495B48" w14:paraId="453DF928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</w:tcPr>
          <w:p w14:paraId="453DF926" w14:textId="77777777" w:rsidR="00495B48" w:rsidRDefault="00000000">
            <w:r>
              <w:rPr>
                <w:b/>
                <w:bCs/>
              </w:rPr>
              <w:t>Late Delivery Risk Ratio</w:t>
            </w:r>
          </w:p>
        </w:tc>
        <w:tc>
          <w:tcPr>
            <w:tcW w:w="2000" w:type="pct"/>
          </w:tcPr>
          <w:p w14:paraId="453DF927" w14:textId="77777777" w:rsidR="00495B48" w:rsidRDefault="00000000">
            <w:r>
              <w:rPr>
                <w:b/>
                <w:bCs/>
                <w:color w:val="1F4E5F"/>
              </w:rPr>
              <w:t>~39% of shipments</w:t>
            </w:r>
          </w:p>
        </w:tc>
      </w:tr>
      <w:tr w:rsidR="00495B48" w14:paraId="453DF92B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</w:tcPr>
          <w:p w14:paraId="453DF929" w14:textId="77777777" w:rsidR="00495B48" w:rsidRDefault="00000000">
            <w:r>
              <w:rPr>
                <w:b/>
                <w:bCs/>
              </w:rPr>
              <w:t>Average Delivery Delay</w:t>
            </w:r>
          </w:p>
        </w:tc>
        <w:tc>
          <w:tcPr>
            <w:tcW w:w="2000" w:type="pct"/>
          </w:tcPr>
          <w:p w14:paraId="453DF92A" w14:textId="77777777" w:rsidR="00495B48" w:rsidRDefault="00000000">
            <w:r>
              <w:rPr>
                <w:b/>
                <w:bCs/>
                <w:color w:val="1F4E5F"/>
              </w:rPr>
              <w:t>~0.1 days (masks wide variance)</w:t>
            </w:r>
          </w:p>
        </w:tc>
      </w:tr>
      <w:tr w:rsidR="00495B48" w14:paraId="453DF92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</w:tcPr>
          <w:p w14:paraId="453DF92C" w14:textId="77777777" w:rsidR="00495B48" w:rsidRDefault="00000000">
            <w:r>
              <w:rPr>
                <w:b/>
                <w:bCs/>
              </w:rPr>
              <w:t>Highest-Risk Shipping Modes</w:t>
            </w:r>
          </w:p>
        </w:tc>
        <w:tc>
          <w:tcPr>
            <w:tcW w:w="2000" w:type="pct"/>
          </w:tcPr>
          <w:p w14:paraId="453DF92D" w14:textId="77777777" w:rsidR="00495B48" w:rsidRDefault="00000000">
            <w:r>
              <w:rPr>
                <w:b/>
                <w:bCs/>
                <w:color w:val="1F4E5F"/>
              </w:rPr>
              <w:t>Same Day, First Class</w:t>
            </w:r>
          </w:p>
        </w:tc>
      </w:tr>
      <w:tr w:rsidR="00495B48" w14:paraId="453DF931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</w:tcPr>
          <w:p w14:paraId="453DF92F" w14:textId="77777777" w:rsidR="00495B48" w:rsidRDefault="00000000">
            <w:r>
              <w:rPr>
                <w:b/>
                <w:bCs/>
              </w:rPr>
              <w:t>Most Efficient Shipping Mode</w:t>
            </w:r>
          </w:p>
        </w:tc>
        <w:tc>
          <w:tcPr>
            <w:tcW w:w="2000" w:type="pct"/>
          </w:tcPr>
          <w:p w14:paraId="453DF930" w14:textId="77777777" w:rsidR="00495B48" w:rsidRDefault="00000000">
            <w:r>
              <w:rPr>
                <w:b/>
                <w:bCs/>
                <w:color w:val="1F4E5F"/>
              </w:rPr>
              <w:t>Standard Class</w:t>
            </w:r>
          </w:p>
        </w:tc>
      </w:tr>
    </w:tbl>
    <w:p w14:paraId="453DF932" w14:textId="77777777" w:rsidR="00495B48" w:rsidRDefault="00495B48">
      <w:pPr>
        <w:spacing w:after="200"/>
      </w:pPr>
    </w:p>
    <w:p w14:paraId="453DF933" w14:textId="77777777" w:rsidR="00495B48" w:rsidRDefault="00000000">
      <w:pPr>
        <w:spacing w:after="160"/>
        <w:jc w:val="both"/>
      </w:pPr>
      <w:r>
        <w:t>Note: figures above were validated end-to-end on a schema-accurate demonstration dataset because no production data file accompanied the original project brief. The analysis pipeline is built to re-run automatically against the organization's live dataset — a one-file swap — regenerating every figure in this summary against production data.</w:t>
      </w:r>
    </w:p>
    <w:p w14:paraId="453DF934" w14:textId="77777777" w:rsidR="00495B48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53DF946" wp14:editId="453DF947">
            <wp:extent cx="304800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F935" w14:textId="77777777" w:rsidR="00495B48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Delivery outcomes: On-time, Delayed, and Early shipments.</w:t>
      </w:r>
    </w:p>
    <w:p w14:paraId="7D1BFF54" w14:textId="77777777" w:rsidR="00A34703" w:rsidRDefault="00A34703">
      <w:pPr>
        <w:pStyle w:val="Heading1"/>
        <w:spacing w:before="260" w:after="140"/>
      </w:pPr>
    </w:p>
    <w:p w14:paraId="662CE2A4" w14:textId="77777777" w:rsidR="00A34703" w:rsidRDefault="00A34703">
      <w:pPr>
        <w:pStyle w:val="Heading1"/>
        <w:spacing w:before="260" w:after="140"/>
      </w:pPr>
    </w:p>
    <w:p w14:paraId="03F197E5" w14:textId="77777777" w:rsidR="00A34703" w:rsidRDefault="00A34703">
      <w:pPr>
        <w:pStyle w:val="Heading1"/>
        <w:spacing w:before="260" w:after="140"/>
      </w:pPr>
    </w:p>
    <w:p w14:paraId="453DF936" w14:textId="62FFA1DD" w:rsidR="00495B48" w:rsidRDefault="00000000">
      <w:pPr>
        <w:pStyle w:val="Heading1"/>
        <w:spacing w:before="260" w:after="140"/>
      </w:pPr>
      <w:r>
        <w:lastRenderedPageBreak/>
        <w:t>Key Findings</w:t>
      </w:r>
    </w:p>
    <w:p w14:paraId="453DF937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>Delivery timeliness is inconsistent: fewer than one in three shipments lands exactly on the scheduled day.</w:t>
      </w:r>
    </w:p>
    <w:p w14:paraId="453DF938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>Expedited shipping modes (Same Day, First Class) carry substantially higher delay and risk than Standard/Second Class — the current promised windows for these modes appear too aggressive relative to actual performance.</w:t>
      </w:r>
    </w:p>
    <w:p w14:paraId="453DF939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 xml:space="preserve">Delay risk is concentrated in </w:t>
      </w:r>
      <w:proofErr w:type="spellStart"/>
      <w:proofErr w:type="gramStart"/>
      <w:r>
        <w:t>a</w:t>
      </w:r>
      <w:proofErr w:type="spellEnd"/>
      <w:proofErr w:type="gramEnd"/>
      <w:r>
        <w:t xml:space="preserve"> identifiable set of regions, making targeted carrier and route intervention feasible rather than requiring a network-wide overhaul.</w:t>
      </w:r>
    </w:p>
    <w:p w14:paraId="453DF93A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>Risk exposure is broadly consistent across customer segments (Consumer, Corporate, Home Office) — this is a systemic operational issue, not one limited to a single customer tier.</w:t>
      </w:r>
    </w:p>
    <w:p w14:paraId="453DF93B" w14:textId="77777777" w:rsidR="00495B48" w:rsidRDefault="00000000">
      <w:pPr>
        <w:pStyle w:val="Heading1"/>
        <w:spacing w:before="260" w:after="140"/>
      </w:pPr>
      <w:r>
        <w:t>Recommendations</w:t>
      </w:r>
    </w:p>
    <w:p w14:paraId="453DF93C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>Revisit promised delivery windows for expedited shipping modes to better match achievable performance.</w:t>
      </w:r>
    </w:p>
    <w:p w14:paraId="453DF93D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>Prioritize carrier and route review in the highest-risk regions identified in the full research paper.</w:t>
      </w:r>
    </w:p>
    <w:p w14:paraId="453DF93E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>Adopt the accompanying live dashboard as a recurring monitoring tool rather than a one-time report.</w:t>
      </w:r>
    </w:p>
    <w:p w14:paraId="453DF93F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>Use this diagnostic baseline as the foundation for a follow-on predictive/preventive delay-risk model.</w:t>
      </w:r>
    </w:p>
    <w:p w14:paraId="453DF940" w14:textId="77777777" w:rsidR="00495B48" w:rsidRDefault="00000000">
      <w:pPr>
        <w:pStyle w:val="Heading1"/>
        <w:spacing w:before="260" w:after="140"/>
      </w:pPr>
      <w:r>
        <w:t>Deliverables Provided</w:t>
      </w:r>
    </w:p>
    <w:p w14:paraId="453DF941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>Full Research Paper — methodology, KPIs, and regional/segment diagnostics in detail.</w:t>
      </w:r>
    </w:p>
    <w:p w14:paraId="453DF942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Interactive </w:t>
      </w:r>
      <w:proofErr w:type="spellStart"/>
      <w:r>
        <w:t>Streamlit</w:t>
      </w:r>
      <w:proofErr w:type="spellEnd"/>
      <w:r>
        <w:t xml:space="preserve"> Dashboard — live, filterable delivery performance and delay-risk monitoring.</w:t>
      </w:r>
    </w:p>
    <w:p w14:paraId="453DF943" w14:textId="77777777" w:rsidR="00495B48" w:rsidRDefault="00000000">
      <w:pPr>
        <w:pStyle w:val="ListParagraph"/>
        <w:numPr>
          <w:ilvl w:val="0"/>
          <w:numId w:val="1"/>
        </w:numPr>
        <w:spacing w:after="80"/>
      </w:pPr>
      <w:r>
        <w:t>This Executive Summary — a one-page-forward briefing for stakeholder review.</w:t>
      </w:r>
    </w:p>
    <w:p w14:paraId="453DF944" w14:textId="77777777" w:rsidR="00495B48" w:rsidRDefault="00000000">
      <w:pPr>
        <w:pStyle w:val="Heading1"/>
        <w:spacing w:before="260" w:after="140"/>
      </w:pPr>
      <w:r>
        <w:t>Conclusion</w:t>
      </w:r>
    </w:p>
    <w:p w14:paraId="453DF945" w14:textId="77777777" w:rsidR="00495B48" w:rsidRDefault="00000000">
      <w:pPr>
        <w:spacing w:after="160"/>
        <w:jc w:val="both"/>
      </w:pPr>
      <w:r>
        <w:t>This diagnostic layer converts previously fragmented shipping data into a measurable, monitorable operational picture. It equips APL Logistics — and the stakeholders responsible for oversight of this operation — to move from reactive incident response toward preventive, data-driven logistics management.</w:t>
      </w:r>
    </w:p>
    <w:sectPr w:rsidR="00495B4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6DF3C" w14:textId="77777777" w:rsidR="00DD3E08" w:rsidRDefault="00DD3E08">
      <w:r>
        <w:separator/>
      </w:r>
    </w:p>
  </w:endnote>
  <w:endnote w:type="continuationSeparator" w:id="0">
    <w:p w14:paraId="77C950C1" w14:textId="77777777" w:rsidR="00DD3E08" w:rsidRDefault="00DD3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DF949" w14:textId="71AAC603" w:rsidR="00495B48" w:rsidRDefault="00000000">
    <w:pPr>
      <w:jc w:val="center"/>
    </w:pP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A34703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237B7" w14:textId="77777777" w:rsidR="00DD3E08" w:rsidRDefault="00DD3E08">
      <w:r>
        <w:separator/>
      </w:r>
    </w:p>
  </w:footnote>
  <w:footnote w:type="continuationSeparator" w:id="0">
    <w:p w14:paraId="6677F188" w14:textId="77777777" w:rsidR="00DD3E08" w:rsidRDefault="00DD3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DF948" w14:textId="77777777" w:rsidR="00495B48" w:rsidRDefault="00000000">
    <w:pPr>
      <w:jc w:val="center"/>
    </w:pPr>
    <w:r>
      <w:rPr>
        <w:color w:val="777777"/>
        <w:sz w:val="16"/>
        <w:szCs w:val="16"/>
      </w:rPr>
      <w:t>Executive Summary — Delivery Performance &amp; Delay Risk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96525"/>
    <w:multiLevelType w:val="hybridMultilevel"/>
    <w:tmpl w:val="2C345618"/>
    <w:lvl w:ilvl="0" w:tplc="35EE3B60">
      <w:start w:val="1"/>
      <w:numFmt w:val="bullet"/>
      <w:lvlText w:val="●"/>
      <w:lvlJc w:val="left"/>
      <w:pPr>
        <w:ind w:left="720" w:hanging="360"/>
      </w:pPr>
    </w:lvl>
    <w:lvl w:ilvl="1" w:tplc="359CECB2">
      <w:start w:val="1"/>
      <w:numFmt w:val="bullet"/>
      <w:lvlText w:val="○"/>
      <w:lvlJc w:val="left"/>
      <w:pPr>
        <w:ind w:left="1440" w:hanging="360"/>
      </w:pPr>
    </w:lvl>
    <w:lvl w:ilvl="2" w:tplc="F36ADBBE">
      <w:start w:val="1"/>
      <w:numFmt w:val="bullet"/>
      <w:lvlText w:val="■"/>
      <w:lvlJc w:val="left"/>
      <w:pPr>
        <w:ind w:left="2160" w:hanging="360"/>
      </w:pPr>
    </w:lvl>
    <w:lvl w:ilvl="3" w:tplc="840A1908">
      <w:start w:val="1"/>
      <w:numFmt w:val="bullet"/>
      <w:lvlText w:val="●"/>
      <w:lvlJc w:val="left"/>
      <w:pPr>
        <w:ind w:left="2880" w:hanging="360"/>
      </w:pPr>
    </w:lvl>
    <w:lvl w:ilvl="4" w:tplc="9ECA3592">
      <w:start w:val="1"/>
      <w:numFmt w:val="bullet"/>
      <w:lvlText w:val="○"/>
      <w:lvlJc w:val="left"/>
      <w:pPr>
        <w:ind w:left="3600" w:hanging="360"/>
      </w:pPr>
    </w:lvl>
    <w:lvl w:ilvl="5" w:tplc="970ACEE4">
      <w:start w:val="1"/>
      <w:numFmt w:val="bullet"/>
      <w:lvlText w:val="■"/>
      <w:lvlJc w:val="left"/>
      <w:pPr>
        <w:ind w:left="4320" w:hanging="360"/>
      </w:pPr>
    </w:lvl>
    <w:lvl w:ilvl="6" w:tplc="9E968A9A">
      <w:start w:val="1"/>
      <w:numFmt w:val="bullet"/>
      <w:lvlText w:val="●"/>
      <w:lvlJc w:val="left"/>
      <w:pPr>
        <w:ind w:left="5040" w:hanging="360"/>
      </w:pPr>
    </w:lvl>
    <w:lvl w:ilvl="7" w:tplc="D5522904">
      <w:start w:val="1"/>
      <w:numFmt w:val="bullet"/>
      <w:lvlText w:val="●"/>
      <w:lvlJc w:val="left"/>
      <w:pPr>
        <w:ind w:left="5760" w:hanging="360"/>
      </w:pPr>
    </w:lvl>
    <w:lvl w:ilvl="8" w:tplc="F41A3608">
      <w:start w:val="1"/>
      <w:numFmt w:val="bullet"/>
      <w:lvlText w:val="●"/>
      <w:lvlJc w:val="left"/>
      <w:pPr>
        <w:ind w:left="6480" w:hanging="360"/>
      </w:pPr>
    </w:lvl>
  </w:abstractNum>
  <w:num w:numId="1" w16cid:durableId="689726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B48"/>
    <w:rsid w:val="00495B48"/>
    <w:rsid w:val="00A34703"/>
    <w:rsid w:val="00DD3E08"/>
    <w:rsid w:val="00E4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DF91D"/>
  <w15:docId w15:val="{7539CDDA-2785-4D4B-AB6A-6753CBF1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yashrajshedage05@gmail.com</cp:lastModifiedBy>
  <cp:revision>2</cp:revision>
  <dcterms:created xsi:type="dcterms:W3CDTF">2026-08-12T19:22:00Z</dcterms:created>
  <dcterms:modified xsi:type="dcterms:W3CDTF">2026-08-18T17:52:00Z</dcterms:modified>
</cp:coreProperties>
</file>