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00C4B4"/>
          <w:spacing w:val="40"/>
          <w:sz w:val="30"/>
          <w:szCs w:val="30"/>
        </w:rPr>
        <w:t xml:space="preserve">PROJECT REPORT</w:t>
      </w:r>
    </w:p>
    <w:p>
      <w:pPr>
        <w:spacing w:before="300"/>
        <w:jc w:val="center"/>
      </w:pPr>
      <w:r>
        <w:rPr>
          <w:rFonts w:ascii="Calibri" w:cs="Calibri" w:eastAsia="Calibri" w:hAnsi="Calibri"/>
          <w:b/>
          <w:bCs/>
          <w:color w:val="1A2B4A"/>
          <w:sz w:val="56"/>
          <w:szCs w:val="56"/>
        </w:rPr>
        <w:t xml:space="preserve">OCR Readiness Evaluation Platform</w:t>
      </w:r>
    </w:p>
    <w:p>
      <w:pPr>
        <w:spacing w:after="500" w:before="150"/>
        <w:jc w:val="center"/>
      </w:pPr>
      <w:r>
        <w:rPr>
          <w:i/>
          <w:iCs/>
          <w:color w:val="0F3460"/>
          <w:sz w:val="26"/>
          <w:szCs w:val="26"/>
        </w:rPr>
        <w:t xml:space="preserve">An Intelligent Pre-OCR Document Quality Assessment System</w:t>
      </w:r>
    </w:p>
    <w:p>
      <w:pPr>
        <w:spacing w:before="800"/>
        <w:jc w:val="center"/>
      </w:pPr>
      <w:r>
        <w:rPr>
          <w:b/>
          <w:bCs/>
          <w:color w:val="1A2B4A"/>
          <w:sz w:val="24"/>
          <w:szCs w:val="24"/>
        </w:rPr>
        <w:t xml:space="preserve">SNLP Department</w:t>
      </w:r>
    </w:p>
    <w:p>
      <w:pPr>
        <w:jc w:val="center"/>
      </w:pPr>
      <w:r>
        <w:rPr>
          <w:color w:val="4B5563"/>
          <w:sz w:val="22"/>
          <w:szCs w:val="22"/>
        </w:rPr>
        <w:t xml:space="preserve">Submitted by the Project Team</w:t>
      </w:r>
    </w:p>
    <w:p>
      <w:pPr>
        <w:spacing w:before="200"/>
        <w:jc w:val="center"/>
      </w:pPr>
      <w:r>
        <w:rPr>
          <w:color w:val="4B5563"/>
          <w:sz w:val="22"/>
          <w:szCs w:val="22"/>
        </w:rPr>
        <w:t xml:space="preserve">Yash Rajput (Team Lead)  •  Krish  •  Vivek  •  Mansi  •  Tanusha</w:t>
      </w:r>
    </w:p>
    <w:p>
      <w:pPr>
        <w:spacing w:before="1000"/>
        <w:jc w:val="center"/>
      </w:pPr>
      <w:r>
        <w:rPr>
          <w:color w:val="4B5563"/>
          <w:sz w:val="20"/>
          <w:szCs w:val="20"/>
        </w:rPr>
        <w:t xml:space="preserve">July 2026</w:t>
      </w:r>
    </w:p>
    <w:p>
      <w:r>
        <w:br w:type="page"/>
      </w:r>
    </w:p>
    <w:p>
      <w:pPr>
        <w:pStyle w:val="Heading1"/>
        <w:pBdr>
          <w:bottom w:val="single" w:color="00C4B4" w:sz="8" w:space="4"/>
        </w:pBdr>
        <w:spacing w:after="200" w:before="400"/>
      </w:pPr>
      <w:r>
        <w:rPr>
          <w:b/>
          <w:bCs/>
          <w:color w:val="1A2B4A"/>
        </w:rPr>
        <w:t xml:space="preserve">Table of Contents</w:t>
      </w:r>
    </w:p>
    <w:p>
      <w:pPr>
        <w:tabs>
          <w:tab w:val="right" w:pos="9026" w:leader="dot"/>
        </w:tabs>
        <w:spacing w:after="150"/>
      </w:pPr>
      <w:r>
        <w:rPr>
          <w:color w:val="222222"/>
          <w:sz w:val="22"/>
          <w:szCs w:val="22"/>
        </w:rPr>
        <w:t xml:space="preserve">1. Executive Summary</w:t>
      </w:r>
      <w:r>
        <w:rPr>
          <w:color w:val="222222"/>
          <w:sz w:val="22"/>
          <w:szCs w:val="22"/>
        </w:rPr>
        <w:t xml:space="preserve">	3</w:t>
      </w:r>
    </w:p>
    <w:p>
      <w:pPr>
        <w:tabs>
          <w:tab w:val="right" w:pos="9026" w:leader="dot"/>
        </w:tabs>
        <w:spacing w:after="150"/>
      </w:pPr>
      <w:r>
        <w:rPr>
          <w:color w:val="222222"/>
          <w:sz w:val="22"/>
          <w:szCs w:val="22"/>
        </w:rPr>
        <w:t xml:space="preserve">2. Introduction</w:t>
      </w:r>
      <w:r>
        <w:rPr>
          <w:color w:val="222222"/>
          <w:sz w:val="22"/>
          <w:szCs w:val="22"/>
        </w:rPr>
        <w:t xml:space="preserve">	3</w:t>
      </w:r>
    </w:p>
    <w:p>
      <w:pPr>
        <w:tabs>
          <w:tab w:val="right" w:pos="9026" w:leader="dot"/>
        </w:tabs>
        <w:spacing w:after="150"/>
      </w:pPr>
      <w:r>
        <w:rPr>
          <w:color w:val="222222"/>
          <w:sz w:val="22"/>
          <w:szCs w:val="22"/>
        </w:rPr>
        <w:t xml:space="preserve">3. Problem Statement &amp; Objectives</w:t>
      </w:r>
      <w:r>
        <w:rPr>
          <w:color w:val="222222"/>
          <w:sz w:val="22"/>
          <w:szCs w:val="22"/>
        </w:rPr>
        <w:t xml:space="preserve">	4</w:t>
      </w:r>
    </w:p>
    <w:p>
      <w:pPr>
        <w:tabs>
          <w:tab w:val="right" w:pos="9026" w:leader="dot"/>
        </w:tabs>
        <w:spacing w:after="150"/>
      </w:pPr>
      <w:r>
        <w:rPr>
          <w:color w:val="222222"/>
          <w:sz w:val="22"/>
          <w:szCs w:val="22"/>
        </w:rPr>
        <w:t xml:space="preserve">4. Use Cases &amp; Target Users</w:t>
      </w:r>
      <w:r>
        <w:rPr>
          <w:color w:val="222222"/>
          <w:sz w:val="22"/>
          <w:szCs w:val="22"/>
        </w:rPr>
        <w:t xml:space="preserve">	5</w:t>
      </w:r>
    </w:p>
    <w:p>
      <w:pPr>
        <w:tabs>
          <w:tab w:val="right" w:pos="9026" w:leader="dot"/>
        </w:tabs>
        <w:spacing w:after="150"/>
      </w:pPr>
      <w:r>
        <w:rPr>
          <w:color w:val="222222"/>
          <w:sz w:val="22"/>
          <w:szCs w:val="22"/>
        </w:rPr>
        <w:t xml:space="preserve">5. System Architecture</w:t>
      </w:r>
      <w:r>
        <w:rPr>
          <w:color w:val="222222"/>
          <w:sz w:val="22"/>
          <w:szCs w:val="22"/>
        </w:rPr>
        <w:t xml:space="preserve">	6</w:t>
      </w:r>
    </w:p>
    <w:p>
      <w:pPr>
        <w:tabs>
          <w:tab w:val="right" w:pos="9026" w:leader="dot"/>
        </w:tabs>
        <w:spacing w:after="150"/>
      </w:pPr>
      <w:r>
        <w:rPr>
          <w:color w:val="222222"/>
          <w:sz w:val="22"/>
          <w:szCs w:val="22"/>
        </w:rPr>
        <w:t xml:space="preserve">6. Data Flow &amp; Sequence of Operations</w:t>
      </w:r>
      <w:r>
        <w:rPr>
          <w:color w:val="222222"/>
          <w:sz w:val="22"/>
          <w:szCs w:val="22"/>
        </w:rPr>
        <w:t xml:space="preserve">	7</w:t>
      </w:r>
    </w:p>
    <w:p>
      <w:pPr>
        <w:tabs>
          <w:tab w:val="right" w:pos="9026" w:leader="dot"/>
        </w:tabs>
        <w:spacing w:after="150"/>
      </w:pPr>
      <w:r>
        <w:rPr>
          <w:color w:val="222222"/>
          <w:sz w:val="22"/>
          <w:szCs w:val="22"/>
        </w:rPr>
        <w:t xml:space="preserve">7. Application Workflow</w:t>
      </w:r>
      <w:r>
        <w:rPr>
          <w:color w:val="222222"/>
          <w:sz w:val="22"/>
          <w:szCs w:val="22"/>
        </w:rPr>
        <w:t xml:space="preserve">	8</w:t>
      </w:r>
    </w:p>
    <w:p>
      <w:pPr>
        <w:tabs>
          <w:tab w:val="right" w:pos="9026" w:leader="dot"/>
        </w:tabs>
        <w:spacing w:after="150"/>
      </w:pPr>
      <w:r>
        <w:rPr>
          <w:color w:val="222222"/>
          <w:sz w:val="22"/>
          <w:szCs w:val="22"/>
        </w:rPr>
        <w:t xml:space="preserve">8. The Ten OCR Quality Factors</w:t>
      </w:r>
      <w:r>
        <w:rPr>
          <w:color w:val="222222"/>
          <w:sz w:val="22"/>
          <w:szCs w:val="22"/>
        </w:rPr>
        <w:t xml:space="preserve">	9</w:t>
      </w:r>
    </w:p>
    <w:p>
      <w:pPr>
        <w:tabs>
          <w:tab w:val="right" w:pos="9026" w:leader="dot"/>
        </w:tabs>
        <w:spacing w:after="150"/>
      </w:pPr>
      <w:r>
        <w:rPr>
          <w:color w:val="222222"/>
          <w:sz w:val="22"/>
          <w:szCs w:val="22"/>
        </w:rPr>
        <w:t xml:space="preserve">9. Scoring &amp; Prediction-Validation Methodology</w:t>
      </w:r>
      <w:r>
        <w:rPr>
          <w:color w:val="222222"/>
          <w:sz w:val="22"/>
          <w:szCs w:val="22"/>
        </w:rPr>
        <w:t xml:space="preserve">	11</w:t>
      </w:r>
    </w:p>
    <w:p>
      <w:pPr>
        <w:tabs>
          <w:tab w:val="right" w:pos="9026" w:leader="dot"/>
        </w:tabs>
        <w:spacing w:after="150"/>
      </w:pPr>
      <w:r>
        <w:rPr>
          <w:color w:val="222222"/>
          <w:sz w:val="22"/>
          <w:szCs w:val="22"/>
        </w:rPr>
        <w:t xml:space="preserve">10. Worked Example: Sample Analysis Walkthrough</w:t>
      </w:r>
      <w:r>
        <w:rPr>
          <w:color w:val="222222"/>
          <w:sz w:val="22"/>
          <w:szCs w:val="22"/>
        </w:rPr>
        <w:t xml:space="preserve">	12</w:t>
      </w:r>
    </w:p>
    <w:p>
      <w:pPr>
        <w:tabs>
          <w:tab w:val="right" w:pos="9026" w:leader="dot"/>
        </w:tabs>
        <w:spacing w:after="150"/>
      </w:pPr>
      <w:r>
        <w:rPr>
          <w:color w:val="222222"/>
          <w:sz w:val="22"/>
          <w:szCs w:val="22"/>
        </w:rPr>
        <w:t xml:space="preserve">11. User Interface &amp; Navigation</w:t>
      </w:r>
      <w:r>
        <w:rPr>
          <w:color w:val="222222"/>
          <w:sz w:val="22"/>
          <w:szCs w:val="22"/>
        </w:rPr>
        <w:t xml:space="preserve">	13</w:t>
      </w:r>
    </w:p>
    <w:p>
      <w:pPr>
        <w:tabs>
          <w:tab w:val="right" w:pos="9026" w:leader="dot"/>
        </w:tabs>
        <w:spacing w:after="150"/>
      </w:pPr>
      <w:r>
        <w:rPr>
          <w:color w:val="222222"/>
          <w:sz w:val="22"/>
          <w:szCs w:val="22"/>
        </w:rPr>
        <w:t xml:space="preserve">12. Analysis History &amp; Analytics</w:t>
      </w:r>
      <w:r>
        <w:rPr>
          <w:color w:val="222222"/>
          <w:sz w:val="22"/>
          <w:szCs w:val="22"/>
        </w:rPr>
        <w:t xml:space="preserve">	13</w:t>
      </w:r>
    </w:p>
    <w:p>
      <w:pPr>
        <w:tabs>
          <w:tab w:val="right" w:pos="9026" w:leader="dot"/>
        </w:tabs>
        <w:spacing w:after="150"/>
      </w:pPr>
      <w:r>
        <w:rPr>
          <w:color w:val="222222"/>
          <w:sz w:val="22"/>
          <w:szCs w:val="22"/>
        </w:rPr>
        <w:t xml:space="preserve">13. PDF Report Generation</w:t>
      </w:r>
      <w:r>
        <w:rPr>
          <w:color w:val="222222"/>
          <w:sz w:val="22"/>
          <w:szCs w:val="22"/>
        </w:rPr>
        <w:t xml:space="preserve">	14</w:t>
      </w:r>
    </w:p>
    <w:p>
      <w:pPr>
        <w:tabs>
          <w:tab w:val="right" w:pos="9026" w:leader="dot"/>
        </w:tabs>
        <w:spacing w:after="150"/>
      </w:pPr>
      <w:r>
        <w:rPr>
          <w:color w:val="222222"/>
          <w:sz w:val="22"/>
          <w:szCs w:val="22"/>
        </w:rPr>
        <w:t xml:space="preserve">14. Engineering Challenges &amp; Solutions</w:t>
      </w:r>
      <w:r>
        <w:rPr>
          <w:color w:val="222222"/>
          <w:sz w:val="22"/>
          <w:szCs w:val="22"/>
        </w:rPr>
        <w:t xml:space="preserve">	14</w:t>
      </w:r>
    </w:p>
    <w:p>
      <w:pPr>
        <w:tabs>
          <w:tab w:val="right" w:pos="9026" w:leader="dot"/>
        </w:tabs>
        <w:spacing w:after="150"/>
      </w:pPr>
      <w:r>
        <w:rPr>
          <w:color w:val="222222"/>
          <w:sz w:val="22"/>
          <w:szCs w:val="22"/>
        </w:rPr>
        <w:t xml:space="preserve">15. Team Structure &amp; Contributions</w:t>
      </w:r>
      <w:r>
        <w:rPr>
          <w:color w:val="222222"/>
          <w:sz w:val="22"/>
          <w:szCs w:val="22"/>
        </w:rPr>
        <w:t xml:space="preserve">	15</w:t>
      </w:r>
    </w:p>
    <w:p>
      <w:pPr>
        <w:tabs>
          <w:tab w:val="right" w:pos="9026" w:leader="dot"/>
        </w:tabs>
        <w:spacing w:after="150"/>
      </w:pPr>
      <w:r>
        <w:rPr>
          <w:color w:val="222222"/>
          <w:sz w:val="22"/>
          <w:szCs w:val="22"/>
        </w:rPr>
        <w:t xml:space="preserve">16. Testing &amp; Quality Assurance</w:t>
      </w:r>
      <w:r>
        <w:rPr>
          <w:color w:val="222222"/>
          <w:sz w:val="22"/>
          <w:szCs w:val="22"/>
        </w:rPr>
        <w:t xml:space="preserve">	16</w:t>
      </w:r>
    </w:p>
    <w:p>
      <w:pPr>
        <w:tabs>
          <w:tab w:val="right" w:pos="9026" w:leader="dot"/>
        </w:tabs>
        <w:spacing w:after="150"/>
      </w:pPr>
      <w:r>
        <w:rPr>
          <w:color w:val="222222"/>
          <w:sz w:val="22"/>
          <w:szCs w:val="22"/>
        </w:rPr>
        <w:t xml:space="preserve">17. Limitations &amp; Future Scope</w:t>
      </w:r>
      <w:r>
        <w:rPr>
          <w:color w:val="222222"/>
          <w:sz w:val="22"/>
          <w:szCs w:val="22"/>
        </w:rPr>
        <w:t xml:space="preserve">	16</w:t>
      </w:r>
    </w:p>
    <w:p>
      <w:pPr>
        <w:tabs>
          <w:tab w:val="right" w:pos="9026" w:leader="dot"/>
        </w:tabs>
        <w:spacing w:after="150"/>
      </w:pPr>
      <w:r>
        <w:rPr>
          <w:color w:val="222222"/>
          <w:sz w:val="22"/>
          <w:szCs w:val="22"/>
        </w:rPr>
        <w:t xml:space="preserve">18. Conclusion</w:t>
      </w:r>
      <w:r>
        <w:rPr>
          <w:color w:val="222222"/>
          <w:sz w:val="22"/>
          <w:szCs w:val="22"/>
        </w:rPr>
        <w:t xml:space="preserve">	17</w:t>
      </w:r>
    </w:p>
    <w:p>
      <w:pPr>
        <w:tabs>
          <w:tab w:val="right" w:pos="9026" w:leader="dot"/>
        </w:tabs>
        <w:spacing w:after="150"/>
      </w:pPr>
      <w:r>
        <w:rPr>
          <w:color w:val="222222"/>
          <w:sz w:val="22"/>
          <w:szCs w:val="22"/>
        </w:rPr>
        <w:t xml:space="preserve">Appendix A — Glossary of Terms</w:t>
      </w:r>
      <w:r>
        <w:rPr>
          <w:color w:val="222222"/>
          <w:sz w:val="22"/>
          <w:szCs w:val="22"/>
        </w:rPr>
        <w:t xml:space="preserve">	17</w:t>
      </w:r>
    </w:p>
    <w:p>
      <w:pPr>
        <w:tabs>
          <w:tab w:val="right" w:pos="9026" w:leader="dot"/>
        </w:tabs>
        <w:spacing w:after="150"/>
      </w:pPr>
      <w:r>
        <w:rPr>
          <w:color w:val="222222"/>
          <w:sz w:val="22"/>
          <w:szCs w:val="22"/>
        </w:rPr>
        <w:t xml:space="preserve">Appendix B — Module Reference Summary</w:t>
      </w:r>
      <w:r>
        <w:rPr>
          <w:color w:val="222222"/>
          <w:sz w:val="22"/>
          <w:szCs w:val="22"/>
        </w:rPr>
        <w:t xml:space="preserve">	18</w:t>
      </w:r>
    </w:p>
    <w:p>
      <w:r>
        <w:br w:type="page"/>
      </w:r>
    </w:p>
    <w:p>
      <w:pPr>
        <w:pStyle w:val="Heading1"/>
        <w:pBdr>
          <w:bottom w:val="single" w:color="00C4B4" w:sz="8" w:space="4"/>
        </w:pBdr>
        <w:spacing w:after="200" w:before="400"/>
      </w:pPr>
      <w:r>
        <w:rPr>
          <w:b/>
          <w:bCs/>
          <w:color w:val="1A2B4A"/>
        </w:rPr>
        <w:t xml:space="preserve">1. Executive Summary</w:t>
      </w:r>
    </w:p>
    <w:p>
      <w:pPr>
        <w:spacing w:after="160" w:line="276"/>
        <w:jc w:val="both"/>
      </w:pPr>
      <w:r>
        <w:rPr>
          <w:b w:val="false"/>
          <w:bCs w:val="false"/>
          <w:i w:val="false"/>
          <w:iCs w:val="false"/>
          <w:color w:val="222222"/>
          <w:sz w:val="22"/>
          <w:szCs w:val="22"/>
        </w:rPr>
        <w:t xml:space="preserve">The OCR Readiness Evaluation Platform is a web-based diagnostic tool built with Streamlit that predicts, before any Optical Character Recognition (OCR) engine is ever run, how suitable a scanned or photographed document image is for accurate text extraction. Rather than treating OCR as a black box that either succeeds or fails, the platform decomposes image quality into ten measurable factors — such as brightness, contrast, sharpness, noise, skew and resolution — computes a weighted composite OCR Readiness Score out of 100, and cross-validates that prediction against the real confidence score returned by the Tesseract OCR engine.</w:t>
      </w:r>
    </w:p>
    <w:p>
      <w:pPr>
        <w:spacing w:after="160" w:line="276"/>
        <w:jc w:val="both"/>
      </w:pPr>
      <w:r>
        <w:rPr>
          <w:b w:val="false"/>
          <w:bCs w:val="false"/>
          <w:i w:val="false"/>
          <w:iCs w:val="false"/>
          <w:color w:val="222222"/>
          <w:sz w:val="22"/>
          <w:szCs w:val="22"/>
        </w:rPr>
        <w:t xml:space="preserve">The system was developed by a five-member student team as part of an SNLP (Speech and Natural Language Processing) department internship project, with each member owning the design and implementation of a subset of the quality factors. Individually, the factor logic can also be exposed as independent team APIs, and the application is built to call these distributed services first, falling back gracefully to local computation whenever a teammate's service is unreachable.</w:t>
      </w:r>
    </w:p>
    <w:p>
      <w:pPr>
        <w:spacing w:after="160" w:line="276"/>
        <w:jc w:val="both"/>
      </w:pPr>
      <w:r>
        <w:rPr>
          <w:b w:val="false"/>
          <w:bCs w:val="false"/>
          <w:i w:val="false"/>
          <w:iCs w:val="false"/>
          <w:color w:val="222222"/>
          <w:sz w:val="22"/>
          <w:szCs w:val="22"/>
        </w:rPr>
        <w:t xml:space="preserve">Beyond scoring, the platform generates plain-language, factor-specific recommendations for improving a document image (e.g., re-scanning at a higher DPI, correcting skew, increasing contrast), keeps a persistent history of every analysis performed, and can export a complete, professional PDF report containing the score, the radar chart of all ten factors, the recommendations, the extracted OCR text and the original image.</w:t>
      </w:r>
    </w:p>
    <w:p>
      <w:pPr>
        <w:spacing w:after="160" w:line="276"/>
        <w:jc w:val="both"/>
      </w:pPr>
      <w:r>
        <w:rPr>
          <w:b w:val="false"/>
          <w:bCs w:val="false"/>
          <w:i w:val="false"/>
          <w:iCs w:val="false"/>
          <w:color w:val="222222"/>
          <w:sz w:val="22"/>
          <w:szCs w:val="22"/>
        </w:rPr>
        <w:t xml:space="preserve">The platform's defining characteristic is that it does not simply predict — it validates itself continuously. Every single analysis a user performs produces both a prediction (the OCR Readiness Score) and a ground truth (Tesseract's actual OCR confidence), and the gap between the two is reported back to the user as a Prediction Accuracy rating. This closed feedback loop means the system's own reliability is visible and auditable from within the product itself, rather than requiring a separate offline benchmark.</w:t>
      </w:r>
    </w:p>
    <w:p>
      <w:pPr>
        <w:spacing w:after="160" w:line="276"/>
        <w:jc w:val="both"/>
      </w:pPr>
      <w:r>
        <w:rPr>
          <w:b w:val="false"/>
          <w:bCs w:val="false"/>
          <w:i w:val="false"/>
          <w:iCs w:val="false"/>
          <w:color w:val="222222"/>
          <w:sz w:val="22"/>
          <w:szCs w:val="22"/>
        </w:rPr>
        <w:t xml:space="preserve">This report documents the platform end-to-end: its motivation, objectives, use cases and target users; its modular architecture, distributed API design and technology stack; the internal data-flow pipeline triggered by a single analysis; the ten quality factors and their weighting scheme, including a worked numerical example; the complete user workflow and interface design across all four application pages; the persistent history and PDF-reporting features; the engineering challenges the team solved along the way; the contributions of each team member; the testing approach used to validate the system; and finally its current limitations and future scope.</w:t>
      </w:r>
    </w:p>
    <w:p>
      <w:pPr>
        <w:pStyle w:val="Heading1"/>
        <w:pBdr>
          <w:bottom w:val="single" w:color="00C4B4" w:sz="8" w:space="4"/>
        </w:pBdr>
        <w:spacing w:after="200" w:before="400"/>
      </w:pPr>
      <w:r>
        <w:rPr>
          <w:b/>
          <w:bCs/>
          <w:color w:val="1A2B4A"/>
        </w:rPr>
        <w:t xml:space="preserve">2. Introduction</w:t>
      </w:r>
    </w:p>
    <w:p>
      <w:pPr>
        <w:pStyle w:val="Heading2"/>
        <w:spacing w:after="150" w:before="300"/>
      </w:pPr>
      <w:r>
        <w:rPr>
          <w:b/>
          <w:bCs/>
          <w:color w:val="0F3460"/>
        </w:rPr>
        <w:t xml:space="preserve">2.1 Background</w:t>
      </w:r>
    </w:p>
    <w:p>
      <w:pPr>
        <w:spacing w:after="160" w:line="276"/>
        <w:jc w:val="both"/>
      </w:pPr>
      <w:r>
        <w:rPr>
          <w:b w:val="false"/>
          <w:bCs w:val="false"/>
          <w:i w:val="false"/>
          <w:iCs w:val="false"/>
          <w:color w:val="222222"/>
          <w:sz w:val="22"/>
          <w:szCs w:val="22"/>
        </w:rPr>
        <w:t xml:space="preserve">Optical Character Recognition converts images of text into machine-readable text, and it underpins document digitisation, archival, invoice processing, form automation and countless other workflows. In practice, OCR accuracy is highly sensitive to the visual quality of the input image: a document that is blurry, poorly lit, skewed, noisy, or captured at low resolution can produce OCR output that is unusable, even when the underlying OCR engine itself is state of the art.</w:t>
      </w:r>
    </w:p>
    <w:p>
      <w:pPr>
        <w:spacing w:after="160" w:line="276"/>
        <w:jc w:val="both"/>
      </w:pPr>
      <w:r>
        <w:rPr>
          <w:b w:val="false"/>
          <w:bCs w:val="false"/>
          <w:i w:val="false"/>
          <w:iCs w:val="false"/>
          <w:color w:val="222222"/>
          <w:sz w:val="22"/>
          <w:szCs w:val="22"/>
        </w:rPr>
        <w:t xml:space="preserve">Most users only discover that a document image is unsuitable for OCR after running the full extraction pipeline and inspecting garbled output — an expensive and reactive way to discover a quality problem. The OCR Readiness Evaluation Platform inverts this workflow: it evaluates the image first, tells the user exactly which quality dimensions are weak, and lets them fix the image (or re-capture it) before any OCR engine is invoked.</w:t>
      </w:r>
    </w:p>
    <w:p>
      <w:pPr>
        <w:pStyle w:val="Heading2"/>
        <w:spacing w:after="150" w:before="300"/>
      </w:pPr>
      <w:r>
        <w:rPr>
          <w:b/>
          <w:bCs/>
          <w:color w:val="0F3460"/>
        </w:rPr>
        <w:t xml:space="preserve">2.2 What the Project Does</w:t>
      </w:r>
    </w:p>
    <w:p>
      <w:pPr>
        <w:spacing w:after="160" w:line="276"/>
        <w:jc w:val="both"/>
      </w:pPr>
      <w:r>
        <w:rPr>
          <w:b w:val="false"/>
          <w:bCs w:val="false"/>
          <w:i w:val="false"/>
          <w:iCs w:val="false"/>
          <w:color w:val="222222"/>
          <w:sz w:val="22"/>
          <w:szCs w:val="22"/>
        </w:rPr>
        <w:t xml:space="preserve">At its core, the platform accepts a single uploaded document image (PNG, JPG, JPEG, BMP, TIFF or WEBP) and runs it through:</w:t>
      </w:r>
    </w:p>
    <w:p>
      <w:pPr>
        <w:pStyle w:val="ListParagraph"/>
        <w:numPr>
          <w:ilvl w:val="0"/>
          <w:numId w:val="2"/>
        </w:numPr>
        <w:spacing w:after="90"/>
      </w:pPr>
      <w:r>
        <w:rPr>
          <w:color w:val="222222"/>
          <w:sz w:val="22"/>
          <w:szCs w:val="22"/>
        </w:rPr>
        <w:t xml:space="preserve">A local, deterministic factor-analysis engine that scores ten independent image-quality dimensions.</w:t>
      </w:r>
    </w:p>
    <w:p>
      <w:pPr>
        <w:pStyle w:val="ListParagraph"/>
        <w:numPr>
          <w:ilvl w:val="0"/>
          <w:numId w:val="2"/>
        </w:numPr>
        <w:spacing w:after="90"/>
      </w:pPr>
      <w:r>
        <w:rPr>
          <w:color w:val="222222"/>
          <w:sz w:val="22"/>
          <w:szCs w:val="22"/>
        </w:rPr>
        <w:t xml:space="preserve">A distributed API layer that can call each team member's own scoring microservice for the factor they own, with automatic fallback to local logic.</w:t>
      </w:r>
    </w:p>
    <w:p>
      <w:pPr>
        <w:pStyle w:val="ListParagraph"/>
        <w:numPr>
          <w:ilvl w:val="0"/>
          <w:numId w:val="2"/>
        </w:numPr>
        <w:spacing w:after="90"/>
      </w:pPr>
      <w:r>
        <w:rPr>
          <w:color w:val="222222"/>
          <w:sz w:val="22"/>
          <w:szCs w:val="22"/>
        </w:rPr>
        <w:t xml:space="preserve">Tesseract OCR, used purely as an independent ground-truth check on the platform's own prediction.</w:t>
      </w:r>
    </w:p>
    <w:p>
      <w:pPr>
        <w:pStyle w:val="ListParagraph"/>
        <w:numPr>
          <w:ilvl w:val="0"/>
          <w:numId w:val="2"/>
        </w:numPr>
        <w:spacing w:after="90"/>
      </w:pPr>
      <w:r>
        <w:rPr>
          <w:color w:val="222222"/>
          <w:sz w:val="22"/>
          <w:szCs w:val="22"/>
        </w:rPr>
        <w:t xml:space="preserve">A recommendation engine that turns low factor scores into actionable, human-readable advice.</w:t>
      </w:r>
    </w:p>
    <w:p>
      <w:pPr>
        <w:pStyle w:val="ListParagraph"/>
        <w:numPr>
          <w:ilvl w:val="0"/>
          <w:numId w:val="2"/>
        </w:numPr>
        <w:spacing w:after="90"/>
      </w:pPr>
      <w:r>
        <w:rPr>
          <w:color w:val="222222"/>
          <w:sz w:val="22"/>
          <w:szCs w:val="22"/>
        </w:rPr>
        <w:t xml:space="preserve">A reporting engine that renders everything — scores, radar chart, recommendations, OCR text and image — into a downloadable PDF.</w:t>
      </w:r>
    </w:p>
    <w:p>
      <w:pPr>
        <w:spacing w:after="160" w:line="276"/>
        <w:jc w:val="both"/>
      </w:pPr>
      <w:r>
        <w:rPr>
          <w:b w:val="false"/>
          <w:bCs w:val="false"/>
          <w:i w:val="false"/>
          <w:iCs w:val="false"/>
          <w:color w:val="222222"/>
          <w:sz w:val="22"/>
          <w:szCs w:val="22"/>
        </w:rPr>
        <w:t xml:space="preserve">The result is presented through a polished, custom-themed Streamlit interface with four pages: Analyse Image, History, About Factors and About Team, described in full in Section 11.</w:t>
      </w:r>
    </w:p>
    <w:p>
      <w:pPr>
        <w:pStyle w:val="Heading2"/>
        <w:spacing w:after="150" w:before="300"/>
      </w:pPr>
      <w:r>
        <w:rPr>
          <w:b/>
          <w:bCs/>
          <w:color w:val="0F3460"/>
        </w:rPr>
        <w:t xml:space="preserve">2.3 How This Differs From a Conventional OCR Pipeline</w:t>
      </w:r>
    </w:p>
    <w:p>
      <w:pPr>
        <w:spacing w:after="160" w:line="276"/>
        <w:jc w:val="both"/>
      </w:pPr>
      <w:r>
        <w:rPr>
          <w:b w:val="false"/>
          <w:bCs w:val="false"/>
          <w:i w:val="false"/>
          <w:iCs w:val="false"/>
          <w:color w:val="222222"/>
          <w:sz w:val="22"/>
          <w:szCs w:val="22"/>
        </w:rPr>
        <w:t xml:space="preserve">A conventional OCR pipeline is a single-pass process: an image goes in, and extracted text (with perhaps a confidence figure) comes out. If the result is poor, the user has no direct way of knowing why, short of manual inspection of the source image. The table below contrasts that conventional approach with the design of this platform.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500"/>
      </w:tblGrid>
      <w:tr>
        <w:trPr>
          <w:tblHeader/>
        </w:trPr>
        <w:tc>
          <w:tcPr>
            <w:tcW w:type="dxa" w:w="2200"/>
            <w:shd w:fill="1A2B4A" w:color="auto" w:val="clear"/>
            <w:tcMar>
              <w:top w:type="dxa" w:w="80"/>
              <w:left w:type="dxa" w:w="100"/>
              <w:bottom w:type="dxa" w:w="80"/>
              <w:right w:type="dxa" w:w="100"/>
            </w:tcMar>
            <w:vAlign w:val="center"/>
          </w:tcPr>
          <w:p>
            <w:pPr>
              <w:jc w:val="left"/>
            </w:pPr>
            <w:r>
              <w:rPr>
                <w:b/>
                <w:bCs/>
                <w:color w:val="FFFFFF"/>
                <w:sz w:val="20"/>
                <w:szCs w:val="20"/>
              </w:rPr>
              <w:t xml:space="preserve">Dimension</w:t>
            </w:r>
          </w:p>
        </w:tc>
        <w:tc>
          <w:tcPr>
            <w:tcW w:type="dxa" w:w="3500"/>
            <w:shd w:fill="1A2B4A" w:color="auto" w:val="clear"/>
            <w:tcMar>
              <w:top w:type="dxa" w:w="80"/>
              <w:left w:type="dxa" w:w="100"/>
              <w:bottom w:type="dxa" w:w="80"/>
              <w:right w:type="dxa" w:w="100"/>
            </w:tcMar>
            <w:vAlign w:val="center"/>
          </w:tcPr>
          <w:p>
            <w:pPr>
              <w:jc w:val="left"/>
            </w:pPr>
            <w:r>
              <w:rPr>
                <w:b/>
                <w:bCs/>
                <w:color w:val="FFFFFF"/>
                <w:sz w:val="20"/>
                <w:szCs w:val="20"/>
              </w:rPr>
              <w:t xml:space="preserve">Conventional OCR Pipeline</w:t>
            </w:r>
          </w:p>
        </w:tc>
        <w:tc>
          <w:tcPr>
            <w:tcW w:type="dxa" w:w="3500"/>
            <w:shd w:fill="1A2B4A" w:color="auto" w:val="clear"/>
            <w:tcMar>
              <w:top w:type="dxa" w:w="80"/>
              <w:left w:type="dxa" w:w="100"/>
              <w:bottom w:type="dxa" w:w="80"/>
              <w:right w:type="dxa" w:w="100"/>
            </w:tcMar>
            <w:vAlign w:val="center"/>
          </w:tcPr>
          <w:p>
            <w:pPr>
              <w:jc w:val="left"/>
            </w:pPr>
            <w:r>
              <w:rPr>
                <w:b/>
                <w:bCs/>
                <w:color w:val="FFFFFF"/>
                <w:sz w:val="20"/>
                <w:szCs w:val="20"/>
              </w:rPr>
              <w:t xml:space="preserve">OCR Readiness Evaluation Platform</w:t>
            </w:r>
          </w:p>
        </w:tc>
      </w:tr>
      <w:tr>
        <w:tc>
          <w:tcPr>
            <w:tcW w:type="dxa" w:w="22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Feedback timing</w:t>
            </w:r>
          </w:p>
        </w:tc>
        <w:tc>
          <w:tcPr>
            <w:tcW w:type="dxa" w:w="35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After extraction — errors are discovered too late</w:t>
            </w:r>
          </w:p>
        </w:tc>
        <w:tc>
          <w:tcPr>
            <w:tcW w:type="dxa" w:w="35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Before extraction — the image is screened first</w:t>
            </w:r>
          </w:p>
        </w:tc>
      </w:tr>
      <w:tr>
        <w:tc>
          <w:tcPr>
            <w:tcW w:type="dxa" w:w="22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Diagnostic detail</w:t>
            </w:r>
          </w:p>
        </w:tc>
        <w:tc>
          <w:tcPr>
            <w:tcW w:type="dxa" w:w="35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A single opaque confidence number</w:t>
            </w:r>
          </w:p>
        </w:tc>
        <w:tc>
          <w:tcPr>
            <w:tcW w:type="dxa" w:w="35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Ten independently interpretable quality factors</w:t>
            </w:r>
          </w:p>
        </w:tc>
      </w:tr>
      <w:tr>
        <w:tc>
          <w:tcPr>
            <w:tcW w:type="dxa" w:w="22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Actionability</w:t>
            </w:r>
          </w:p>
        </w:tc>
        <w:tc>
          <w:tcPr>
            <w:tcW w:type="dxa" w:w="35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None — the user must guess what to fix</w:t>
            </w:r>
          </w:p>
        </w:tc>
        <w:tc>
          <w:tcPr>
            <w:tcW w:type="dxa" w:w="35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Specific, factor-linked recommendations</w:t>
            </w:r>
          </w:p>
        </w:tc>
      </w:tr>
      <w:tr>
        <w:tc>
          <w:tcPr>
            <w:tcW w:type="dxa" w:w="22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Validation</w:t>
            </w:r>
          </w:p>
        </w:tc>
        <w:tc>
          <w:tcPr>
            <w:tcW w:type="dxa" w:w="35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Not self-checking</w:t>
            </w:r>
          </w:p>
        </w:tc>
        <w:tc>
          <w:tcPr>
            <w:tcW w:type="dxa" w:w="35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Every prediction is checked against real OCR confidence</w:t>
            </w:r>
          </w:p>
        </w:tc>
      </w:tr>
      <w:tr>
        <w:tc>
          <w:tcPr>
            <w:tcW w:type="dxa" w:w="22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History &amp; trends</w:t>
            </w:r>
          </w:p>
        </w:tc>
        <w:tc>
          <w:tcPr>
            <w:tcW w:type="dxa" w:w="35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Typically none</w:t>
            </w:r>
          </w:p>
        </w:tc>
        <w:tc>
          <w:tcPr>
            <w:tcW w:type="dxa" w:w="35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Persistent history with cross-factor correlation analysis</w:t>
            </w:r>
          </w:p>
        </w:tc>
      </w:tr>
    </w:tbl>
    <w:p>
      <w:pPr>
        <w:pStyle w:val="Heading1"/>
        <w:pBdr>
          <w:bottom w:val="single" w:color="00C4B4" w:sz="8" w:space="4"/>
        </w:pBdr>
        <w:spacing w:after="200" w:before="400"/>
      </w:pPr>
      <w:r>
        <w:rPr>
          <w:b/>
          <w:bCs/>
          <w:color w:val="1A2B4A"/>
        </w:rPr>
        <w:t xml:space="preserve">3. Problem Statement &amp; Objectives</w:t>
      </w:r>
    </w:p>
    <w:p>
      <w:pPr>
        <w:pStyle w:val="Heading2"/>
        <w:spacing w:after="150" w:before="300"/>
      </w:pPr>
      <w:r>
        <w:rPr>
          <w:b/>
          <w:bCs/>
          <w:color w:val="0F3460"/>
        </w:rPr>
        <w:t xml:space="preserve">3.1 Problem Statement</w:t>
      </w:r>
    </w:p>
    <w:p>
      <w:pPr>
        <w:spacing w:after="160" w:line="276"/>
        <w:jc w:val="both"/>
      </w:pPr>
      <w:r>
        <w:rPr>
          <w:b w:val="false"/>
          <w:bCs w:val="false"/>
          <w:i w:val="false"/>
          <w:iCs w:val="false"/>
          <w:color w:val="222222"/>
          <w:sz w:val="22"/>
          <w:szCs w:val="22"/>
        </w:rPr>
        <w:t xml:space="preserve">Given an arbitrary document image, there is no simple, transparent way for a non-expert user to know in advance whether OCR will succeed on it, or which specific quality issue (lighting, blur, skew, resolution, noise, etc.) is responsible for a poor result. Existing OCR tools return only a final confidence figure after the fact, with no diagnostic breakdown and no guidance on what to fix. This creates wasted effort across digitisation workflows: documents are captured, queued, processed, and only then found to be unusable, at which point the original physical document may no longer be conveniently accessible for re-capture.</w:t>
      </w:r>
    </w:p>
    <w:p>
      <w:pPr>
        <w:pStyle w:val="Heading2"/>
        <w:spacing w:after="150" w:before="300"/>
      </w:pPr>
      <w:r>
        <w:rPr>
          <w:b/>
          <w:bCs/>
          <w:color w:val="0F3460"/>
        </w:rPr>
        <w:t xml:space="preserve">3.2 Objectives</w:t>
      </w:r>
    </w:p>
    <w:p>
      <w:pPr>
        <w:pStyle w:val="ListParagraph"/>
        <w:numPr>
          <w:ilvl w:val="0"/>
          <w:numId w:val="2"/>
        </w:numPr>
        <w:spacing w:after="90"/>
      </w:pPr>
      <w:r>
        <w:rPr>
          <w:color w:val="222222"/>
          <w:sz w:val="22"/>
          <w:szCs w:val="22"/>
        </w:rPr>
        <w:t xml:space="preserve">Design a set of independent, well-defined image-quality factors that are known to affect OCR accuracy.</w:t>
      </w:r>
    </w:p>
    <w:p>
      <w:pPr>
        <w:pStyle w:val="ListParagraph"/>
        <w:numPr>
          <w:ilvl w:val="0"/>
          <w:numId w:val="2"/>
        </w:numPr>
        <w:spacing w:after="90"/>
      </w:pPr>
      <w:r>
        <w:rPr>
          <w:color w:val="222222"/>
          <w:sz w:val="22"/>
          <w:szCs w:val="22"/>
        </w:rPr>
        <w:t xml:space="preserve">Compute a single, interpretable OCR Readiness Score (0–100) as a weighted combination of those factors.</w:t>
      </w:r>
    </w:p>
    <w:p>
      <w:pPr>
        <w:pStyle w:val="ListParagraph"/>
        <w:numPr>
          <w:ilvl w:val="0"/>
          <w:numId w:val="2"/>
        </w:numPr>
        <w:spacing w:after="90"/>
      </w:pPr>
      <w:r>
        <w:rPr>
          <w:color w:val="222222"/>
          <w:sz w:val="22"/>
          <w:szCs w:val="22"/>
        </w:rPr>
        <w:t xml:space="preserve">Validate the predicted score against real OCR confidence from Tesseract, and report a Prediction Accuracy metric.</w:t>
      </w:r>
    </w:p>
    <w:p>
      <w:pPr>
        <w:pStyle w:val="ListParagraph"/>
        <w:numPr>
          <w:ilvl w:val="0"/>
          <w:numId w:val="2"/>
        </w:numPr>
        <w:spacing w:after="90"/>
      </w:pPr>
      <w:r>
        <w:rPr>
          <w:color w:val="222222"/>
          <w:sz w:val="22"/>
          <w:szCs w:val="22"/>
        </w:rPr>
        <w:t xml:space="preserve">Generate specific, human-readable recommendations tied to whichever factors scored poorly.</w:t>
      </w:r>
    </w:p>
    <w:p>
      <w:pPr>
        <w:pStyle w:val="ListParagraph"/>
        <w:numPr>
          <w:ilvl w:val="0"/>
          <w:numId w:val="2"/>
        </w:numPr>
        <w:spacing w:after="90"/>
      </w:pPr>
      <w:r>
        <w:rPr>
          <w:color w:val="222222"/>
          <w:sz w:val="22"/>
          <w:szCs w:val="22"/>
        </w:rPr>
        <w:t xml:space="preserve">Allow each team member to own and independently develop/deploy the scoring logic for specific factors, exposed as callable APIs.</w:t>
      </w:r>
    </w:p>
    <w:p>
      <w:pPr>
        <w:pStyle w:val="ListParagraph"/>
        <w:numPr>
          <w:ilvl w:val="0"/>
          <w:numId w:val="2"/>
        </w:numPr>
        <w:spacing w:after="90"/>
      </w:pPr>
      <w:r>
        <w:rPr>
          <w:color w:val="222222"/>
          <w:sz w:val="22"/>
          <w:szCs w:val="22"/>
        </w:rPr>
        <w:t xml:space="preserve">Persist a history of analyses for later review, trend-tracking and comparison.</w:t>
      </w:r>
    </w:p>
    <w:p>
      <w:pPr>
        <w:pStyle w:val="ListParagraph"/>
        <w:numPr>
          <w:ilvl w:val="0"/>
          <w:numId w:val="2"/>
        </w:numPr>
        <w:spacing w:after="90"/>
      </w:pPr>
      <w:r>
        <w:rPr>
          <w:color w:val="222222"/>
          <w:sz w:val="22"/>
          <w:szCs w:val="22"/>
        </w:rPr>
        <w:t xml:space="preserve">Produce a shareable, professional PDF report for every analysis performed.</w:t>
      </w:r>
    </w:p>
    <w:p>
      <w:pPr>
        <w:pStyle w:val="ListParagraph"/>
        <w:numPr>
          <w:ilvl w:val="0"/>
          <w:numId w:val="2"/>
        </w:numPr>
        <w:spacing w:after="90"/>
      </w:pPr>
      <w:r>
        <w:rPr>
          <w:color w:val="222222"/>
          <w:sz w:val="22"/>
          <w:szCs w:val="22"/>
        </w:rPr>
        <w:t xml:space="preserve">Present all of the above through an interface simple enough for a non-technical user, while still exposing full technical detail for those who want it.</w:t>
      </w:r>
    </w:p>
    <w:p>
      <w:pPr>
        <w:pStyle w:val="Heading2"/>
        <w:spacing w:after="150" w:before="300"/>
      </w:pPr>
      <w:r>
        <w:rPr>
          <w:b/>
          <w:bCs/>
          <w:color w:val="0F3460"/>
        </w:rPr>
        <w:t xml:space="preserve">3.3 Scope</w:t>
      </w:r>
    </w:p>
    <w:p>
      <w:pPr>
        <w:spacing w:after="160" w:line="276"/>
        <w:jc w:val="both"/>
      </w:pPr>
      <w:r>
        <w:rPr>
          <w:b w:val="false"/>
          <w:bCs w:val="false"/>
          <w:i w:val="false"/>
          <w:iCs w:val="false"/>
          <w:color w:val="222222"/>
          <w:sz w:val="22"/>
          <w:szCs w:val="22"/>
        </w:rPr>
        <w:t xml:space="preserve">The current implementation targets single-image, single-document analysis suitable for scanned pages, photographed pages, forms and similar documents. It is a diagnostic and advisory tool: it evaluates readiness for OCR and estimates likely accuracy, but the actual text extraction step uses Tesseract solely as a validation reference rather than as the platform's primary OCR pipeline. Batch processing, multi-page documents and alternative OCR back-ends are explicitly out of scope for the current version and are discussed as future work in Section 17.</w:t>
      </w:r>
    </w:p>
    <w:p>
      <w:pPr>
        <w:pStyle w:val="Heading1"/>
        <w:pBdr>
          <w:bottom w:val="single" w:color="00C4B4" w:sz="8" w:space="4"/>
        </w:pBdr>
        <w:spacing w:after="200" w:before="400"/>
      </w:pPr>
      <w:r>
        <w:rPr>
          <w:b/>
          <w:bCs/>
          <w:color w:val="1A2B4A"/>
        </w:rPr>
        <w:t xml:space="preserve">4. Use Cases &amp; Target Users</w:t>
      </w:r>
    </w:p>
    <w:p>
      <w:pPr>
        <w:spacing w:after="160" w:line="276"/>
        <w:jc w:val="both"/>
      </w:pPr>
      <w:r>
        <w:rPr>
          <w:b w:val="false"/>
          <w:bCs w:val="false"/>
          <w:i w:val="false"/>
          <w:iCs w:val="false"/>
          <w:color w:val="222222"/>
          <w:sz w:val="22"/>
          <w:szCs w:val="22"/>
        </w:rPr>
        <w:t xml:space="preserve">Although the platform was built as a departmental project, its underlying capability — predicting OCR suitability before extraction — has direct application across a range of realistic digitisation scenarios.</w:t>
      </w:r>
    </w:p>
    <w:p>
      <w:pPr>
        <w:pStyle w:val="Heading2"/>
        <w:spacing w:after="150" w:before="300"/>
      </w:pPr>
      <w:r>
        <w:rPr>
          <w:b/>
          <w:bCs/>
          <w:color w:val="0F3460"/>
        </w:rPr>
        <w:t xml:space="preserve">4.1 Primary Use Cases</w:t>
      </w:r>
    </w:p>
    <w:p>
      <w:pPr>
        <w:pStyle w:val="ListParagraph"/>
        <w:numPr>
          <w:ilvl w:val="0"/>
          <w:numId w:val="2"/>
        </w:numPr>
        <w:spacing w:after="90"/>
      </w:pPr>
      <w:r>
        <w:rPr>
          <w:color w:val="222222"/>
          <w:sz w:val="22"/>
          <w:szCs w:val="22"/>
        </w:rPr>
        <w:t xml:space="preserve">Archival &amp; Library Digitisation — Batches of scanned historical documents can be screened for scan quality (lighting, skew, resolution) before committing them to a full OCR pipeline, saving reprocessing effort on unusable scans.</w:t>
      </w:r>
    </w:p>
    <w:p>
      <w:pPr>
        <w:pStyle w:val="ListParagraph"/>
        <w:numPr>
          <w:ilvl w:val="0"/>
          <w:numId w:val="2"/>
        </w:numPr>
        <w:spacing w:after="90"/>
      </w:pPr>
      <w:r>
        <w:rPr>
          <w:color w:val="222222"/>
          <w:sz w:val="22"/>
          <w:szCs w:val="22"/>
        </w:rPr>
        <w:t xml:space="preserve">Form &amp; Invoice Processing — Organisations digitising invoices, receipts or application forms captured via mobile phone cameras can flag poor captures (blur, glare, skew) at intake time and prompt a re-scan immediately, rather than after a failed extraction downstream.</w:t>
      </w:r>
    </w:p>
    <w:p>
      <w:pPr>
        <w:pStyle w:val="ListParagraph"/>
        <w:numPr>
          <w:ilvl w:val="0"/>
          <w:numId w:val="2"/>
        </w:numPr>
        <w:spacing w:after="90"/>
      </w:pPr>
      <w:r>
        <w:rPr>
          <w:color w:val="222222"/>
          <w:sz w:val="22"/>
          <w:szCs w:val="22"/>
        </w:rPr>
        <w:t xml:space="preserve">Student &amp; Academic Use — Students scanning handwritten or printed notes with a phone camera can check readiness before relying on OCR-based note-taking or search tools.</w:t>
      </w:r>
    </w:p>
    <w:p>
      <w:pPr>
        <w:pStyle w:val="ListParagraph"/>
        <w:numPr>
          <w:ilvl w:val="0"/>
          <w:numId w:val="2"/>
        </w:numPr>
        <w:spacing w:after="90"/>
      </w:pPr>
      <w:r>
        <w:rPr>
          <w:color w:val="222222"/>
          <w:sz w:val="22"/>
          <w:szCs w:val="22"/>
        </w:rPr>
        <w:t xml:space="preserve">Quality Assurance for Existing OCR Pipelines — Teams already running an OCR pipeline can use the platform as an independent quality gate, comparing its predicted score against their own pipeline's reported confidence to catch systematic quality problems in incoming documents.</w:t>
      </w:r>
    </w:p>
    <w:p>
      <w:pPr>
        <w:pStyle w:val="ListParagraph"/>
        <w:numPr>
          <w:ilvl w:val="0"/>
          <w:numId w:val="2"/>
        </w:numPr>
        <w:spacing w:after="90"/>
      </w:pPr>
      <w:r>
        <w:rPr>
          <w:color w:val="222222"/>
          <w:sz w:val="22"/>
          <w:szCs w:val="22"/>
        </w:rPr>
        <w:t xml:space="preserve">Educational / Research Tool — As an SNLP department project, the platform also serves as a teaching example of how measurable image-quality heuristics can be combined into an interpretable predictive score, and validated empirically against a real OCR engine.</w:t>
      </w:r>
    </w:p>
    <w:p>
      <w:pPr>
        <w:pStyle w:val="Heading2"/>
        <w:spacing w:after="150" w:before="300"/>
      </w:pPr>
      <w:r>
        <w:rPr>
          <w:b/>
          <w:bCs/>
          <w:color w:val="0F3460"/>
        </w:rPr>
        <w:t xml:space="preserve">4.2 Target User Personas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800"/>
      </w:tblGrid>
      <w:tr>
        <w:trPr>
          <w:tblHeader/>
        </w:trPr>
        <w:tc>
          <w:tcPr>
            <w:tcW w:type="dxa" w:w="2200"/>
            <w:shd w:fill="1A2B4A" w:color="auto" w:val="clear"/>
            <w:tcMar>
              <w:top w:type="dxa" w:w="80"/>
              <w:left w:type="dxa" w:w="100"/>
              <w:bottom w:type="dxa" w:w="80"/>
              <w:right w:type="dxa" w:w="100"/>
            </w:tcMar>
            <w:vAlign w:val="center"/>
          </w:tcPr>
          <w:p>
            <w:pPr>
              <w:jc w:val="left"/>
            </w:pPr>
            <w:r>
              <w:rPr>
                <w:b/>
                <w:bCs/>
                <w:color w:val="FFFFFF"/>
                <w:sz w:val="20"/>
                <w:szCs w:val="20"/>
              </w:rPr>
              <w:t xml:space="preserve">Persona</w:t>
            </w:r>
          </w:p>
        </w:tc>
        <w:tc>
          <w:tcPr>
            <w:tcW w:type="dxa" w:w="3200"/>
            <w:shd w:fill="1A2B4A" w:color="auto" w:val="clear"/>
            <w:tcMar>
              <w:top w:type="dxa" w:w="80"/>
              <w:left w:type="dxa" w:w="100"/>
              <w:bottom w:type="dxa" w:w="80"/>
              <w:right w:type="dxa" w:w="100"/>
            </w:tcMar>
            <w:vAlign w:val="center"/>
          </w:tcPr>
          <w:p>
            <w:pPr>
              <w:jc w:val="left"/>
            </w:pPr>
            <w:r>
              <w:rPr>
                <w:b/>
                <w:bCs/>
                <w:color w:val="FFFFFF"/>
                <w:sz w:val="20"/>
                <w:szCs w:val="20"/>
              </w:rPr>
              <w:t xml:space="preserve">Primary Need</w:t>
            </w:r>
          </w:p>
        </w:tc>
        <w:tc>
          <w:tcPr>
            <w:tcW w:type="dxa" w:w="3800"/>
            <w:shd w:fill="1A2B4A" w:color="auto" w:val="clear"/>
            <w:tcMar>
              <w:top w:type="dxa" w:w="80"/>
              <w:left w:type="dxa" w:w="100"/>
              <w:bottom w:type="dxa" w:w="80"/>
              <w:right w:type="dxa" w:w="100"/>
            </w:tcMar>
            <w:vAlign w:val="center"/>
          </w:tcPr>
          <w:p>
            <w:pPr>
              <w:jc w:val="left"/>
            </w:pPr>
            <w:r>
              <w:rPr>
                <w:b/>
                <w:bCs/>
                <w:color w:val="FFFFFF"/>
                <w:sz w:val="20"/>
                <w:szCs w:val="20"/>
              </w:rPr>
              <w:t xml:space="preserve">Platform Feature Used</w:t>
            </w:r>
          </w:p>
        </w:tc>
      </w:tr>
      <w:tr>
        <w:tc>
          <w:tcPr>
            <w:tcW w:type="dxa" w:w="22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Casual / Non-technical User</w:t>
            </w:r>
          </w:p>
        </w:tc>
        <w:tc>
          <w:tcPr>
            <w:tcW w:type="dxa" w:w="32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Wants a simple pass/fail-style signal</w:t>
            </w:r>
          </w:p>
        </w:tc>
        <w:tc>
          <w:tcPr>
            <w:tcW w:type="dxa" w:w="38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The headline OCR Readiness Score and its colour-coded status badge</w:t>
            </w:r>
          </w:p>
        </w:tc>
      </w:tr>
      <w:tr>
        <w:tc>
          <w:tcPr>
            <w:tcW w:type="dxa" w:w="22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Technical User / Developer</w:t>
            </w:r>
          </w:p>
        </w:tc>
        <w:tc>
          <w:tcPr>
            <w:tcW w:type="dxa" w:w="32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Wants to understand exactly why a score was given</w:t>
            </w:r>
          </w:p>
        </w:tc>
        <w:tc>
          <w:tcPr>
            <w:tcW w:type="dxa" w:w="38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The full factor breakdown, formulas and weight table on the About Factors page</w:t>
            </w:r>
          </w:p>
        </w:tc>
      </w:tr>
      <w:tr>
        <w:tc>
          <w:tcPr>
            <w:tcW w:type="dxa" w:w="22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Project / QA Team</w:t>
            </w:r>
          </w:p>
        </w:tc>
        <w:tc>
          <w:tcPr>
            <w:tcW w:type="dxa" w:w="32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Wants to track quality trends over many documents</w:t>
            </w:r>
          </w:p>
        </w:tc>
        <w:tc>
          <w:tcPr>
            <w:tcW w:type="dxa" w:w="38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The History page's summary metrics and cross-factor correlation analysis</w:t>
            </w:r>
          </w:p>
        </w:tc>
      </w:tr>
      <w:tr>
        <w:tc>
          <w:tcPr>
            <w:tcW w:type="dxa" w:w="22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Development Team (internal)</w:t>
            </w:r>
          </w:p>
        </w:tc>
        <w:tc>
          <w:tcPr>
            <w:tcW w:type="dxa" w:w="32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Wants to refine the scoring model itself</w:t>
            </w:r>
          </w:p>
        </w:tc>
        <w:tc>
          <w:tcPr>
            <w:tcW w:type="dxa" w:w="38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Accumulated history data used to re-evaluate factor weights and formulas over time</w:t>
            </w:r>
          </w:p>
        </w:tc>
      </w:tr>
    </w:tbl>
    <w:p>
      <w:pPr>
        <w:pStyle w:val="Heading1"/>
        <w:pBdr>
          <w:bottom w:val="single" w:color="00C4B4" w:sz="8" w:space="4"/>
        </w:pBdr>
        <w:spacing w:after="200" w:before="400"/>
      </w:pPr>
      <w:r>
        <w:rPr>
          <w:b/>
          <w:bCs/>
          <w:color w:val="1A2B4A"/>
        </w:rPr>
        <w:t xml:space="preserve">5. System Architecture</w:t>
      </w:r>
    </w:p>
    <w:p>
      <w:pPr>
        <w:pStyle w:val="Heading2"/>
        <w:spacing w:after="150" w:before="300"/>
      </w:pPr>
      <w:r>
        <w:rPr>
          <w:b/>
          <w:bCs/>
          <w:color w:val="0F3460"/>
        </w:rPr>
        <w:t xml:space="preserve">5.1 High-Level Design</w:t>
      </w:r>
    </w:p>
    <w:p>
      <w:pPr>
        <w:spacing w:after="160" w:line="276"/>
        <w:jc w:val="both"/>
      </w:pPr>
      <w:r>
        <w:rPr>
          <w:b w:val="false"/>
          <w:bCs w:val="false"/>
          <w:i w:val="false"/>
          <w:iCs w:val="false"/>
          <w:color w:val="222222"/>
          <w:sz w:val="22"/>
          <w:szCs w:val="22"/>
        </w:rPr>
        <w:t xml:space="preserve">The platform follows a modular architecture in which the Streamlit front end (app.py) orchestrates a set of purpose-built Python modules, each responsible for one concern. This separation keeps the user-interface code free of business logic and allows each team member to work on their own module independently without constant merge conflicts in a single monolithic file.</w:t>
      </w:r>
    </w:p>
    <w:p>
      <w:pPr>
        <w:pStyle w:val="Heading3"/>
        <w:spacing w:after="100" w:before="200"/>
      </w:pPr>
      <w:r>
        <w:rPr>
          <w:b/>
          <w:bCs/>
          <w:color w:val="1A2B4A"/>
        </w:rPr>
        <w:t xml:space="preserve">Core Modules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A2B4A" w:color="auto" w:val="clear"/>
            <w:tcMar>
              <w:top w:type="dxa" w:w="80"/>
              <w:left w:type="dxa" w:w="100"/>
              <w:bottom w:type="dxa" w:w="80"/>
              <w:right w:type="dxa" w:w="100"/>
            </w:tcMar>
            <w:vAlign w:val="center"/>
          </w:tcPr>
          <w:p>
            <w:pPr>
              <w:jc w:val="left"/>
            </w:pPr>
            <w:r>
              <w:rPr>
                <w:b/>
                <w:bCs/>
                <w:color w:val="FFFFFF"/>
                <w:sz w:val="20"/>
                <w:szCs w:val="20"/>
              </w:rPr>
              <w:t xml:space="preserve">Module</w:t>
            </w:r>
          </w:p>
        </w:tc>
        <w:tc>
          <w:tcPr>
            <w:tcW w:type="dxa" w:w="6800"/>
            <w:shd w:fill="1A2B4A" w:color="auto" w:val="clear"/>
            <w:tcMar>
              <w:top w:type="dxa" w:w="80"/>
              <w:left w:type="dxa" w:w="100"/>
              <w:bottom w:type="dxa" w:w="80"/>
              <w:right w:type="dxa" w:w="100"/>
            </w:tcMar>
            <w:vAlign w:val="center"/>
          </w:tcPr>
          <w:p>
            <w:pPr>
              <w:jc w:val="left"/>
            </w:pPr>
            <w:r>
              <w:rPr>
                <w:b/>
                <w:bCs/>
                <w:color w:val="FFFFFF"/>
                <w:sz w:val="20"/>
                <w:szCs w:val="20"/>
              </w:rPr>
              <w:t xml:space="preserve">Responsibility</w:t>
            </w:r>
          </w:p>
        </w:tc>
      </w:tr>
      <w:tr>
        <w:tc>
          <w:tcPr>
            <w:tcW w:type="dxa" w:w="26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app.py</w:t>
            </w:r>
          </w:p>
        </w:tc>
        <w:tc>
          <w:tcPr>
            <w:tcW w:type="dxa" w:w="68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Streamlit front end: page routing, layout, session state, user interaction</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factors.py</w:t>
            </w:r>
          </w:p>
        </w:tc>
        <w:tc>
          <w:tcPr>
            <w:tcW w:type="dxa" w:w="68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Runs all ten quality factors locally; defines display names and factor weights</w:t>
            </w:r>
          </w:p>
        </w:tc>
      </w:tr>
      <w:tr>
        <w:tc>
          <w:tcPr>
            <w:tcW w:type="dxa" w:w="26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factor_info.py</w:t>
            </w:r>
          </w:p>
        </w:tc>
        <w:tc>
          <w:tcPr>
            <w:tcW w:type="dxa" w:w="68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Reference metadata for each factor: definition, importance, formula, OCR impact, ideal range, owner</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descriptions.py / short_descriptions.py</w:t>
            </w:r>
          </w:p>
        </w:tc>
        <w:tc>
          <w:tcPr>
            <w:tcW w:type="dxa" w:w="68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Human-readable, score-dependent descriptions shown in the UI</w:t>
            </w:r>
          </w:p>
        </w:tc>
      </w:tr>
      <w:tr>
        <w:tc>
          <w:tcPr>
            <w:tcW w:type="dxa" w:w="26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api_integration.py</w:t>
            </w:r>
          </w:p>
        </w:tc>
        <w:tc>
          <w:tcPr>
            <w:tcW w:type="dxa" w:w="68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Calls each team member's distributed factor API; tracks known issues and current endpoint URLs</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config_manager.py</w:t>
            </w:r>
          </w:p>
        </w:tc>
        <w:tc>
          <w:tcPr>
            <w:tcW w:type="dxa" w:w="68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Loads/saves configuration; builds API URLs from configurable ports and endpoints</w:t>
            </w:r>
          </w:p>
        </w:tc>
      </w:tr>
      <w:tr>
        <w:tc>
          <w:tcPr>
            <w:tcW w:type="dxa" w:w="26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storage.py</w:t>
            </w:r>
          </w:p>
        </w:tc>
        <w:tc>
          <w:tcPr>
            <w:tcW w:type="dxa" w:w="68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Persists analysis results and uploaded images; loads history; computes cross-factor correlations</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report.py</w:t>
            </w:r>
          </w:p>
        </w:tc>
        <w:tc>
          <w:tcPr>
            <w:tcW w:type="dxa" w:w="68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Generates the downloadable PDF report</w:t>
            </w:r>
          </w:p>
        </w:tc>
      </w:tr>
    </w:tbl>
    <w:p>
      <w:pPr>
        <w:spacing w:before="200"/>
      </w:pPr>
    </w:p>
    <w:p>
      <w:pPr>
        <w:pStyle w:val="Heading2"/>
        <w:spacing w:after="150" w:before="300"/>
      </w:pPr>
      <w:r>
        <w:rPr>
          <w:b/>
          <w:bCs/>
          <w:color w:val="0F3460"/>
        </w:rPr>
        <w:t xml:space="preserve">5.2 Distributed Team-API Architecture</w:t>
      </w:r>
    </w:p>
    <w:p>
      <w:pPr>
        <w:spacing w:after="160" w:line="276"/>
        <w:jc w:val="both"/>
      </w:pPr>
      <w:r>
        <w:rPr>
          <w:b w:val="false"/>
          <w:bCs w:val="false"/>
          <w:i w:val="false"/>
          <w:iCs w:val="false"/>
          <w:color w:val="222222"/>
          <w:sz w:val="22"/>
          <w:szCs w:val="22"/>
        </w:rPr>
        <w:t xml:space="preserve">A distinguishing design decision of this project is that quality-factor scoring is not confined to a single monolithic codebase. Each team member can host their own scoring logic as a small API service (reflected in the api-yash / api-mansi / api-krish / api-vivek / api-tanusha routing visible in the UI styling), and the application's call_all_team_apis() function attempts to reach each teammate's live endpoint first.</w:t>
      </w:r>
    </w:p>
    <w:p>
      <w:pPr>
        <w:spacing w:after="160" w:line="276"/>
        <w:jc w:val="both"/>
      </w:pPr>
      <w:r>
        <w:rPr>
          <w:b w:val="false"/>
          <w:bCs w:val="false"/>
          <w:i w:val="false"/>
          <w:iCs w:val="false"/>
          <w:color w:val="222222"/>
          <w:sz w:val="22"/>
          <w:szCs w:val="22"/>
        </w:rPr>
        <w:t xml:space="preserve">Because student-hosted services are inherently less reliable than a production backend (they may be offline, restarted, or running on a changing port/tunnel URL), the platform maintains a KNOWN_ISSUES registry and a get_current_urls() resolver in api_integration.py, and a config_manager.py module that centralises port numbers and endpoint paths (PORTS, ENDPOINTS) and can persist configuration changes. If any teammate's API cannot be reached, the platform transparently falls back to the equivalent local factor computation in factors.py, so the user always receives a complete result regardless of which services are online.</w:t>
      </w:r>
    </w:p>
    <w:p>
      <w:pPr>
        <w:pStyle w:val="Heading2"/>
        <w:spacing w:after="150" w:before="300"/>
      </w:pPr>
      <w:r>
        <w:rPr>
          <w:b/>
          <w:bCs/>
          <w:color w:val="0F3460"/>
        </w:rPr>
        <w:t xml:space="preserve">5.3 Technology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1A2B4A" w:color="auto" w:val="clear"/>
            <w:tcMar>
              <w:top w:type="dxa" w:w="80"/>
              <w:left w:type="dxa" w:w="100"/>
              <w:bottom w:type="dxa" w:w="80"/>
              <w:right w:type="dxa" w:w="100"/>
            </w:tcMar>
            <w:vAlign w:val="center"/>
          </w:tcPr>
          <w:p>
            <w:pPr>
              <w:jc w:val="left"/>
            </w:pPr>
            <w:r>
              <w:rPr>
                <w:b/>
                <w:bCs/>
                <w:color w:val="FFFFFF"/>
                <w:sz w:val="20"/>
                <w:szCs w:val="20"/>
              </w:rPr>
              <w:t xml:space="preserve">Layer</w:t>
            </w:r>
          </w:p>
        </w:tc>
        <w:tc>
          <w:tcPr>
            <w:tcW w:type="dxa" w:w="6400"/>
            <w:shd w:fill="1A2B4A" w:color="auto" w:val="clear"/>
            <w:tcMar>
              <w:top w:type="dxa" w:w="80"/>
              <w:left w:type="dxa" w:w="100"/>
              <w:bottom w:type="dxa" w:w="80"/>
              <w:right w:type="dxa" w:w="100"/>
            </w:tcMar>
            <w:vAlign w:val="center"/>
          </w:tcPr>
          <w:p>
            <w:pPr>
              <w:jc w:val="left"/>
            </w:pPr>
            <w:r>
              <w:rPr>
                <w:b/>
                <w:bCs/>
                <w:color w:val="FFFFFF"/>
                <w:sz w:val="20"/>
                <w:szCs w:val="20"/>
              </w:rPr>
              <w:t xml:space="preserve">Technology</w:t>
            </w:r>
          </w:p>
        </w:tc>
      </w:tr>
      <w:tr>
        <w:tc>
          <w:tcPr>
            <w:tcW w:type="dxa" w:w="30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Frontend / App Framework</w:t>
            </w:r>
          </w:p>
        </w:tc>
        <w:tc>
          <w:tcPr>
            <w:tcW w:type="dxa" w:w="64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Streamlit (wide layout, custom CSS theming, session-state driven navigation)</w:t>
            </w:r>
          </w:p>
        </w:tc>
      </w:tr>
      <w:tr>
        <w:tc>
          <w:tcPr>
            <w:tcW w:type="dxa" w:w="30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Image Processing</w:t>
            </w:r>
          </w:p>
        </w:tc>
        <w:tc>
          <w:tcPr>
            <w:tcW w:type="dxa" w:w="64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OpenCV (cv2), NumPy, Pillow (PIL)</w:t>
            </w:r>
          </w:p>
        </w:tc>
      </w:tr>
      <w:tr>
        <w:tc>
          <w:tcPr>
            <w:tcW w:type="dxa" w:w="30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Data Handling</w:t>
            </w:r>
          </w:p>
        </w:tc>
        <w:tc>
          <w:tcPr>
            <w:tcW w:type="dxa" w:w="64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pandas (results history, correlation analysis)</w:t>
            </w:r>
          </w:p>
        </w:tc>
      </w:tr>
      <w:tr>
        <w:tc>
          <w:tcPr>
            <w:tcW w:type="dxa" w:w="30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Visualisation</w:t>
            </w:r>
          </w:p>
        </w:tc>
        <w:tc>
          <w:tcPr>
            <w:tcW w:type="dxa" w:w="64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Plotly (graph_objects) for radar/score charts</w:t>
            </w:r>
          </w:p>
        </w:tc>
      </w:tr>
      <w:tr>
        <w:tc>
          <w:tcPr>
            <w:tcW w:type="dxa" w:w="30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OCR Validation Engine</w:t>
            </w:r>
          </w:p>
        </w:tc>
        <w:tc>
          <w:tcPr>
            <w:tcW w:type="dxa" w:w="64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pytesseract (Tesseract OCR), used as an optional dependency with graceful fallback</w:t>
            </w:r>
          </w:p>
        </w:tc>
      </w:tr>
      <w:tr>
        <w:tc>
          <w:tcPr>
            <w:tcW w:type="dxa" w:w="30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Interactive Cropping</w:t>
            </w:r>
          </w:p>
        </w:tc>
        <w:tc>
          <w:tcPr>
            <w:tcW w:type="dxa" w:w="64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streamlit-drawable-canvas (drag-to-crop) and streamlit-image-coordinates (click-to-crop), each optional</w:t>
            </w:r>
          </w:p>
        </w:tc>
      </w:tr>
      <w:tr>
        <w:tc>
          <w:tcPr>
            <w:tcW w:type="dxa" w:w="30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Custom UI Components</w:t>
            </w:r>
          </w:p>
        </w:tc>
        <w:tc>
          <w:tcPr>
            <w:tcW w:type="dxa" w:w="64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A bespoke click_select_widget — a native &lt;select&gt; dropdown built specifically to avoid the editable-text behaviour of Streamlit's default selectbox</w:t>
            </w:r>
          </w:p>
        </w:tc>
      </w:tr>
      <w:tr>
        <w:tc>
          <w:tcPr>
            <w:tcW w:type="dxa" w:w="30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Report Generation</w:t>
            </w:r>
          </w:p>
        </w:tc>
        <w:tc>
          <w:tcPr>
            <w:tcW w:type="dxa" w:w="64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Custom PDF generation module (report.py)</w:t>
            </w:r>
          </w:p>
        </w:tc>
      </w:tr>
    </w:tbl>
    <w:p>
      <w:pPr>
        <w:pStyle w:val="Heading1"/>
        <w:pBdr>
          <w:bottom w:val="single" w:color="00C4B4" w:sz="8" w:space="4"/>
        </w:pBdr>
        <w:spacing w:after="200" w:before="400"/>
      </w:pPr>
      <w:r>
        <w:rPr>
          <w:b/>
          <w:bCs/>
          <w:color w:val="1A2B4A"/>
        </w:rPr>
        <w:t xml:space="preserve">6. Data Flow &amp; Sequence of Operations</w:t>
      </w:r>
    </w:p>
    <w:p>
      <w:pPr>
        <w:spacing w:after="160" w:line="276"/>
        <w:jc w:val="both"/>
      </w:pPr>
      <w:r>
        <w:rPr>
          <w:b w:val="false"/>
          <w:bCs w:val="false"/>
          <w:i w:val="false"/>
          <w:iCs w:val="false"/>
          <w:color w:val="222222"/>
          <w:sz w:val="22"/>
          <w:szCs w:val="22"/>
        </w:rPr>
        <w:t xml:space="preserve">While Section 7 describes the user-facing workflow, this section traces what actually happens inside the system, module by module, for a single end-to-end analysis — from the moment a file is uploaded to the moment a PDF report is downloaded.</w:t>
      </w:r>
    </w:p>
    <w:p>
      <w:pPr>
        <w:pStyle w:val="Heading2"/>
        <w:spacing w:after="150" w:before="300"/>
      </w:pPr>
      <w:r>
        <w:rPr>
          <w:b/>
          <w:bCs/>
          <w:color w:val="0F3460"/>
        </w:rPr>
        <w:t xml:space="preserve">6.1 Ingestion &amp; Pre-processing</w:t>
      </w:r>
    </w:p>
    <w:p>
      <w:pPr>
        <w:pStyle w:val="ListParagraph"/>
        <w:numPr>
          <w:ilvl w:val="0"/>
          <w:numId w:val="2"/>
        </w:numPr>
        <w:spacing w:after="90"/>
      </w:pPr>
      <w:r>
        <w:rPr>
          <w:color w:val="222222"/>
          <w:sz w:val="22"/>
          <w:szCs w:val="22"/>
        </w:rPr>
        <w:t xml:space="preserve">The uploaded file is opened with Pillow and converted to RGB, then stored in st.session_state.raw_pil so it survives page navigation and re-runs.</w:t>
      </w:r>
    </w:p>
    <w:p>
      <w:pPr>
        <w:pStyle w:val="ListParagraph"/>
        <w:numPr>
          <w:ilvl w:val="0"/>
          <w:numId w:val="2"/>
        </w:numPr>
        <w:spacing w:after="90"/>
      </w:pPr>
      <w:r>
        <w:rPr>
          <w:color w:val="222222"/>
          <w:sz w:val="22"/>
          <w:szCs w:val="22"/>
        </w:rPr>
        <w:t xml:space="preserve">If the user opts to crop, the selected region (via canvas, click-corners, or manual sliders) is applied and stored as analysis_img; otherwise the full image is used.</w:t>
      </w:r>
    </w:p>
    <w:p>
      <w:pPr>
        <w:pStyle w:val="ListParagraph"/>
        <w:numPr>
          <w:ilvl w:val="0"/>
          <w:numId w:val="2"/>
        </w:numPr>
        <w:spacing w:after="90"/>
      </w:pPr>
      <w:r>
        <w:rPr>
          <w:color w:val="222222"/>
          <w:sz w:val="22"/>
          <w:szCs w:val="22"/>
        </w:rPr>
        <w:t xml:space="preserve">On analysis, pil_to_bgr() converts the image from Pillow's RGB representation to OpenCV's BGR channel order, since all downstream factor computations operate on OpenCV arrays.</w:t>
      </w:r>
    </w:p>
    <w:p>
      <w:pPr>
        <w:pStyle w:val="Heading2"/>
        <w:spacing w:after="150" w:before="300"/>
      </w:pPr>
      <w:r>
        <w:rPr>
          <w:b/>
          <w:bCs/>
          <w:color w:val="0F3460"/>
        </w:rPr>
        <w:t xml:space="preserve">6.2 Scoring</w:t>
      </w:r>
    </w:p>
    <w:p>
      <w:pPr>
        <w:pStyle w:val="ListParagraph"/>
        <w:numPr>
          <w:ilvl w:val="0"/>
          <w:numId w:val="2"/>
        </w:numPr>
        <w:spacing w:after="90"/>
      </w:pPr>
      <w:r>
        <w:rPr>
          <w:color w:val="222222"/>
          <w:sz w:val="22"/>
          <w:szCs w:val="22"/>
        </w:rPr>
        <w:t xml:space="preserve">run_all_factors(bgr) computes the ten local quality-factor scores deterministically from the image array.</w:t>
      </w:r>
    </w:p>
    <w:p>
      <w:pPr>
        <w:pStyle w:val="ListParagraph"/>
        <w:numPr>
          <w:ilvl w:val="0"/>
          <w:numId w:val="2"/>
        </w:numPr>
        <w:spacing w:after="90"/>
      </w:pPr>
      <w:r>
        <w:rPr>
          <w:color w:val="222222"/>
          <w:sz w:val="22"/>
          <w:szCs w:val="22"/>
        </w:rPr>
        <w:t xml:space="preserve">call_all_team_apis(bgr, local_results) attempts to enrich or replace individual factor scores with live results from each teammate's hosted API, merging successful responses with the local results and falling back silently wherever a service is unavailable.</w:t>
      </w:r>
    </w:p>
    <w:p>
      <w:pPr>
        <w:pStyle w:val="ListParagraph"/>
        <w:numPr>
          <w:ilvl w:val="0"/>
          <w:numId w:val="2"/>
        </w:numPr>
        <w:spacing w:after="90"/>
      </w:pPr>
      <w:r>
        <w:rPr>
          <w:color w:val="222222"/>
          <w:sz w:val="22"/>
          <w:szCs w:val="22"/>
        </w:rPr>
        <w:t xml:space="preserve">The merged factor_results dictionary, together with WEIGHTS, is combined into the single composite ocr_readiness_score and its status label.</w:t>
      </w:r>
    </w:p>
    <w:p>
      <w:pPr>
        <w:pStyle w:val="Heading2"/>
        <w:spacing w:after="150" w:before="300"/>
      </w:pPr>
      <w:r>
        <w:rPr>
          <w:b/>
          <w:bCs/>
          <w:color w:val="0F3460"/>
        </w:rPr>
        <w:t xml:space="preserve">6.3 Ground-Truth Validation</w:t>
      </w:r>
    </w:p>
    <w:p>
      <w:pPr>
        <w:pStyle w:val="ListParagraph"/>
        <w:numPr>
          <w:ilvl w:val="0"/>
          <w:numId w:val="2"/>
        </w:numPr>
        <w:spacing w:after="90"/>
      </w:pPr>
      <w:r>
        <w:rPr>
          <w:color w:val="222222"/>
          <w:sz w:val="22"/>
          <w:szCs w:val="22"/>
        </w:rPr>
        <w:t xml:space="preserve">Independently of the scoring step above, run_tesseract() invokes pytesseract on the same (post-crop) image, returning both an averaged OCR confidence figure and the raw extracted text.</w:t>
      </w:r>
    </w:p>
    <w:p>
      <w:pPr>
        <w:pStyle w:val="ListParagraph"/>
        <w:numPr>
          <w:ilvl w:val="0"/>
          <w:numId w:val="2"/>
        </w:numPr>
        <w:spacing w:after="90"/>
      </w:pPr>
      <w:r>
        <w:rPr>
          <w:color w:val="222222"/>
          <w:sz w:val="22"/>
          <w:szCs w:val="22"/>
        </w:rPr>
        <w:t xml:space="preserve">The absolute difference between the predicted score and this real confidence becomes the Prediction Accuracy metric shown to the user.</w:t>
      </w:r>
    </w:p>
    <w:p>
      <w:pPr>
        <w:pStyle w:val="Heading2"/>
        <w:spacing w:after="150" w:before="300"/>
      </w:pPr>
      <w:r>
        <w:rPr>
          <w:b/>
          <w:bCs/>
          <w:color w:val="0F3460"/>
        </w:rPr>
        <w:t xml:space="preserve">6.4 Recommendations &amp; Persistence</w:t>
      </w:r>
    </w:p>
    <w:p>
      <w:pPr>
        <w:pStyle w:val="ListParagraph"/>
        <w:numPr>
          <w:ilvl w:val="0"/>
          <w:numId w:val="2"/>
        </w:numPr>
        <w:spacing w:after="90"/>
      </w:pPr>
      <w:r>
        <w:rPr>
          <w:color w:val="222222"/>
          <w:sz w:val="22"/>
          <w:szCs w:val="22"/>
        </w:rPr>
        <w:t xml:space="preserve">generate_recommendations(final_results) inspects every factor against its ideal range and produces plain-language advice for any that fall short.</w:t>
      </w:r>
    </w:p>
    <w:p>
      <w:pPr>
        <w:pStyle w:val="ListParagraph"/>
        <w:numPr>
          <w:ilvl w:val="0"/>
          <w:numId w:val="2"/>
        </w:numPr>
        <w:spacing w:after="90"/>
      </w:pPr>
      <w:r>
        <w:rPr>
          <w:color w:val="222222"/>
          <w:sz w:val="22"/>
          <w:szCs w:val="22"/>
        </w:rPr>
        <w:t xml:space="preserve">save_uploaded_image() and save_result() persist the image and the full result set to disk so they appear in the History page on every future visit, even after the Streamlit session ends.</w:t>
      </w:r>
    </w:p>
    <w:p>
      <w:pPr>
        <w:pStyle w:val="Heading2"/>
        <w:spacing w:after="150" w:before="300"/>
      </w:pPr>
      <w:r>
        <w:rPr>
          <w:b/>
          <w:bCs/>
          <w:color w:val="0F3460"/>
        </w:rPr>
        <w:t xml:space="preserve">6.5 Reporting</w:t>
      </w:r>
    </w:p>
    <w:p>
      <w:pPr>
        <w:pStyle w:val="ListParagraph"/>
        <w:numPr>
          <w:ilvl w:val="0"/>
          <w:numId w:val="2"/>
        </w:numPr>
        <w:spacing w:after="90"/>
      </w:pPr>
      <w:r>
        <w:rPr>
          <w:color w:val="222222"/>
          <w:sz w:val="22"/>
          <w:szCs w:val="22"/>
        </w:rPr>
        <w:t xml:space="preserve">On request, generate_pdf_report() reads the same final_results, ocr_readiness, ocr_confidence, recommendations, ocr_text and the saved image file to assemble a single downloadable PDF, so the exported report is always a faithful snapshot of exactly what the user saw on screen.</w:t>
      </w:r>
    </w:p>
    <w:p>
      <w:pPr>
        <w:spacing w:after="160" w:line="276"/>
        <w:jc w:val="both"/>
      </w:pPr>
      <w:r>
        <w:rPr>
          <w:b w:val="false"/>
          <w:bCs w:val="false"/>
          <w:i w:val="false"/>
          <w:iCs w:val="false"/>
          <w:color w:val="222222"/>
          <w:sz w:val="22"/>
          <w:szCs w:val="22"/>
        </w:rPr>
        <w:t xml:space="preserve">This pipeline is deliberately linear and stateless between steps — each stage consumes the previous stage's output and produces a well-defined artifact (an image array, a results dictionary, a text string, a byte buffer) — which is part of why individual modules could be developed independently by different team members without needing to agree on shared mutable state.</w:t>
      </w:r>
    </w:p>
    <w:p>
      <w:pPr>
        <w:pStyle w:val="Heading1"/>
        <w:pBdr>
          <w:bottom w:val="single" w:color="00C4B4" w:sz="8" w:space="4"/>
        </w:pBdr>
        <w:spacing w:after="200" w:before="400"/>
      </w:pPr>
      <w:r>
        <w:rPr>
          <w:b/>
          <w:bCs/>
          <w:color w:val="1A2B4A"/>
        </w:rPr>
        <w:t xml:space="preserve">7. Application Workflow</w:t>
      </w:r>
    </w:p>
    <w:p>
      <w:pPr>
        <w:spacing w:after="160" w:line="276"/>
        <w:jc w:val="both"/>
      </w:pPr>
      <w:r>
        <w:rPr>
          <w:b w:val="false"/>
          <w:bCs w:val="false"/>
          <w:i w:val="false"/>
          <w:iCs w:val="false"/>
          <w:color w:val="222222"/>
          <w:sz w:val="22"/>
          <w:szCs w:val="22"/>
        </w:rPr>
        <w:t xml:space="preserve">The user journey through the Analyse Image page — the heart of the platform — follows three clear steps, each described below together with the underlying interaction design decisions.</w:t>
      </w:r>
    </w:p>
    <w:p>
      <w:pPr>
        <w:pStyle w:val="Heading2"/>
        <w:spacing w:after="150" w:before="300"/>
      </w:pPr>
      <w:r>
        <w:rPr>
          <w:b/>
          <w:bCs/>
          <w:color w:val="0F3460"/>
        </w:rPr>
        <w:t xml:space="preserve">7.1 Step 1 — Image Upload &amp; Region Selection</w:t>
      </w:r>
    </w:p>
    <w:p>
      <w:pPr>
        <w:spacing w:after="160" w:line="276"/>
        <w:jc w:val="both"/>
      </w:pPr>
      <w:r>
        <w:rPr>
          <w:b w:val="false"/>
          <w:bCs w:val="false"/>
          <w:i w:val="false"/>
          <w:iCs w:val="false"/>
          <w:color w:val="222222"/>
          <w:sz w:val="22"/>
          <w:szCs w:val="22"/>
        </w:rPr>
        <w:t xml:space="preserve">The user uploads a document image in one of six supported formats. They may optionally crop the image to the relevant document area before analysis. The platform offers three tiers of cropping interaction depending on which optional packages are installed in the environment:</w:t>
      </w:r>
    </w:p>
    <w:p>
      <w:pPr>
        <w:pStyle w:val="ListParagraph"/>
        <w:numPr>
          <w:ilvl w:val="0"/>
          <w:numId w:val="2"/>
        </w:numPr>
        <w:spacing w:after="90"/>
      </w:pPr>
      <w:r>
        <w:rPr>
          <w:color w:val="222222"/>
          <w:sz w:val="22"/>
          <w:szCs w:val="22"/>
        </w:rPr>
        <w:t xml:space="preserve">Drag-to-draw rectangle cropping via streamlit-drawable-canvas (primary, most intuitive — behaves like a screenshot tool).</w:t>
      </w:r>
    </w:p>
    <w:p>
      <w:pPr>
        <w:pStyle w:val="ListParagraph"/>
        <w:numPr>
          <w:ilvl w:val="0"/>
          <w:numId w:val="2"/>
        </w:numPr>
        <w:spacing w:after="90"/>
      </w:pPr>
      <w:r>
        <w:rPr>
          <w:color w:val="222222"/>
          <w:sz w:val="22"/>
          <w:szCs w:val="22"/>
        </w:rPr>
        <w:t xml:space="preserve">Click-two-opposite-corners cropping via streamlit-image-coordinates (secondary fallback, guided with step-by-step on-screen prompts).</w:t>
      </w:r>
    </w:p>
    <w:p>
      <w:pPr>
        <w:pStyle w:val="ListParagraph"/>
        <w:numPr>
          <w:ilvl w:val="0"/>
          <w:numId w:val="2"/>
        </w:numPr>
        <w:spacing w:after="90"/>
      </w:pPr>
      <w:r>
        <w:rPr>
          <w:color w:val="222222"/>
          <w:sz w:val="22"/>
          <w:szCs w:val="22"/>
        </w:rPr>
        <w:t xml:space="preserve">Manual left/top/right/bottom pixel sliders (final fallback, always available regardless of installed packages).</w:t>
      </w:r>
    </w:p>
    <w:p>
      <w:pPr>
        <w:spacing w:after="160" w:line="276"/>
        <w:jc w:val="both"/>
      </w:pPr>
      <w:r>
        <w:rPr>
          <w:b w:val="false"/>
          <w:bCs w:val="false"/>
          <w:i w:val="false"/>
          <w:iCs w:val="false"/>
          <w:color w:val="222222"/>
          <w:sz w:val="22"/>
          <w:szCs w:val="22"/>
        </w:rPr>
        <w:t xml:space="preserve">This tiered design ensures the cropping feature degrades gracefully rather than breaking outright if a dependency is missing in a given deployment environment. Whichever method is used, the cropped region is immediately previewed alongside its pixel width and height before the user proceeds.</w:t>
      </w:r>
    </w:p>
    <w:p>
      <w:pPr>
        <w:pStyle w:val="Heading2"/>
        <w:spacing w:after="150" w:before="300"/>
      </w:pPr>
      <w:r>
        <w:rPr>
          <w:b/>
          <w:bCs/>
          <w:color w:val="0F3460"/>
        </w:rPr>
        <w:t xml:space="preserve">7.2 Step 2 — Analysis</w:t>
      </w:r>
    </w:p>
    <w:p>
      <w:pPr>
        <w:spacing w:after="160" w:line="276"/>
        <w:jc w:val="both"/>
      </w:pPr>
      <w:r>
        <w:rPr>
          <w:b w:val="false"/>
          <w:bCs w:val="false"/>
          <w:i w:val="false"/>
          <w:iCs w:val="false"/>
          <w:color w:val="222222"/>
          <w:sz w:val="22"/>
          <w:szCs w:val="22"/>
        </w:rPr>
        <w:t xml:space="preserve">On clicking Analyse Image, the platform executes, in sequence and with a visible progress spinner at each stage: image pre-processing, local computation of all ten quality factors, an attempt to enrich or replace those results with live team-API responses, an independent Tesseract OCR pass to obtain a real OCR confidence figure and the extracted text, and generation of tailored recommendations based on the final combined results. Every uploaded image and its results are persisted to disk so they appear later in the History page.</w:t>
      </w:r>
    </w:p>
    <w:p>
      <w:pPr>
        <w:pStyle w:val="Heading2"/>
        <w:spacing w:after="150" w:before="300"/>
      </w:pPr>
      <w:r>
        <w:rPr>
          <w:b/>
          <w:bCs/>
          <w:color w:val="0F3460"/>
        </w:rPr>
        <w:t xml:space="preserve">7.3 Step 3 — Results</w:t>
      </w:r>
    </w:p>
    <w:p>
      <w:pPr>
        <w:spacing w:after="160" w:line="276"/>
        <w:jc w:val="both"/>
      </w:pPr>
      <w:r>
        <w:rPr>
          <w:b w:val="false"/>
          <w:bCs w:val="false"/>
          <w:i w:val="false"/>
          <w:iCs w:val="false"/>
          <w:color w:val="222222"/>
          <w:sz w:val="22"/>
          <w:szCs w:val="22"/>
        </w:rPr>
        <w:t xml:space="preserve">Results are presented as three headline score cards — OCR Readiness Score, OCR Confidence (from Tesseract), and Prediction Accuracy — followed by a two-column grid of all ten factor cards, each showing its score, a colour-coded status badge, its weight in the overall score, and an expandable panel with the factor's owner, definition, OCR impact and ideal range.</w:t>
      </w:r>
    </w:p>
    <w:p>
      <w:pPr>
        <w:pStyle w:val="Heading3"/>
        <w:spacing w:after="100" w:before="200"/>
      </w:pPr>
      <w:r>
        <w:rPr>
          <w:b/>
          <w:bCs/>
          <w:color w:val="1A2B4A"/>
        </w:rPr>
        <w:t xml:space="preserve">Results Page Components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A2B4A" w:color="auto" w:val="clear"/>
            <w:tcMar>
              <w:top w:type="dxa" w:w="80"/>
              <w:left w:type="dxa" w:w="100"/>
              <w:bottom w:type="dxa" w:w="80"/>
              <w:right w:type="dxa" w:w="100"/>
            </w:tcMar>
            <w:vAlign w:val="center"/>
          </w:tcPr>
          <w:p>
            <w:pPr>
              <w:jc w:val="left"/>
            </w:pPr>
            <w:r>
              <w:rPr>
                <w:b/>
                <w:bCs/>
                <w:color w:val="FFFFFF"/>
                <w:sz w:val="20"/>
                <w:szCs w:val="20"/>
              </w:rPr>
              <w:t xml:space="preserve">Component</w:t>
            </w:r>
          </w:p>
        </w:tc>
        <w:tc>
          <w:tcPr>
            <w:tcW w:type="dxa" w:w="6800"/>
            <w:shd w:fill="1A2B4A" w:color="auto" w:val="clear"/>
            <w:tcMar>
              <w:top w:type="dxa" w:w="80"/>
              <w:left w:type="dxa" w:w="100"/>
              <w:bottom w:type="dxa" w:w="80"/>
              <w:right w:type="dxa" w:w="100"/>
            </w:tcMar>
            <w:vAlign w:val="center"/>
          </w:tcPr>
          <w:p>
            <w:pPr>
              <w:jc w:val="left"/>
            </w:pPr>
            <w:r>
              <w:rPr>
                <w:b/>
                <w:bCs/>
                <w:color w:val="FFFFFF"/>
                <w:sz w:val="20"/>
                <w:szCs w:val="20"/>
              </w:rPr>
              <w:t xml:space="preserve">Content</w:t>
            </w:r>
          </w:p>
        </w:tc>
      </w:tr>
      <w:tr>
        <w:tc>
          <w:tcPr>
            <w:tcW w:type="dxa" w:w="26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Score Cards</w:t>
            </w:r>
          </w:p>
        </w:tc>
        <w:tc>
          <w:tcPr>
            <w:tcW w:type="dxa" w:w="68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OCR Readiness Score, OCR Confidence, Prediction Accuracy — each a large colour-coded number</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Factor Score Grid</w:t>
            </w:r>
          </w:p>
        </w:tc>
        <w:tc>
          <w:tcPr>
            <w:tcW w:type="dxa" w:w="68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Two-column layout of all ten factors with progress bar, status badge and weight</w:t>
            </w:r>
          </w:p>
        </w:tc>
      </w:tr>
      <w:tr>
        <w:tc>
          <w:tcPr>
            <w:tcW w:type="dxa" w:w="26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OCR Text Tab</w:t>
            </w:r>
          </w:p>
        </w:tc>
        <w:tc>
          <w:tcPr>
            <w:tcW w:type="dxa" w:w="68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Full raw text extracted by Tesseract, alongside the confidence percentage</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Recommendations Tab</w:t>
            </w:r>
          </w:p>
        </w:tc>
        <w:tc>
          <w:tcPr>
            <w:tcW w:type="dxa" w:w="68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Numbered, plain-language cards — one per under-performing factor</w:t>
            </w:r>
          </w:p>
        </w:tc>
      </w:tr>
      <w:tr>
        <w:tc>
          <w:tcPr>
            <w:tcW w:type="dxa" w:w="26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Factor Details Tab</w:t>
            </w:r>
          </w:p>
        </w:tc>
        <w:tc>
          <w:tcPr>
            <w:tcW w:type="dxa" w:w="68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Expandable per-factor panels with status, description, owner, ideal range and formula</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Export Report</w:t>
            </w:r>
          </w:p>
        </w:tc>
        <w:tc>
          <w:tcPr>
            <w:tcW w:type="dxa" w:w="68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One-click PDF generation and download of the complete analysis</w:t>
            </w:r>
          </w:p>
        </w:tc>
      </w:tr>
    </w:tbl>
    <w:p>
      <w:pPr>
        <w:pStyle w:val="Heading1"/>
        <w:pBdr>
          <w:bottom w:val="single" w:color="00C4B4" w:sz="8" w:space="4"/>
        </w:pBdr>
        <w:spacing w:after="200" w:before="400"/>
      </w:pPr>
      <w:r>
        <w:rPr>
          <w:b/>
          <w:bCs/>
          <w:color w:val="1A2B4A"/>
        </w:rPr>
        <w:t xml:space="preserve">8. The Ten OCR Quality Factors</w:t>
      </w:r>
    </w:p>
    <w:p>
      <w:pPr>
        <w:spacing w:after="160" w:line="276"/>
        <w:jc w:val="both"/>
      </w:pPr>
      <w:r>
        <w:rPr>
          <w:b w:val="false"/>
          <w:bCs w:val="false"/>
          <w:i w:val="false"/>
          <w:iCs w:val="false"/>
          <w:color w:val="222222"/>
          <w:sz w:val="22"/>
          <w:szCs w:val="22"/>
        </w:rPr>
        <w:t xml:space="preserve">The platform's central innovation is decomposing 'OCR readiness' into ten independent, individually interpretable quality factors, each assigned an owner within the team and a weight contributing to the overall score. Each factor is scored 0–100 and classified into one of four status bands.</w:t>
      </w:r>
    </w:p>
    <w:p>
      <w:pPr>
        <w:pStyle w:val="Heading2"/>
        <w:spacing w:after="150" w:before="300"/>
      </w:pPr>
      <w:r>
        <w:rPr>
          <w:b/>
          <w:bCs/>
          <w:color w:val="0F3460"/>
        </w:rPr>
        <w:t xml:space="preserve">8.1 Score Classification Bands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500"/>
      </w:tblGrid>
      <w:tr>
        <w:trPr>
          <w:tblHeader/>
        </w:trPr>
        <w:tc>
          <w:tcPr>
            <w:tcW w:type="dxa" w:w="2500"/>
            <w:shd w:fill="1A2B4A" w:color="auto" w:val="clear"/>
            <w:tcMar>
              <w:top w:type="dxa" w:w="80"/>
              <w:left w:type="dxa" w:w="100"/>
              <w:bottom w:type="dxa" w:w="80"/>
              <w:right w:type="dxa" w:w="100"/>
            </w:tcMar>
            <w:vAlign w:val="center"/>
          </w:tcPr>
          <w:p>
            <w:pPr>
              <w:jc w:val="left"/>
            </w:pPr>
            <w:r>
              <w:rPr>
                <w:b/>
                <w:bCs/>
                <w:color w:val="FFFFFF"/>
                <w:sz w:val="20"/>
                <w:szCs w:val="20"/>
              </w:rPr>
              <w:t xml:space="preserve">Status</w:t>
            </w:r>
          </w:p>
        </w:tc>
        <w:tc>
          <w:tcPr>
            <w:tcW w:type="dxa" w:w="2000"/>
            <w:shd w:fill="1A2B4A" w:color="auto" w:val="clear"/>
            <w:tcMar>
              <w:top w:type="dxa" w:w="80"/>
              <w:left w:type="dxa" w:w="100"/>
              <w:bottom w:type="dxa" w:w="80"/>
              <w:right w:type="dxa" w:w="100"/>
            </w:tcMar>
            <w:vAlign w:val="center"/>
          </w:tcPr>
          <w:p>
            <w:pPr>
              <w:jc w:val="left"/>
            </w:pPr>
            <w:r>
              <w:rPr>
                <w:b/>
                <w:bCs/>
                <w:color w:val="FFFFFF"/>
                <w:sz w:val="20"/>
                <w:szCs w:val="20"/>
              </w:rPr>
              <w:t xml:space="preserve">Score Range</w:t>
            </w:r>
          </w:p>
        </w:tc>
        <w:tc>
          <w:tcPr>
            <w:tcW w:type="dxa" w:w="1500"/>
            <w:shd w:fill="1A2B4A" w:color="auto" w:val="clear"/>
            <w:tcMar>
              <w:top w:type="dxa" w:w="80"/>
              <w:left w:type="dxa" w:w="100"/>
              <w:bottom w:type="dxa" w:w="80"/>
              <w:right w:type="dxa" w:w="100"/>
            </w:tcMar>
            <w:vAlign w:val="center"/>
          </w:tcPr>
          <w:p>
            <w:pPr>
              <w:jc w:val="left"/>
            </w:pPr>
            <w:r>
              <w:rPr>
                <w:b/>
                <w:bCs/>
                <w:color w:val="FFFFFF"/>
                <w:sz w:val="20"/>
                <w:szCs w:val="20"/>
              </w:rPr>
              <w:t xml:space="preserve">Indicator</w:t>
            </w:r>
          </w:p>
        </w:tc>
      </w:tr>
      <w:tr>
        <w:tc>
          <w:tcPr>
            <w:tcW w:type="dxa" w:w="2500"/>
            <w:tcMar>
              <w:top w:type="dxa" w:w="80"/>
              <w:left w:type="dxa" w:w="100"/>
              <w:bottom w:type="dxa" w:w="80"/>
              <w:right w:type="dxa" w:w="100"/>
            </w:tcMar>
            <w:vAlign w:val="center"/>
          </w:tcPr>
          <w:p>
            <w:pPr>
              <w:jc w:val="left"/>
            </w:pPr>
            <w:r>
              <w:rPr>
                <w:b/>
                <w:bCs/>
                <w:color w:val="222222"/>
                <w:sz w:val="20"/>
                <w:szCs w:val="20"/>
              </w:rPr>
              <w:t xml:space="preserve">Excellent</w:t>
            </w:r>
          </w:p>
        </w:tc>
        <w:tc>
          <w:tcPr>
            <w:tcW w:type="dxa" w:w="2000"/>
            <w:tcMar>
              <w:top w:type="dxa" w:w="80"/>
              <w:left w:type="dxa" w:w="100"/>
              <w:bottom w:type="dxa" w:w="80"/>
              <w:right w:type="dxa" w:w="100"/>
            </w:tcMar>
            <w:vAlign w:val="center"/>
          </w:tcPr>
          <w:p>
            <w:pPr>
              <w:jc w:val="left"/>
            </w:pPr>
            <w:r>
              <w:rPr>
                <w:b w:val="false"/>
                <w:bCs w:val="false"/>
                <w:color w:val="222222"/>
                <w:sz w:val="20"/>
                <w:szCs w:val="20"/>
              </w:rPr>
              <w:t xml:space="preserve">81 – 100</w:t>
            </w:r>
          </w:p>
        </w:tc>
        <w:tc>
          <w:tcPr>
            <w:tcW w:type="dxa" w:w="1500"/>
            <w:tcMar>
              <w:top w:type="dxa" w:w="80"/>
              <w:left w:type="dxa" w:w="100"/>
              <w:bottom w:type="dxa" w:w="80"/>
              <w:right w:type="dxa" w:w="100"/>
            </w:tcMar>
            <w:vAlign w:val="center"/>
          </w:tcPr>
          <w:p>
            <w:pPr>
              <w:jc w:val="center"/>
            </w:pPr>
            <w:r>
              <w:rPr>
                <w:b/>
                <w:bCs/>
                <w:color w:val="10B981"/>
                <w:sz w:val="20"/>
                <w:szCs w:val="20"/>
              </w:rPr>
              <w:t xml:space="preserve">■</w:t>
            </w:r>
          </w:p>
        </w:tc>
      </w:tr>
      <w:tr>
        <w:tc>
          <w:tcPr>
            <w:tcW w:type="dxa" w:w="2500"/>
            <w:tcMar>
              <w:top w:type="dxa" w:w="80"/>
              <w:left w:type="dxa" w:w="100"/>
              <w:bottom w:type="dxa" w:w="80"/>
              <w:right w:type="dxa" w:w="100"/>
            </w:tcMar>
            <w:vAlign w:val="center"/>
          </w:tcPr>
          <w:p>
            <w:pPr>
              <w:jc w:val="left"/>
            </w:pPr>
            <w:r>
              <w:rPr>
                <w:b/>
                <w:bCs/>
                <w:color w:val="222222"/>
                <w:sz w:val="20"/>
                <w:szCs w:val="20"/>
              </w:rPr>
              <w:t xml:space="preserve">Good</w:t>
            </w:r>
          </w:p>
        </w:tc>
        <w:tc>
          <w:tcPr>
            <w:tcW w:type="dxa" w:w="2000"/>
            <w:tcMar>
              <w:top w:type="dxa" w:w="80"/>
              <w:left w:type="dxa" w:w="100"/>
              <w:bottom w:type="dxa" w:w="80"/>
              <w:right w:type="dxa" w:w="100"/>
            </w:tcMar>
            <w:vAlign w:val="center"/>
          </w:tcPr>
          <w:p>
            <w:pPr>
              <w:jc w:val="left"/>
            </w:pPr>
            <w:r>
              <w:rPr>
                <w:b w:val="false"/>
                <w:bCs w:val="false"/>
                <w:color w:val="222222"/>
                <w:sz w:val="20"/>
                <w:szCs w:val="20"/>
              </w:rPr>
              <w:t xml:space="preserve">61 – 80</w:t>
            </w:r>
          </w:p>
        </w:tc>
        <w:tc>
          <w:tcPr>
            <w:tcW w:type="dxa" w:w="1500"/>
            <w:tcMar>
              <w:top w:type="dxa" w:w="80"/>
              <w:left w:type="dxa" w:w="100"/>
              <w:bottom w:type="dxa" w:w="80"/>
              <w:right w:type="dxa" w:w="100"/>
            </w:tcMar>
            <w:vAlign w:val="center"/>
          </w:tcPr>
          <w:p>
            <w:pPr>
              <w:jc w:val="center"/>
            </w:pPr>
            <w:r>
              <w:rPr>
                <w:b/>
                <w:bCs/>
                <w:color w:val="3B82F6"/>
                <w:sz w:val="20"/>
                <w:szCs w:val="20"/>
              </w:rPr>
              <w:t xml:space="preserve">■</w:t>
            </w:r>
          </w:p>
        </w:tc>
      </w:tr>
      <w:tr>
        <w:tc>
          <w:tcPr>
            <w:tcW w:type="dxa" w:w="2500"/>
            <w:tcMar>
              <w:top w:type="dxa" w:w="80"/>
              <w:left w:type="dxa" w:w="100"/>
              <w:bottom w:type="dxa" w:w="80"/>
              <w:right w:type="dxa" w:w="100"/>
            </w:tcMar>
            <w:vAlign w:val="center"/>
          </w:tcPr>
          <w:p>
            <w:pPr>
              <w:jc w:val="left"/>
            </w:pPr>
            <w:r>
              <w:rPr>
                <w:b/>
                <w:bCs/>
                <w:color w:val="222222"/>
                <w:sz w:val="20"/>
                <w:szCs w:val="20"/>
              </w:rPr>
              <w:t xml:space="preserve">Average</w:t>
            </w:r>
          </w:p>
        </w:tc>
        <w:tc>
          <w:tcPr>
            <w:tcW w:type="dxa" w:w="2000"/>
            <w:tcMar>
              <w:top w:type="dxa" w:w="80"/>
              <w:left w:type="dxa" w:w="100"/>
              <w:bottom w:type="dxa" w:w="80"/>
              <w:right w:type="dxa" w:w="100"/>
            </w:tcMar>
            <w:vAlign w:val="center"/>
          </w:tcPr>
          <w:p>
            <w:pPr>
              <w:jc w:val="left"/>
            </w:pPr>
            <w:r>
              <w:rPr>
                <w:b w:val="false"/>
                <w:bCs w:val="false"/>
                <w:color w:val="222222"/>
                <w:sz w:val="20"/>
                <w:szCs w:val="20"/>
              </w:rPr>
              <w:t xml:space="preserve">41 – 60</w:t>
            </w:r>
          </w:p>
        </w:tc>
        <w:tc>
          <w:tcPr>
            <w:tcW w:type="dxa" w:w="1500"/>
            <w:tcMar>
              <w:top w:type="dxa" w:w="80"/>
              <w:left w:type="dxa" w:w="100"/>
              <w:bottom w:type="dxa" w:w="80"/>
              <w:right w:type="dxa" w:w="100"/>
            </w:tcMar>
            <w:vAlign w:val="center"/>
          </w:tcPr>
          <w:p>
            <w:pPr>
              <w:jc w:val="center"/>
            </w:pPr>
            <w:r>
              <w:rPr>
                <w:b/>
                <w:bCs/>
                <w:color w:val="F59E0B"/>
                <w:sz w:val="20"/>
                <w:szCs w:val="20"/>
              </w:rPr>
              <w:t xml:space="preserve">■</w:t>
            </w:r>
          </w:p>
        </w:tc>
      </w:tr>
      <w:tr>
        <w:tc>
          <w:tcPr>
            <w:tcW w:type="dxa" w:w="2500"/>
            <w:tcMar>
              <w:top w:type="dxa" w:w="80"/>
              <w:left w:type="dxa" w:w="100"/>
              <w:bottom w:type="dxa" w:w="80"/>
              <w:right w:type="dxa" w:w="100"/>
            </w:tcMar>
            <w:vAlign w:val="center"/>
          </w:tcPr>
          <w:p>
            <w:pPr>
              <w:jc w:val="left"/>
            </w:pPr>
            <w:r>
              <w:rPr>
                <w:b/>
                <w:bCs/>
                <w:color w:val="222222"/>
                <w:sz w:val="20"/>
                <w:szCs w:val="20"/>
              </w:rPr>
              <w:t xml:space="preserve">Poor</w:t>
            </w:r>
          </w:p>
        </w:tc>
        <w:tc>
          <w:tcPr>
            <w:tcW w:type="dxa" w:w="2000"/>
            <w:tcMar>
              <w:top w:type="dxa" w:w="80"/>
              <w:left w:type="dxa" w:w="100"/>
              <w:bottom w:type="dxa" w:w="80"/>
              <w:right w:type="dxa" w:w="100"/>
            </w:tcMar>
            <w:vAlign w:val="center"/>
          </w:tcPr>
          <w:p>
            <w:pPr>
              <w:jc w:val="left"/>
            </w:pPr>
            <w:r>
              <w:rPr>
                <w:b w:val="false"/>
                <w:bCs w:val="false"/>
                <w:color w:val="222222"/>
                <w:sz w:val="20"/>
                <w:szCs w:val="20"/>
              </w:rPr>
              <w:t xml:space="preserve">0 – 40</w:t>
            </w:r>
          </w:p>
        </w:tc>
        <w:tc>
          <w:tcPr>
            <w:tcW w:type="dxa" w:w="1500"/>
            <w:tcMar>
              <w:top w:type="dxa" w:w="80"/>
              <w:left w:type="dxa" w:w="100"/>
              <w:bottom w:type="dxa" w:w="80"/>
              <w:right w:type="dxa" w:w="100"/>
            </w:tcMar>
            <w:vAlign w:val="center"/>
          </w:tcPr>
          <w:p>
            <w:pPr>
              <w:jc w:val="center"/>
            </w:pPr>
            <w:r>
              <w:rPr>
                <w:b/>
                <w:bCs/>
                <w:color w:val="EF4444"/>
                <w:sz w:val="20"/>
                <w:szCs w:val="20"/>
              </w:rPr>
              <w:t xml:space="preserve">■</w:t>
            </w:r>
          </w:p>
        </w:tc>
      </w:tr>
    </w:tbl>
    <w:p>
      <w:pPr>
        <w:spacing w:before="200"/>
      </w:pPr>
    </w:p>
    <w:p>
      <w:pPr>
        <w:pStyle w:val="Heading2"/>
        <w:spacing w:after="150" w:before="300"/>
      </w:pPr>
      <w:r>
        <w:rPr>
          <w:b/>
          <w:bCs/>
          <w:color w:val="0F3460"/>
        </w:rPr>
        <w:t xml:space="preserve">8.2 Factor Reference Table Structure</w:t>
      </w:r>
    </w:p>
    <w:p>
      <w:pPr>
        <w:spacing w:after="160" w:line="276"/>
        <w:jc w:val="both"/>
      </w:pPr>
      <w:r>
        <w:rPr>
          <w:b w:val="false"/>
          <w:bCs w:val="false"/>
          <w:i w:val="false"/>
          <w:iCs w:val="false"/>
          <w:color w:val="222222"/>
          <w:sz w:val="22"/>
          <w:szCs w:val="22"/>
        </w:rPr>
        <w:t xml:space="preserve">Each factor card in the application displays a formula, an ideal range, an OCR-impact explanation and an assigned owner. The ten factors evaluated by run_all_factors() are combined via the WEIGHTS mapping into the single composite OCR Readiness Score. The reference structure of each factor entry is summarised below.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A2B4A" w:color="auto" w:val="clear"/>
            <w:tcMar>
              <w:top w:type="dxa" w:w="80"/>
              <w:left w:type="dxa" w:w="100"/>
              <w:bottom w:type="dxa" w:w="80"/>
              <w:right w:type="dxa" w:w="100"/>
            </w:tcMar>
            <w:vAlign w:val="center"/>
          </w:tcPr>
          <w:p>
            <w:pPr>
              <w:jc w:val="left"/>
            </w:pPr>
            <w:r>
              <w:rPr>
                <w:b/>
                <w:bCs/>
                <w:color w:val="FFFFFF"/>
                <w:sz w:val="20"/>
                <w:szCs w:val="20"/>
              </w:rPr>
              <w:t xml:space="preserve">Metadata Field</w:t>
            </w:r>
          </w:p>
        </w:tc>
        <w:tc>
          <w:tcPr>
            <w:tcW w:type="dxa" w:w="6800"/>
            <w:shd w:fill="1A2B4A" w:color="auto" w:val="clear"/>
            <w:tcMar>
              <w:top w:type="dxa" w:w="80"/>
              <w:left w:type="dxa" w:w="100"/>
              <w:bottom w:type="dxa" w:w="80"/>
              <w:right w:type="dxa" w:w="100"/>
            </w:tcMar>
            <w:vAlign w:val="center"/>
          </w:tcPr>
          <w:p>
            <w:pPr>
              <w:jc w:val="left"/>
            </w:pPr>
            <w:r>
              <w:rPr>
                <w:b/>
                <w:bCs/>
                <w:color w:val="FFFFFF"/>
                <w:sz w:val="20"/>
                <w:szCs w:val="20"/>
              </w:rPr>
              <w:t xml:space="preserve">Purpose</w:t>
            </w:r>
          </w:p>
        </w:tc>
      </w:tr>
      <w:tr>
        <w:tc>
          <w:tcPr>
            <w:tcW w:type="dxa" w:w="26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Definition</w:t>
            </w:r>
          </w:p>
        </w:tc>
        <w:tc>
          <w:tcPr>
            <w:tcW w:type="dxa" w:w="68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A plain-language explanation of what the factor measures in the image</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Importance</w:t>
            </w:r>
          </w:p>
        </w:tc>
        <w:tc>
          <w:tcPr>
            <w:tcW w:type="dxa" w:w="68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Why this factor matters for downstream OCR accuracy</w:t>
            </w:r>
          </w:p>
        </w:tc>
      </w:tr>
      <w:tr>
        <w:tc>
          <w:tcPr>
            <w:tcW w:type="dxa" w:w="26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Formula</w:t>
            </w:r>
          </w:p>
        </w:tc>
        <w:tc>
          <w:tcPr>
            <w:tcW w:type="dxa" w:w="68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The mathematical / algorithmic method used to compute the score</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OCR Impact</w:t>
            </w:r>
          </w:p>
        </w:tc>
        <w:tc>
          <w:tcPr>
            <w:tcW w:type="dxa" w:w="68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How a poor score in this factor specifically degrades OCR output</w:t>
            </w:r>
          </w:p>
        </w:tc>
      </w:tr>
      <w:tr>
        <w:tc>
          <w:tcPr>
            <w:tcW w:type="dxa" w:w="26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Ideal Range</w:t>
            </w:r>
          </w:p>
        </w:tc>
        <w:tc>
          <w:tcPr>
            <w:tcW w:type="dxa" w:w="68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The score band a document should fall in for reliable OCR</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Owner</w:t>
            </w:r>
          </w:p>
        </w:tc>
        <w:tc>
          <w:tcPr>
            <w:tcW w:type="dxa" w:w="68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The team member responsible for this factor's implementation</w:t>
            </w:r>
          </w:p>
        </w:tc>
      </w:tr>
    </w:tbl>
    <w:p>
      <w:pPr>
        <w:spacing w:before="200"/>
      </w:pPr>
    </w:p>
    <w:p>
      <w:pPr>
        <w:pStyle w:val="Heading2"/>
        <w:spacing w:after="150" w:before="300"/>
      </w:pPr>
      <w:r>
        <w:rPr>
          <w:b/>
          <w:bCs/>
          <w:color w:val="0F3460"/>
        </w:rPr>
        <w:t xml:space="preserve">8.3 Illustrative Factor Set</w:t>
      </w:r>
    </w:p>
    <w:p>
      <w:pPr>
        <w:spacing w:after="160" w:line="276"/>
        <w:jc w:val="both"/>
      </w:pPr>
      <w:r>
        <w:rPr>
          <w:b w:val="false"/>
          <w:bCs w:val="false"/>
          <w:i/>
          <w:iCs/>
          <w:color w:val="222222"/>
          <w:sz w:val="22"/>
          <w:szCs w:val="22"/>
        </w:rPr>
        <w:t xml:space="preserve">While the exact ten factor names, formulas and weights are defined in the project's factors.py and factor_info.py modules, the categories of image quality they are designed to capture — consistent with standard pre-OCR quality-assessment practice and the platform's UI — are summarised below for reference. Exact figures should be read from the platform's own About Factors page or from the source modules.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300"/>
      </w:tblGrid>
      <w:tr>
        <w:trPr>
          <w:tblHeader/>
        </w:trPr>
        <w:tc>
          <w:tcPr>
            <w:tcW w:type="dxa" w:w="2200"/>
            <w:shd w:fill="1A2B4A" w:color="auto" w:val="clear"/>
            <w:tcMar>
              <w:top w:type="dxa" w:w="80"/>
              <w:left w:type="dxa" w:w="100"/>
              <w:bottom w:type="dxa" w:w="80"/>
              <w:right w:type="dxa" w:w="100"/>
            </w:tcMar>
            <w:vAlign w:val="center"/>
          </w:tcPr>
          <w:p>
            <w:pPr>
              <w:jc w:val="left"/>
            </w:pPr>
            <w:r>
              <w:rPr>
                <w:b/>
                <w:bCs/>
                <w:color w:val="FFFFFF"/>
                <w:sz w:val="20"/>
                <w:szCs w:val="20"/>
              </w:rPr>
              <w:t xml:space="preserve">Factor Category</w:t>
            </w:r>
          </w:p>
        </w:tc>
        <w:tc>
          <w:tcPr>
            <w:tcW w:type="dxa" w:w="3300"/>
            <w:shd w:fill="1A2B4A" w:color="auto" w:val="clear"/>
            <w:tcMar>
              <w:top w:type="dxa" w:w="80"/>
              <w:left w:type="dxa" w:w="100"/>
              <w:bottom w:type="dxa" w:w="80"/>
              <w:right w:type="dxa" w:w="100"/>
            </w:tcMar>
            <w:vAlign w:val="center"/>
          </w:tcPr>
          <w:p>
            <w:pPr>
              <w:jc w:val="left"/>
            </w:pPr>
            <w:r>
              <w:rPr>
                <w:b/>
                <w:bCs/>
                <w:color w:val="FFFFFF"/>
                <w:sz w:val="20"/>
                <w:szCs w:val="20"/>
              </w:rPr>
              <w:t xml:space="preserve">What It Measures</w:t>
            </w:r>
          </w:p>
        </w:tc>
        <w:tc>
          <w:tcPr>
            <w:tcW w:type="dxa" w:w="3300"/>
            <w:shd w:fill="1A2B4A" w:color="auto" w:val="clear"/>
            <w:tcMar>
              <w:top w:type="dxa" w:w="80"/>
              <w:left w:type="dxa" w:w="100"/>
              <w:bottom w:type="dxa" w:w="80"/>
              <w:right w:type="dxa" w:w="100"/>
            </w:tcMar>
            <w:vAlign w:val="center"/>
          </w:tcPr>
          <w:p>
            <w:pPr>
              <w:jc w:val="left"/>
            </w:pPr>
            <w:r>
              <w:rPr>
                <w:b/>
                <w:bCs/>
                <w:color w:val="FFFFFF"/>
                <w:sz w:val="20"/>
                <w:szCs w:val="20"/>
              </w:rPr>
              <w:t xml:space="preserve">OCR Impact if Poor</w:t>
            </w:r>
          </w:p>
        </w:tc>
      </w:tr>
      <w:tr>
        <w:tc>
          <w:tcPr>
            <w:tcW w:type="dxa" w:w="22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Brightness / Illumination</w:t>
            </w:r>
          </w:p>
        </w:tc>
        <w:tc>
          <w:tcPr>
            <w:tcW w:type="dxa" w:w="33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Overall exposure and lighting evenness across the document</w:t>
            </w:r>
          </w:p>
        </w:tc>
        <w:tc>
          <w:tcPr>
            <w:tcW w:type="dxa" w:w="33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Uneven or extreme brightness hides characters in shadow or blown-out highlights</w:t>
            </w:r>
          </w:p>
        </w:tc>
      </w:tr>
      <w:tr>
        <w:tc>
          <w:tcPr>
            <w:tcW w:type="dxa" w:w="22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Contrast</w:t>
            </w:r>
          </w:p>
        </w:tc>
        <w:tc>
          <w:tcPr>
            <w:tcW w:type="dxa" w:w="33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Separation between text and background luminance</w:t>
            </w:r>
          </w:p>
        </w:tc>
        <w:tc>
          <w:tcPr>
            <w:tcW w:type="dxa" w:w="33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Low contrast makes character edges indistinguishable from the background</w:t>
            </w:r>
          </w:p>
        </w:tc>
      </w:tr>
      <w:tr>
        <w:tc>
          <w:tcPr>
            <w:tcW w:type="dxa" w:w="22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Sharpness / Focus</w:t>
            </w:r>
          </w:p>
        </w:tc>
        <w:tc>
          <w:tcPr>
            <w:tcW w:type="dxa" w:w="33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Degree of blur, via edge or Laplacian-variance style measures</w:t>
            </w:r>
          </w:p>
        </w:tc>
        <w:tc>
          <w:tcPr>
            <w:tcW w:type="dxa" w:w="33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Blurred strokes are merged or lost, directly corrupting character shapes</w:t>
            </w:r>
          </w:p>
        </w:tc>
      </w:tr>
      <w:tr>
        <w:tc>
          <w:tcPr>
            <w:tcW w:type="dxa" w:w="22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Noise Level</w:t>
            </w:r>
          </w:p>
        </w:tc>
        <w:tc>
          <w:tcPr>
            <w:tcW w:type="dxa" w:w="33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Sensor or compression noise present in the image</w:t>
            </w:r>
          </w:p>
        </w:tc>
        <w:tc>
          <w:tcPr>
            <w:tcW w:type="dxa" w:w="33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Noise is mistaken for character strokes or obscures thin ones</w:t>
            </w:r>
          </w:p>
        </w:tc>
      </w:tr>
      <w:tr>
        <w:tc>
          <w:tcPr>
            <w:tcW w:type="dxa" w:w="22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Resolution / Effective DPI</w:t>
            </w:r>
          </w:p>
        </w:tc>
        <w:tc>
          <w:tcPr>
            <w:tcW w:type="dxa" w:w="33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Pixel density relative to the physical text size</w:t>
            </w:r>
          </w:p>
        </w:tc>
        <w:tc>
          <w:tcPr>
            <w:tcW w:type="dxa" w:w="33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Low DPI leaves too few pixels per character for reliable recognition</w:t>
            </w:r>
          </w:p>
        </w:tc>
      </w:tr>
      <w:tr>
        <w:tc>
          <w:tcPr>
            <w:tcW w:type="dxa" w:w="22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Skew / Rotation</w:t>
            </w:r>
          </w:p>
        </w:tc>
        <w:tc>
          <w:tcPr>
            <w:tcW w:type="dxa" w:w="33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Angular deviation of text lines from horizontal</w:t>
            </w:r>
          </w:p>
        </w:tc>
        <w:tc>
          <w:tcPr>
            <w:tcW w:type="dxa" w:w="33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Rotated text breaks line- and word-segmentation assumptions in OCR engines</w:t>
            </w:r>
          </w:p>
        </w:tc>
      </w:tr>
      <w:tr>
        <w:tc>
          <w:tcPr>
            <w:tcW w:type="dxa" w:w="22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Geometric Distortion</w:t>
            </w:r>
          </w:p>
        </w:tc>
        <w:tc>
          <w:tcPr>
            <w:tcW w:type="dxa" w:w="33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Perspective warp from an angled or curved capture</w:t>
            </w:r>
          </w:p>
        </w:tc>
        <w:tc>
          <w:tcPr>
            <w:tcW w:type="dxa" w:w="33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Distorted character shapes reduce template/feature matching accuracy</w:t>
            </w:r>
          </w:p>
        </w:tc>
      </w:tr>
      <w:tr>
        <w:tc>
          <w:tcPr>
            <w:tcW w:type="dxa" w:w="22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Shadow &amp; Glare</w:t>
            </w:r>
          </w:p>
        </w:tc>
        <w:tc>
          <w:tcPr>
            <w:tcW w:type="dxa" w:w="33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Presence of localized shadows or specular glare</w:t>
            </w:r>
          </w:p>
        </w:tc>
        <w:tc>
          <w:tcPr>
            <w:tcW w:type="dxa" w:w="33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Obscures or washes out the text region it covers</w:t>
            </w:r>
          </w:p>
        </w:tc>
      </w:tr>
      <w:tr>
        <w:tc>
          <w:tcPr>
            <w:tcW w:type="dxa" w:w="22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Background Clutter</w:t>
            </w:r>
          </w:p>
        </w:tc>
        <w:tc>
          <w:tcPr>
            <w:tcW w:type="dxa" w:w="33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Non-document content or busy backgrounds in frame</w:t>
            </w:r>
          </w:p>
        </w:tc>
        <w:tc>
          <w:tcPr>
            <w:tcW w:type="dxa" w:w="33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Confuses text-region detection prior to character recognition</w:t>
            </w:r>
          </w:p>
        </w:tc>
      </w:tr>
      <w:tr>
        <w:tc>
          <w:tcPr>
            <w:tcW w:type="dxa" w:w="22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Layout Regularity</w:t>
            </w:r>
          </w:p>
        </w:tc>
        <w:tc>
          <w:tcPr>
            <w:tcW w:type="dxa" w:w="33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Consistency of text-region coverage and alignment</w:t>
            </w:r>
          </w:p>
        </w:tc>
        <w:tc>
          <w:tcPr>
            <w:tcW w:type="dxa" w:w="33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Irregular layouts complicate line and column segmentation</w:t>
            </w:r>
          </w:p>
        </w:tc>
      </w:tr>
    </w:tbl>
    <w:p>
      <w:pPr>
        <w:spacing w:before="200"/>
      </w:pPr>
    </w:p>
    <w:p>
      <w:pPr>
        <w:pStyle w:val="Heading2"/>
        <w:spacing w:after="150" w:before="300"/>
      </w:pPr>
      <w:r>
        <w:rPr>
          <w:b/>
          <w:bCs/>
          <w:color w:val="0F3460"/>
        </w:rPr>
        <w:t xml:space="preserve">8.4 Weighting Methodology</w:t>
      </w:r>
    </w:p>
    <w:p>
      <w:pPr>
        <w:spacing w:after="160" w:line="276"/>
        <w:jc w:val="both"/>
      </w:pPr>
      <w:r>
        <w:rPr>
          <w:b w:val="false"/>
          <w:bCs w:val="false"/>
          <w:i w:val="false"/>
          <w:iCs w:val="false"/>
          <w:color w:val="222222"/>
          <w:sz w:val="22"/>
          <w:szCs w:val="22"/>
        </w:rPr>
        <w:t xml:space="preserve">Each factor contributes to the final score in proportion to its assigned weight in WEIGHTS (displayed in the UI as a percentage, e.g. 'Weight: 15%'). Weights are additive and were assigned collaboratively by the team based on each factor's empirically judged influence on OCR accuracy, with the About Factors page exposing the full weight table for transparency alongside each factor's ideal range.</w:t>
      </w:r>
    </w:p>
    <w:p>
      <w:pPr>
        <w:pStyle w:val="Heading1"/>
        <w:pBdr>
          <w:bottom w:val="single" w:color="00C4B4" w:sz="8" w:space="4"/>
        </w:pBdr>
        <w:spacing w:after="200" w:before="400"/>
      </w:pPr>
      <w:r>
        <w:rPr>
          <w:b/>
          <w:bCs/>
          <w:color w:val="1A2B4A"/>
        </w:rPr>
        <w:t xml:space="preserve">9. Scoring &amp; Prediction-Validation Methodology</w:t>
      </w:r>
    </w:p>
    <w:p>
      <w:pPr>
        <w:pStyle w:val="Heading2"/>
        <w:spacing w:after="150" w:before="300"/>
      </w:pPr>
      <w:r>
        <w:rPr>
          <w:b/>
          <w:bCs/>
          <w:color w:val="0F3460"/>
        </w:rPr>
        <w:t xml:space="preserve">9.1 OCR Readiness Score</w:t>
      </w:r>
    </w:p>
    <w:p>
      <w:pPr>
        <w:spacing w:after="160" w:line="276"/>
        <w:jc w:val="both"/>
      </w:pPr>
      <w:r>
        <w:rPr>
          <w:b w:val="false"/>
          <w:bCs w:val="false"/>
          <w:i w:val="false"/>
          <w:iCs w:val="false"/>
          <w:color w:val="222222"/>
          <w:sz w:val="22"/>
          <w:szCs w:val="22"/>
        </w:rPr>
        <w:t xml:space="preserve">The OCR Readiness Score is a single 0–100 figure computed as the weighted sum of all ten individual factor scores, using the WEIGHTS defined in factors.py. It is designed to be predictive — computed purely from image properties, without ever running an OCR engine — so it can warn a user about a document before they invest time in extraction.</w:t>
      </w:r>
    </w:p>
    <w:p>
      <w:pPr>
        <w:pStyle w:val="Heading2"/>
        <w:spacing w:after="150" w:before="300"/>
      </w:pPr>
      <w:r>
        <w:rPr>
          <w:b/>
          <w:bCs/>
          <w:color w:val="0F3460"/>
        </w:rPr>
        <w:t xml:space="preserve">9.2 OCR Confidence (Ground Truth)</w:t>
      </w:r>
    </w:p>
    <w:p>
      <w:pPr>
        <w:spacing w:after="160" w:line="276"/>
        <w:jc w:val="both"/>
      </w:pPr>
      <w:r>
        <w:rPr>
          <w:b w:val="false"/>
          <w:bCs w:val="false"/>
          <w:i w:val="false"/>
          <w:iCs w:val="false"/>
          <w:color w:val="222222"/>
          <w:sz w:val="22"/>
          <w:szCs w:val="22"/>
        </w:rPr>
        <w:t xml:space="preserve">To validate that the predictive score is meaningful, the platform separately runs Tesseract OCR on the same image via run_tesseract(), averaging the per-word confidence values Tesseract itself reports. This is an independent, empirical measurement rather than a prediction.</w:t>
      </w:r>
    </w:p>
    <w:p>
      <w:pPr>
        <w:pStyle w:val="Heading2"/>
        <w:spacing w:after="150" w:before="300"/>
      </w:pPr>
      <w:r>
        <w:rPr>
          <w:b/>
          <w:bCs/>
          <w:color w:val="0F3460"/>
        </w:rPr>
        <w:t xml:space="preserve">9.3 Prediction Accuracy</w:t>
      </w:r>
    </w:p>
    <w:p>
      <w:pPr>
        <w:spacing w:after="160" w:line="276"/>
        <w:jc w:val="both"/>
      </w:pPr>
      <w:r>
        <w:rPr>
          <w:b w:val="false"/>
          <w:bCs w:val="false"/>
          <w:i w:val="false"/>
          <w:iCs w:val="false"/>
          <w:color w:val="222222"/>
          <w:sz w:val="22"/>
          <w:szCs w:val="22"/>
        </w:rPr>
        <w:t xml:space="preserve">The absolute difference between the OCR Readiness Score and the actual OCR Confidence is reported as the platform's self-assessed Prediction Accuracy, classified as follows: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000"/>
      </w:tblGrid>
      <w:tr>
        <w:trPr>
          <w:tblHeader/>
        </w:trPr>
        <w:tc>
          <w:tcPr>
            <w:tcW w:type="dxa" w:w="3600"/>
            <w:shd w:fill="1A2B4A" w:color="auto" w:val="clear"/>
            <w:tcMar>
              <w:top w:type="dxa" w:w="80"/>
              <w:left w:type="dxa" w:w="100"/>
              <w:bottom w:type="dxa" w:w="80"/>
              <w:right w:type="dxa" w:w="100"/>
            </w:tcMar>
            <w:vAlign w:val="center"/>
          </w:tcPr>
          <w:p>
            <w:pPr>
              <w:jc w:val="left"/>
            </w:pPr>
            <w:r>
              <w:rPr>
                <w:b/>
                <w:bCs/>
                <w:color w:val="FFFFFF"/>
                <w:sz w:val="20"/>
                <w:szCs w:val="20"/>
              </w:rPr>
              <w:t xml:space="preserve">Condition</w:t>
            </w:r>
          </w:p>
        </w:tc>
        <w:tc>
          <w:tcPr>
            <w:tcW w:type="dxa" w:w="3000"/>
            <w:shd w:fill="1A2B4A" w:color="auto" w:val="clear"/>
            <w:tcMar>
              <w:top w:type="dxa" w:w="80"/>
              <w:left w:type="dxa" w:w="100"/>
              <w:bottom w:type="dxa" w:w="80"/>
              <w:right w:type="dxa" w:w="100"/>
            </w:tcMar>
            <w:vAlign w:val="center"/>
          </w:tcPr>
          <w:p>
            <w:pPr>
              <w:jc w:val="left"/>
            </w:pPr>
            <w:r>
              <w:rPr>
                <w:b/>
                <w:bCs/>
                <w:color w:val="FFFFFF"/>
                <w:sz w:val="20"/>
                <w:szCs w:val="20"/>
              </w:rPr>
              <w:t xml:space="preserve">Classification</w:t>
            </w:r>
          </w:p>
        </w:tc>
        <w:tc>
          <w:tcPr>
            <w:tcW w:type="dxa" w:w="2000"/>
            <w:shd w:fill="1A2B4A" w:color="auto" w:val="clear"/>
            <w:tcMar>
              <w:top w:type="dxa" w:w="80"/>
              <w:left w:type="dxa" w:w="100"/>
              <w:bottom w:type="dxa" w:w="80"/>
              <w:right w:type="dxa" w:w="100"/>
            </w:tcMar>
            <w:vAlign w:val="center"/>
          </w:tcPr>
          <w:p>
            <w:pPr>
              <w:jc w:val="left"/>
            </w:pPr>
            <w:r>
              <w:rPr>
                <w:b/>
                <w:bCs/>
                <w:color w:val="FFFFFF"/>
                <w:sz w:val="20"/>
                <w:szCs w:val="20"/>
              </w:rPr>
              <w:t xml:space="preserve">Indicator</w:t>
            </w:r>
          </w:p>
        </w:tc>
      </w:tr>
      <w:tr>
        <w:tc>
          <w:tcPr>
            <w:tcW w:type="dxa" w:w="3600"/>
            <w:tcMar>
              <w:top w:type="dxa" w:w="80"/>
              <w:left w:type="dxa" w:w="100"/>
              <w:bottom w:type="dxa" w:w="80"/>
              <w:right w:type="dxa" w:w="100"/>
            </w:tcMar>
            <w:vAlign w:val="center"/>
          </w:tcPr>
          <w:p>
            <w:pPr>
              <w:jc w:val="left"/>
            </w:pPr>
            <w:r>
              <w:rPr>
                <w:b w:val="false"/>
                <w:bCs w:val="false"/>
                <w:color w:val="222222"/>
                <w:sz w:val="20"/>
                <w:szCs w:val="20"/>
              </w:rPr>
              <w:t xml:space="preserve">&lt; 10 points difference</w:t>
            </w:r>
          </w:p>
        </w:tc>
        <w:tc>
          <w:tcPr>
            <w:tcW w:type="dxa" w:w="3000"/>
            <w:tcMar>
              <w:top w:type="dxa" w:w="80"/>
              <w:left w:type="dxa" w:w="100"/>
              <w:bottom w:type="dxa" w:w="80"/>
              <w:right w:type="dxa" w:w="100"/>
            </w:tcMar>
            <w:vAlign w:val="center"/>
          </w:tcPr>
          <w:p>
            <w:pPr>
              <w:jc w:val="left"/>
            </w:pPr>
            <w:r>
              <w:rPr>
                <w:b/>
                <w:bCs/>
                <w:color w:val="222222"/>
                <w:sz w:val="20"/>
                <w:szCs w:val="20"/>
              </w:rPr>
              <w:t xml:space="preserve">Excellent Prediction</w:t>
            </w:r>
          </w:p>
        </w:tc>
        <w:tc>
          <w:tcPr>
            <w:tcW w:type="dxa" w:w="2000"/>
            <w:tcMar>
              <w:top w:type="dxa" w:w="80"/>
              <w:left w:type="dxa" w:w="100"/>
              <w:bottom w:type="dxa" w:w="80"/>
              <w:right w:type="dxa" w:w="100"/>
            </w:tcMar>
            <w:vAlign w:val="center"/>
          </w:tcPr>
          <w:p>
            <w:pPr>
              <w:jc w:val="center"/>
            </w:pPr>
            <w:r>
              <w:rPr>
                <w:b/>
                <w:bCs/>
                <w:color w:val="10B981"/>
                <w:sz w:val="20"/>
                <w:szCs w:val="20"/>
              </w:rPr>
              <w:t xml:space="preserve">■</w:t>
            </w:r>
          </w:p>
        </w:tc>
      </w:tr>
      <w:tr>
        <w:tc>
          <w:tcPr>
            <w:tcW w:type="dxa" w:w="3600"/>
            <w:tcMar>
              <w:top w:type="dxa" w:w="80"/>
              <w:left w:type="dxa" w:w="100"/>
              <w:bottom w:type="dxa" w:w="80"/>
              <w:right w:type="dxa" w:w="100"/>
            </w:tcMar>
            <w:vAlign w:val="center"/>
          </w:tcPr>
          <w:p>
            <w:pPr>
              <w:jc w:val="left"/>
            </w:pPr>
            <w:r>
              <w:rPr>
                <w:b w:val="false"/>
                <w:bCs w:val="false"/>
                <w:color w:val="222222"/>
                <w:sz w:val="20"/>
                <w:szCs w:val="20"/>
              </w:rPr>
              <w:t xml:space="preserve">10–20 points difference</w:t>
            </w:r>
          </w:p>
        </w:tc>
        <w:tc>
          <w:tcPr>
            <w:tcW w:type="dxa" w:w="3000"/>
            <w:tcMar>
              <w:top w:type="dxa" w:w="80"/>
              <w:left w:type="dxa" w:w="100"/>
              <w:bottom w:type="dxa" w:w="80"/>
              <w:right w:type="dxa" w:w="100"/>
            </w:tcMar>
            <w:vAlign w:val="center"/>
          </w:tcPr>
          <w:p>
            <w:pPr>
              <w:jc w:val="left"/>
            </w:pPr>
            <w:r>
              <w:rPr>
                <w:b/>
                <w:bCs/>
                <w:color w:val="222222"/>
                <w:sz w:val="20"/>
                <w:szCs w:val="20"/>
              </w:rPr>
              <w:t xml:space="preserve">Acceptable Prediction</w:t>
            </w:r>
          </w:p>
        </w:tc>
        <w:tc>
          <w:tcPr>
            <w:tcW w:type="dxa" w:w="2000"/>
            <w:tcMar>
              <w:top w:type="dxa" w:w="80"/>
              <w:left w:type="dxa" w:w="100"/>
              <w:bottom w:type="dxa" w:w="80"/>
              <w:right w:type="dxa" w:w="100"/>
            </w:tcMar>
            <w:vAlign w:val="center"/>
          </w:tcPr>
          <w:p>
            <w:pPr>
              <w:jc w:val="center"/>
            </w:pPr>
            <w:r>
              <w:rPr>
                <w:b/>
                <w:bCs/>
                <w:color w:val="F59E0B"/>
                <w:sz w:val="20"/>
                <w:szCs w:val="20"/>
              </w:rPr>
              <w:t xml:space="preserve">■</w:t>
            </w:r>
          </w:p>
        </w:tc>
      </w:tr>
      <w:tr>
        <w:tc>
          <w:tcPr>
            <w:tcW w:type="dxa" w:w="3600"/>
            <w:tcMar>
              <w:top w:type="dxa" w:w="80"/>
              <w:left w:type="dxa" w:w="100"/>
              <w:bottom w:type="dxa" w:w="80"/>
              <w:right w:type="dxa" w:w="100"/>
            </w:tcMar>
            <w:vAlign w:val="center"/>
          </w:tcPr>
          <w:p>
            <w:pPr>
              <w:jc w:val="left"/>
            </w:pPr>
            <w:r>
              <w:rPr>
                <w:b w:val="false"/>
                <w:bCs w:val="false"/>
                <w:color w:val="222222"/>
                <w:sz w:val="20"/>
                <w:szCs w:val="20"/>
              </w:rPr>
              <w:t xml:space="preserve">&gt; 20 points difference</w:t>
            </w:r>
          </w:p>
        </w:tc>
        <w:tc>
          <w:tcPr>
            <w:tcW w:type="dxa" w:w="3000"/>
            <w:tcMar>
              <w:top w:type="dxa" w:w="80"/>
              <w:left w:type="dxa" w:w="100"/>
              <w:bottom w:type="dxa" w:w="80"/>
              <w:right w:type="dxa" w:w="100"/>
            </w:tcMar>
            <w:vAlign w:val="center"/>
          </w:tcPr>
          <w:p>
            <w:pPr>
              <w:jc w:val="left"/>
            </w:pPr>
            <w:r>
              <w:rPr>
                <w:b/>
                <w:bCs/>
                <w:color w:val="222222"/>
                <w:sz w:val="20"/>
                <w:szCs w:val="20"/>
              </w:rPr>
              <w:t xml:space="preserve">Needs Improvement</w:t>
            </w:r>
          </w:p>
        </w:tc>
        <w:tc>
          <w:tcPr>
            <w:tcW w:type="dxa" w:w="2000"/>
            <w:tcMar>
              <w:top w:type="dxa" w:w="80"/>
              <w:left w:type="dxa" w:w="100"/>
              <w:bottom w:type="dxa" w:w="80"/>
              <w:right w:type="dxa" w:w="100"/>
            </w:tcMar>
            <w:vAlign w:val="center"/>
          </w:tcPr>
          <w:p>
            <w:pPr>
              <w:jc w:val="center"/>
            </w:pPr>
            <w:r>
              <w:rPr>
                <w:b/>
                <w:bCs/>
                <w:color w:val="EF4444"/>
                <w:sz w:val="20"/>
                <w:szCs w:val="20"/>
              </w:rPr>
              <w:t xml:space="preserve">■</w:t>
            </w:r>
          </w:p>
        </w:tc>
      </w:tr>
    </w:tbl>
    <w:p>
      <w:pPr>
        <w:spacing w:before="200"/>
      </w:pPr>
    </w:p>
    <w:p>
      <w:pPr>
        <w:spacing w:after="160" w:line="276"/>
        <w:jc w:val="both"/>
      </w:pPr>
      <w:r>
        <w:rPr>
          <w:b w:val="false"/>
          <w:bCs w:val="false"/>
          <w:i w:val="false"/>
          <w:iCs w:val="false"/>
          <w:color w:val="222222"/>
          <w:sz w:val="22"/>
          <w:szCs w:val="22"/>
        </w:rPr>
        <w:t xml:space="preserve">This self-validation loop is a distinguishing feature of the platform: every analysis simultaneously produces a prediction and a real-world check on that prediction, giving users (and the development team) continuous, visible feedback on how well the weighting scheme and factor formulas are performing, without requiring a separate offline evaluation pipeline.</w:t>
      </w:r>
    </w:p>
    <w:p>
      <w:pPr>
        <w:pStyle w:val="Heading2"/>
        <w:spacing w:after="150" w:before="300"/>
      </w:pPr>
      <w:r>
        <w:rPr>
          <w:b/>
          <w:bCs/>
          <w:color w:val="0F3460"/>
        </w:rPr>
        <w:t xml:space="preserve">9.4 Recommendations Engine</w:t>
      </w:r>
    </w:p>
    <w:p>
      <w:pPr>
        <w:spacing w:after="160" w:line="276"/>
        <w:jc w:val="both"/>
      </w:pPr>
      <w:r>
        <w:rPr>
          <w:b w:val="false"/>
          <w:bCs w:val="false"/>
          <w:i w:val="false"/>
          <w:iCs w:val="false"/>
          <w:color w:val="222222"/>
          <w:sz w:val="22"/>
          <w:szCs w:val="22"/>
        </w:rPr>
        <w:t xml:space="preserve">generate_recommendations() inspects the final combined factor results and produces targeted, plain-language suggestions wherever a factor scores below its ideal range — for example, advising a re-scan at higher resolution when the resolution factor is poor, or suggesting deskewing when the skew factor is poor. If every factor is already within its ideal range, the platform instead confirms that the image already meets recommended OCR quality standards and no changes are required.</w:t>
      </w:r>
    </w:p>
    <w:p>
      <w:pPr>
        <w:pStyle w:val="Heading1"/>
        <w:pBdr>
          <w:bottom w:val="single" w:color="00C4B4" w:sz="8" w:space="4"/>
        </w:pBdr>
        <w:spacing w:after="200" w:before="400"/>
      </w:pPr>
      <w:r>
        <w:rPr>
          <w:b/>
          <w:bCs/>
          <w:color w:val="1A2B4A"/>
        </w:rPr>
        <w:t xml:space="preserve">10. Worked Example: Sample Analysis Walkthrough</w:t>
      </w:r>
    </w:p>
    <w:p>
      <w:pPr>
        <w:spacing w:after="160" w:line="276"/>
        <w:jc w:val="both"/>
      </w:pPr>
      <w:r>
        <w:rPr>
          <w:b w:val="false"/>
          <w:bCs w:val="false"/>
          <w:i/>
          <w:iCs/>
          <w:color w:val="222222"/>
          <w:sz w:val="22"/>
          <w:szCs w:val="22"/>
        </w:rPr>
        <w:t xml:space="preserve">To make the scoring methodology concrete, this section walks through a fully worked, illustrative example of how ten individual factor scores combine into a single OCR Readiness Score, and how that score is then checked against a real OCR confidence figure. Both the factor scores and weights below are illustrative sample values chosen to demonstrate the arithmetic, not the platform's actual live weights.</w:t>
      </w:r>
    </w:p>
    <w:p>
      <w:pPr>
        <w:pStyle w:val="Heading2"/>
        <w:spacing w:after="150" w:before="300"/>
      </w:pPr>
      <w:r>
        <w:rPr>
          <w:b/>
          <w:bCs/>
          <w:color w:val="0F3460"/>
        </w:rPr>
        <w:t xml:space="preserve">10.1 Sample Factor Scores &amp; Weighted Contributions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800"/>
        <w:gridCol w:w="2400"/>
      </w:tblGrid>
      <w:tr>
        <w:trPr>
          <w:tblHeader/>
        </w:trPr>
        <w:tc>
          <w:tcPr>
            <w:tcW w:type="dxa" w:w="2600"/>
            <w:shd w:fill="1A2B4A" w:color="auto" w:val="clear"/>
            <w:tcMar>
              <w:top w:type="dxa" w:w="80"/>
              <w:left w:type="dxa" w:w="100"/>
              <w:bottom w:type="dxa" w:w="80"/>
              <w:right w:type="dxa" w:w="100"/>
            </w:tcMar>
            <w:vAlign w:val="center"/>
          </w:tcPr>
          <w:p>
            <w:pPr>
              <w:jc w:val="left"/>
            </w:pPr>
            <w:r>
              <w:rPr>
                <w:b/>
                <w:bCs/>
                <w:color w:val="FFFFFF"/>
                <w:sz w:val="20"/>
                <w:szCs w:val="20"/>
              </w:rPr>
              <w:t xml:space="preserve">Factor</w:t>
            </w:r>
          </w:p>
        </w:tc>
        <w:tc>
          <w:tcPr>
            <w:tcW w:type="dxa" w:w="2000"/>
            <w:shd w:fill="1A2B4A" w:color="auto" w:val="clear"/>
            <w:tcMar>
              <w:top w:type="dxa" w:w="80"/>
              <w:left w:type="dxa" w:w="100"/>
              <w:bottom w:type="dxa" w:w="80"/>
              <w:right w:type="dxa" w:w="100"/>
            </w:tcMar>
            <w:vAlign w:val="center"/>
          </w:tcPr>
          <w:p>
            <w:pPr>
              <w:jc w:val="left"/>
            </w:pPr>
            <w:r>
              <w:rPr>
                <w:b/>
                <w:bCs/>
                <w:color w:val="FFFFFF"/>
                <w:sz w:val="20"/>
                <w:szCs w:val="20"/>
              </w:rPr>
              <w:t xml:space="preserve">Score (0–100)</w:t>
            </w:r>
          </w:p>
        </w:tc>
        <w:tc>
          <w:tcPr>
            <w:tcW w:type="dxa" w:w="1800"/>
            <w:shd w:fill="1A2B4A" w:color="auto" w:val="clear"/>
            <w:tcMar>
              <w:top w:type="dxa" w:w="80"/>
              <w:left w:type="dxa" w:w="100"/>
              <w:bottom w:type="dxa" w:w="80"/>
              <w:right w:type="dxa" w:w="100"/>
            </w:tcMar>
            <w:vAlign w:val="center"/>
          </w:tcPr>
          <w:p>
            <w:pPr>
              <w:jc w:val="left"/>
            </w:pPr>
            <w:r>
              <w:rPr>
                <w:b/>
                <w:bCs/>
                <w:color w:val="FFFFFF"/>
                <w:sz w:val="20"/>
                <w:szCs w:val="20"/>
              </w:rPr>
              <w:t xml:space="preserve">Weight</w:t>
            </w:r>
          </w:p>
        </w:tc>
        <w:tc>
          <w:tcPr>
            <w:tcW w:type="dxa" w:w="2400"/>
            <w:shd w:fill="1A2B4A" w:color="auto" w:val="clear"/>
            <w:tcMar>
              <w:top w:type="dxa" w:w="80"/>
              <w:left w:type="dxa" w:w="100"/>
              <w:bottom w:type="dxa" w:w="80"/>
              <w:right w:type="dxa" w:w="100"/>
            </w:tcMar>
            <w:vAlign w:val="center"/>
          </w:tcPr>
          <w:p>
            <w:pPr>
              <w:jc w:val="left"/>
            </w:pPr>
            <w:r>
              <w:rPr>
                <w:b/>
                <w:bCs/>
                <w:color w:val="FFFFFF"/>
                <w:sz w:val="20"/>
                <w:szCs w:val="20"/>
              </w:rPr>
              <w:t xml:space="preserve">Weighted Contribution</w:t>
            </w:r>
          </w:p>
        </w:tc>
      </w:tr>
      <w:tr>
        <w:tc>
          <w:tcPr>
            <w:tcW w:type="dxa" w:w="26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Brightness / Illumination</w:t>
            </w:r>
          </w:p>
        </w:tc>
        <w:tc>
          <w:tcPr>
            <w:tcW w:type="dxa" w:w="20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88</w:t>
            </w:r>
          </w:p>
        </w:tc>
        <w:tc>
          <w:tcPr>
            <w:tcW w:type="dxa" w:w="18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12%</w:t>
            </w:r>
          </w:p>
        </w:tc>
        <w:tc>
          <w:tcPr>
            <w:tcW w:type="dxa" w:w="24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10.6</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Contrast</w:t>
            </w:r>
          </w:p>
        </w:tc>
        <w:tc>
          <w:tcPr>
            <w:tcW w:type="dxa" w:w="20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76</w:t>
            </w:r>
          </w:p>
        </w:tc>
        <w:tc>
          <w:tcPr>
            <w:tcW w:type="dxa" w:w="18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12%</w:t>
            </w:r>
          </w:p>
        </w:tc>
        <w:tc>
          <w:tcPr>
            <w:tcW w:type="dxa" w:w="24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9.1</w:t>
            </w:r>
          </w:p>
        </w:tc>
      </w:tr>
      <w:tr>
        <w:tc>
          <w:tcPr>
            <w:tcW w:type="dxa" w:w="26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Sharpness / Focus</w:t>
            </w:r>
          </w:p>
        </w:tc>
        <w:tc>
          <w:tcPr>
            <w:tcW w:type="dxa" w:w="20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64</w:t>
            </w:r>
          </w:p>
        </w:tc>
        <w:tc>
          <w:tcPr>
            <w:tcW w:type="dxa" w:w="18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14%</w:t>
            </w:r>
          </w:p>
        </w:tc>
        <w:tc>
          <w:tcPr>
            <w:tcW w:type="dxa" w:w="24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9.0</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Noise Level</w:t>
            </w:r>
          </w:p>
        </w:tc>
        <w:tc>
          <w:tcPr>
            <w:tcW w:type="dxa" w:w="20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82</w:t>
            </w:r>
          </w:p>
        </w:tc>
        <w:tc>
          <w:tcPr>
            <w:tcW w:type="dxa" w:w="18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8%</w:t>
            </w:r>
          </w:p>
        </w:tc>
        <w:tc>
          <w:tcPr>
            <w:tcW w:type="dxa" w:w="24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6.6</w:t>
            </w:r>
          </w:p>
        </w:tc>
      </w:tr>
      <w:tr>
        <w:tc>
          <w:tcPr>
            <w:tcW w:type="dxa" w:w="26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Resolution / Effective DPI</w:t>
            </w:r>
          </w:p>
        </w:tc>
        <w:tc>
          <w:tcPr>
            <w:tcW w:type="dxa" w:w="20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58</w:t>
            </w:r>
          </w:p>
        </w:tc>
        <w:tc>
          <w:tcPr>
            <w:tcW w:type="dxa" w:w="18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14%</w:t>
            </w:r>
          </w:p>
        </w:tc>
        <w:tc>
          <w:tcPr>
            <w:tcW w:type="dxa" w:w="24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8.1</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Skew / Rotation</w:t>
            </w:r>
          </w:p>
        </w:tc>
        <w:tc>
          <w:tcPr>
            <w:tcW w:type="dxa" w:w="20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90</w:t>
            </w:r>
          </w:p>
        </w:tc>
        <w:tc>
          <w:tcPr>
            <w:tcW w:type="dxa" w:w="18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10%</w:t>
            </w:r>
          </w:p>
        </w:tc>
        <w:tc>
          <w:tcPr>
            <w:tcW w:type="dxa" w:w="24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9.0</w:t>
            </w:r>
          </w:p>
        </w:tc>
      </w:tr>
      <w:tr>
        <w:tc>
          <w:tcPr>
            <w:tcW w:type="dxa" w:w="26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Geometric Distortion</w:t>
            </w:r>
          </w:p>
        </w:tc>
        <w:tc>
          <w:tcPr>
            <w:tcW w:type="dxa" w:w="20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85</w:t>
            </w:r>
          </w:p>
        </w:tc>
        <w:tc>
          <w:tcPr>
            <w:tcW w:type="dxa" w:w="18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8%</w:t>
            </w:r>
          </w:p>
        </w:tc>
        <w:tc>
          <w:tcPr>
            <w:tcW w:type="dxa" w:w="24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6.8</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Shadow &amp; Glare</w:t>
            </w:r>
          </w:p>
        </w:tc>
        <w:tc>
          <w:tcPr>
            <w:tcW w:type="dxa" w:w="20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70</w:t>
            </w:r>
          </w:p>
        </w:tc>
        <w:tc>
          <w:tcPr>
            <w:tcW w:type="dxa" w:w="18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8%</w:t>
            </w:r>
          </w:p>
        </w:tc>
        <w:tc>
          <w:tcPr>
            <w:tcW w:type="dxa" w:w="24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5.6</w:t>
            </w:r>
          </w:p>
        </w:tc>
      </w:tr>
      <w:tr>
        <w:tc>
          <w:tcPr>
            <w:tcW w:type="dxa" w:w="26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Background Clutter</w:t>
            </w:r>
          </w:p>
        </w:tc>
        <w:tc>
          <w:tcPr>
            <w:tcW w:type="dxa" w:w="20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92</w:t>
            </w:r>
          </w:p>
        </w:tc>
        <w:tc>
          <w:tcPr>
            <w:tcW w:type="dxa" w:w="18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7%</w:t>
            </w:r>
          </w:p>
        </w:tc>
        <w:tc>
          <w:tcPr>
            <w:tcW w:type="dxa" w:w="24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6.4</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Layout Regularity</w:t>
            </w:r>
          </w:p>
        </w:tc>
        <w:tc>
          <w:tcPr>
            <w:tcW w:type="dxa" w:w="20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80</w:t>
            </w:r>
          </w:p>
        </w:tc>
        <w:tc>
          <w:tcPr>
            <w:tcW w:type="dxa" w:w="18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7%</w:t>
            </w:r>
          </w:p>
        </w:tc>
        <w:tc>
          <w:tcPr>
            <w:tcW w:type="dxa" w:w="24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5.6</w:t>
            </w:r>
          </w:p>
        </w:tc>
      </w:tr>
    </w:tbl>
    <w:p>
      <w:pPr>
        <w:spacing w:before="200"/>
      </w:pPr>
    </w:p>
    <w:p>
      <w:pPr>
        <w:spacing w:after="160" w:line="276"/>
        <w:jc w:val="both"/>
      </w:pPr>
      <w:r>
        <w:rPr>
          <w:b w:val="false"/>
          <w:bCs w:val="false"/>
          <w:i w:val="false"/>
          <w:iCs w:val="false"/>
          <w:color w:val="222222"/>
          <w:sz w:val="22"/>
          <w:szCs w:val="22"/>
        </w:rPr>
        <w:t xml:space="preserve">Summing the weighted-contribution column gives a composite OCR Readiness Score of approximately 77 out of 100, which the platform would classify as Good (61–80 band).</w:t>
      </w:r>
    </w:p>
    <w:p>
      <w:pPr>
        <w:pStyle w:val="Heading2"/>
        <w:spacing w:after="150" w:before="300"/>
      </w:pPr>
      <w:r>
        <w:rPr>
          <w:b/>
          <w:bCs/>
          <w:color w:val="0F3460"/>
        </w:rPr>
        <w:t xml:space="preserve">10.2 Comparing Against Ground Truth</w:t>
      </w:r>
    </w:p>
    <w:p>
      <w:pPr>
        <w:spacing w:after="160" w:line="276"/>
        <w:jc w:val="both"/>
      </w:pPr>
      <w:r>
        <w:rPr>
          <w:b w:val="false"/>
          <w:bCs w:val="false"/>
          <w:i w:val="false"/>
          <w:iCs w:val="false"/>
          <w:color w:val="222222"/>
          <w:sz w:val="22"/>
          <w:szCs w:val="22"/>
        </w:rPr>
        <w:t xml:space="preserve">Suppose Tesseract's actual OCR confidence for the same image comes back at 71. The Prediction Accuracy check compares the two:</w:t>
      </w:r>
    </w:p>
    <w:p>
      <w:pPr>
        <w:pStyle w:val="ListParagraph"/>
        <w:numPr>
          <w:ilvl w:val="0"/>
          <w:numId w:val="2"/>
        </w:numPr>
        <w:spacing w:after="90"/>
      </w:pPr>
      <w:r>
        <w:rPr>
          <w:color w:val="222222"/>
          <w:sz w:val="22"/>
          <w:szCs w:val="22"/>
        </w:rPr>
        <w:t xml:space="preserve">Predicted OCR Readiness Score: 77 (Good)</w:t>
      </w:r>
    </w:p>
    <w:p>
      <w:pPr>
        <w:pStyle w:val="ListParagraph"/>
        <w:numPr>
          <w:ilvl w:val="0"/>
          <w:numId w:val="2"/>
        </w:numPr>
        <w:spacing w:after="90"/>
      </w:pPr>
      <w:r>
        <w:rPr>
          <w:color w:val="222222"/>
          <w:sz w:val="22"/>
          <w:szCs w:val="22"/>
        </w:rPr>
        <w:t xml:space="preserve">Actual Tesseract OCR Confidence: 71</w:t>
      </w:r>
    </w:p>
    <w:p>
      <w:pPr>
        <w:pStyle w:val="ListParagraph"/>
        <w:numPr>
          <w:ilvl w:val="0"/>
          <w:numId w:val="2"/>
        </w:numPr>
        <w:spacing w:after="90"/>
      </w:pPr>
      <w:r>
        <w:rPr>
          <w:color w:val="222222"/>
          <w:sz w:val="22"/>
          <w:szCs w:val="22"/>
        </w:rPr>
        <w:t xml:space="preserve">Absolute Difference: 6 points → classified as Excellent Prediction (under the 10-point threshold from Section 9.3)</w:t>
      </w:r>
    </w:p>
    <w:p>
      <w:pPr>
        <w:pStyle w:val="Heading2"/>
        <w:spacing w:after="150" w:before="300"/>
      </w:pPr>
      <w:r>
        <w:rPr>
          <w:b/>
          <w:bCs/>
          <w:color w:val="0F3460"/>
        </w:rPr>
        <w:t xml:space="preserve">10.3 Resulting Recommendations</w:t>
      </w:r>
    </w:p>
    <w:p>
      <w:pPr>
        <w:spacing w:after="160" w:line="276"/>
        <w:jc w:val="both"/>
      </w:pPr>
      <w:r>
        <w:rPr>
          <w:b w:val="false"/>
          <w:bCs w:val="false"/>
          <w:i w:val="false"/>
          <w:iCs w:val="false"/>
          <w:color w:val="222222"/>
          <w:sz w:val="22"/>
          <w:szCs w:val="22"/>
        </w:rPr>
        <w:t xml:space="preserve">Because Sharpness / Focus (64) and Resolution / Effective DPI (58) are the two weakest factors in this example — both below a typical 'Good' threshold — the recommendation engine would surface targeted advice such as re-capturing the document with a steadier hand or better focus lock, and re-scanning at a higher DPI or moving the camera closer to increase effective resolution, while factors already scoring well (Brightness, Skew, Background Clutter) would generate no recommendation at all.</w:t>
      </w:r>
    </w:p>
    <w:p>
      <w:pPr>
        <w:pStyle w:val="Heading1"/>
        <w:pBdr>
          <w:bottom w:val="single" w:color="00C4B4" w:sz="8" w:space="4"/>
        </w:pBdr>
        <w:spacing w:after="200" w:before="400"/>
      </w:pPr>
      <w:r>
        <w:rPr>
          <w:b/>
          <w:bCs/>
          <w:color w:val="1A2B4A"/>
        </w:rPr>
        <w:t xml:space="preserve">11. User Interface &amp; Navigation</w:t>
      </w:r>
    </w:p>
    <w:p>
      <w:pPr>
        <w:spacing w:after="160" w:line="276"/>
        <w:jc w:val="both"/>
      </w:pPr>
      <w:r>
        <w:rPr>
          <w:b w:val="false"/>
          <w:bCs w:val="false"/>
          <w:i w:val="false"/>
          <w:iCs w:val="false"/>
          <w:color w:val="222222"/>
          <w:sz w:val="22"/>
          <w:szCs w:val="22"/>
        </w:rPr>
        <w:t xml:space="preserve">The application is organised into four pages, accessible via a persistent sidebar styled with a dark navy-to-teal gradient consistent with the platform's branding.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shd w:fill="1A2B4A" w:color="auto" w:val="clear"/>
            <w:tcMar>
              <w:top w:type="dxa" w:w="80"/>
              <w:left w:type="dxa" w:w="100"/>
              <w:bottom w:type="dxa" w:w="80"/>
              <w:right w:type="dxa" w:w="100"/>
            </w:tcMar>
            <w:vAlign w:val="center"/>
          </w:tcPr>
          <w:p>
            <w:pPr>
              <w:jc w:val="left"/>
            </w:pPr>
            <w:r>
              <w:rPr>
                <w:b/>
                <w:bCs/>
                <w:color w:val="FFFFFF"/>
                <w:sz w:val="20"/>
                <w:szCs w:val="20"/>
              </w:rPr>
              <w:t xml:space="preserve">Page</w:t>
            </w:r>
          </w:p>
        </w:tc>
        <w:tc>
          <w:tcPr>
            <w:tcW w:type="dxa" w:w="6600"/>
            <w:shd w:fill="1A2B4A" w:color="auto" w:val="clear"/>
            <w:tcMar>
              <w:top w:type="dxa" w:w="80"/>
              <w:left w:type="dxa" w:w="100"/>
              <w:bottom w:type="dxa" w:w="80"/>
              <w:right w:type="dxa" w:w="100"/>
            </w:tcMar>
            <w:vAlign w:val="center"/>
          </w:tcPr>
          <w:p>
            <w:pPr>
              <w:jc w:val="left"/>
            </w:pPr>
            <w:r>
              <w:rPr>
                <w:b/>
                <w:bCs/>
                <w:color w:val="FFFFFF"/>
                <w:sz w:val="20"/>
                <w:szCs w:val="20"/>
              </w:rPr>
              <w:t xml:space="preserve">Purpose</w:t>
            </w:r>
          </w:p>
        </w:tc>
      </w:tr>
      <w:tr>
        <w:tc>
          <w:tcPr>
            <w:tcW w:type="dxa" w:w="28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Analyse Image</w:t>
            </w:r>
          </w:p>
        </w:tc>
        <w:tc>
          <w:tcPr>
            <w:tcW w:type="dxa" w:w="66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Primary workflow — upload, crop, analyse, view results, export PDF</w:t>
            </w:r>
          </w:p>
        </w:tc>
      </w:tr>
      <w:tr>
        <w:tc>
          <w:tcPr>
            <w:tcW w:type="dxa" w:w="28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History</w:t>
            </w:r>
          </w:p>
        </w:tc>
        <w:tc>
          <w:tcPr>
            <w:tcW w:type="dxa" w:w="66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Table of all past analyses with summary metrics, colour-coded scores, CSV export and image preview</w:t>
            </w:r>
          </w:p>
        </w:tc>
      </w:tr>
      <w:tr>
        <w:tc>
          <w:tcPr>
            <w:tcW w:type="dxa" w:w="28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About Factors</w:t>
            </w:r>
          </w:p>
        </w:tc>
        <w:tc>
          <w:tcPr>
            <w:tcW w:type="dxa" w:w="66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Deep-dive reference for each of the ten quality factors, plus a full weight/owner summary table</w:t>
            </w:r>
          </w:p>
        </w:tc>
      </w:tr>
      <w:tr>
        <w:tc>
          <w:tcPr>
            <w:tcW w:type="dxa" w:w="28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About Team</w:t>
            </w:r>
          </w:p>
        </w:tc>
        <w:tc>
          <w:tcPr>
            <w:tcW w:type="dxa" w:w="66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Profile cards for the team lead and each team member, with college, role, duration and contact</w:t>
            </w:r>
          </w:p>
        </w:tc>
      </w:tr>
    </w:tbl>
    <w:p>
      <w:pPr>
        <w:spacing w:before="200"/>
      </w:pPr>
    </w:p>
    <w:p>
      <w:pPr>
        <w:pStyle w:val="Heading2"/>
        <w:spacing w:after="150" w:before="300"/>
      </w:pPr>
      <w:r>
        <w:rPr>
          <w:b/>
          <w:bCs/>
          <w:color w:val="0F3460"/>
        </w:rPr>
        <w:t xml:space="preserve">11.1 Visual Design Language</w:t>
      </w:r>
    </w:p>
    <w:p>
      <w:pPr>
        <w:spacing w:after="160" w:line="276"/>
        <w:jc w:val="both"/>
      </w:pPr>
      <w:r>
        <w:rPr>
          <w:b w:val="false"/>
          <w:bCs w:val="false"/>
          <w:i w:val="false"/>
          <w:iCs w:val="false"/>
          <w:color w:val="222222"/>
          <w:sz w:val="22"/>
          <w:szCs w:val="22"/>
        </w:rPr>
        <w:t xml:space="preserve">The interface uses a consistent colour system throughout: a deep navy (#1A2B4A) and teal (#00C4B4) brand palette for headers and score panels, with the four-tier Excellent/Good/Average/Poor badge colours (green, blue, amber, red) reused consistently across score cards, the history table and the sidebar legend, so a user can interpret colour meaning identically anywhere in the app. Headings use 'Space Grotesk' for a modern, technical feel, and body text uses 'Inter' for readability.</w:t>
      </w:r>
    </w:p>
    <w:p>
      <w:pPr>
        <w:pStyle w:val="Heading2"/>
        <w:spacing w:after="150" w:before="300"/>
      </w:pPr>
      <w:r>
        <w:rPr>
          <w:b/>
          <w:bCs/>
          <w:color w:val="0F3460"/>
        </w:rPr>
        <w:t xml:space="preserve">11.2 Session-State Persistence</w:t>
      </w:r>
    </w:p>
    <w:p>
      <w:pPr>
        <w:spacing w:after="160" w:line="276"/>
        <w:jc w:val="both"/>
      </w:pPr>
      <w:r>
        <w:rPr>
          <w:b w:val="false"/>
          <w:bCs w:val="false"/>
          <w:i w:val="false"/>
          <w:iCs w:val="false"/>
          <w:color w:val="222222"/>
          <w:sz w:val="22"/>
          <w:szCs w:val="22"/>
        </w:rPr>
        <w:t xml:space="preserve">Because Streamlit re-runs the entire script on every interaction, the platform stores the uploaded image, crop selection, analysis results, API status, OCR text and recommendations in st.session_state. This allows a user to switch between the Analyse Image, History, About Factors and About Team pages without losing their current analysis, and to clear an analysis explicitly via a dedicated sidebar button.</w:t>
      </w:r>
    </w:p>
    <w:p>
      <w:pPr>
        <w:pStyle w:val="Heading2"/>
        <w:spacing w:after="150" w:before="300"/>
      </w:pPr>
      <w:r>
        <w:rPr>
          <w:b/>
          <w:bCs/>
          <w:color w:val="0F3460"/>
        </w:rPr>
        <w:t xml:space="preserve">11.3 Sidebar &amp; Status Indicators</w:t>
      </w:r>
    </w:p>
    <w:p>
      <w:pPr>
        <w:spacing w:after="160" w:line="276"/>
        <w:jc w:val="both"/>
      </w:pPr>
      <w:r>
        <w:rPr>
          <w:b w:val="false"/>
          <w:bCs w:val="false"/>
          <w:i w:val="false"/>
          <w:iCs w:val="false"/>
          <w:color w:val="222222"/>
          <w:sz w:val="22"/>
          <w:szCs w:val="22"/>
        </w:rPr>
        <w:t xml:space="preserve">The sidebar additionally surfaces a persistent Score Scale legend (the same four colour bands used everywhere else), and, whenever an analysis is active, a live summary of the last analysis's score and source image name, so the user always has orientation context regardless of which page they navigate to.</w:t>
      </w:r>
    </w:p>
    <w:p>
      <w:pPr>
        <w:pStyle w:val="Heading1"/>
        <w:pBdr>
          <w:bottom w:val="single" w:color="00C4B4" w:sz="8" w:space="4"/>
        </w:pBdr>
        <w:spacing w:after="200" w:before="400"/>
      </w:pPr>
      <w:r>
        <w:rPr>
          <w:b/>
          <w:bCs/>
          <w:color w:val="1A2B4A"/>
        </w:rPr>
        <w:t xml:space="preserve">12. Analysis History &amp; Analytics</w:t>
      </w:r>
    </w:p>
    <w:p>
      <w:pPr>
        <w:spacing w:after="160" w:line="276"/>
        <w:jc w:val="both"/>
      </w:pPr>
      <w:r>
        <w:rPr>
          <w:b w:val="false"/>
          <w:bCs w:val="false"/>
          <w:i w:val="false"/>
          <w:iCs w:val="false"/>
          <w:color w:val="222222"/>
          <w:sz w:val="22"/>
          <w:szCs w:val="22"/>
        </w:rPr>
        <w:t xml:space="preserve">Every completed analysis is written to persistent storage via storage.save_result(), keyed to the uploaded image, and can later be reloaded with storage.load_results(). The History page surfaces this data as:</w:t>
      </w:r>
    </w:p>
    <w:p>
      <w:pPr>
        <w:pStyle w:val="ListParagraph"/>
        <w:numPr>
          <w:ilvl w:val="0"/>
          <w:numId w:val="2"/>
        </w:numPr>
        <w:spacing w:after="90"/>
      </w:pPr>
      <w:r>
        <w:rPr>
          <w:color w:val="222222"/>
          <w:sz w:val="22"/>
          <w:szCs w:val="22"/>
        </w:rPr>
        <w:t xml:space="preserve">Summary metrics — Total Analyses performed, Average OCR Readiness Score, and Best OCR Score achieved.</w:t>
      </w:r>
    </w:p>
    <w:p>
      <w:pPr>
        <w:pStyle w:val="ListParagraph"/>
        <w:numPr>
          <w:ilvl w:val="0"/>
          <w:numId w:val="2"/>
        </w:numPr>
        <w:spacing w:after="90"/>
      </w:pPr>
      <w:r>
        <w:rPr>
          <w:color w:val="222222"/>
          <w:sz w:val="22"/>
          <w:szCs w:val="22"/>
        </w:rPr>
        <w:t xml:space="preserve">A colour-coded, sortable results table (most recent first) mirroring the same four-tier score-band colouring used elsewhere in the app.</w:t>
      </w:r>
    </w:p>
    <w:p>
      <w:pPr>
        <w:pStyle w:val="ListParagraph"/>
        <w:numPr>
          <w:ilvl w:val="0"/>
          <w:numId w:val="2"/>
        </w:numPr>
        <w:spacing w:after="90"/>
      </w:pPr>
      <w:r>
        <w:rPr>
          <w:color w:val="222222"/>
          <w:sz w:val="22"/>
          <w:szCs w:val="22"/>
        </w:rPr>
        <w:t xml:space="preserve">A one-click CSV export of the complete results history.</w:t>
      </w:r>
    </w:p>
    <w:p>
      <w:pPr>
        <w:pStyle w:val="ListParagraph"/>
        <w:numPr>
          <w:ilvl w:val="0"/>
          <w:numId w:val="2"/>
        </w:numPr>
        <w:spacing w:after="90"/>
      </w:pPr>
      <w:r>
        <w:rPr>
          <w:color w:val="222222"/>
          <w:sz w:val="22"/>
          <w:szCs w:val="22"/>
        </w:rPr>
        <w:t xml:space="preserve">An image preview panel allowing the user to re-inspect any previously analysed document.</w:t>
      </w:r>
    </w:p>
    <w:p>
      <w:pPr>
        <w:spacing w:after="160" w:line="276"/>
        <w:jc w:val="both"/>
      </w:pPr>
      <w:r>
        <w:rPr>
          <w:b w:val="false"/>
          <w:bCs w:val="false"/>
          <w:i w:val="false"/>
          <w:iCs w:val="false"/>
          <w:color w:val="222222"/>
          <w:sz w:val="22"/>
          <w:szCs w:val="22"/>
        </w:rPr>
        <w:t xml:space="preserve">The storage module additionally exposes compute_correlations(), enabling cross-factor statistical analysis — for example, identifying which quality factors most strongly co-vary with the real Tesseract OCR confidence across the accumulated history, which is valuable for refining the weighting scheme over time. This turns the History page from a passive log into an active feedback source for the scoring model itself.</w:t>
      </w:r>
    </w:p>
    <w:p>
      <w:pPr>
        <w:pStyle w:val="Heading1"/>
        <w:pBdr>
          <w:bottom w:val="single" w:color="00C4B4" w:sz="8" w:space="4"/>
        </w:pBdr>
        <w:spacing w:after="200" w:before="400"/>
      </w:pPr>
      <w:r>
        <w:rPr>
          <w:b/>
          <w:bCs/>
          <w:color w:val="1A2B4A"/>
        </w:rPr>
        <w:t xml:space="preserve">13. PDF Report Generation</w:t>
      </w:r>
    </w:p>
    <w:p>
      <w:pPr>
        <w:spacing w:after="160" w:line="276"/>
        <w:jc w:val="both"/>
      </w:pPr>
      <w:r>
        <w:rPr>
          <w:b w:val="false"/>
          <w:bCs w:val="false"/>
          <w:i w:val="false"/>
          <w:iCs w:val="false"/>
          <w:color w:val="222222"/>
          <w:sz w:val="22"/>
          <w:szCs w:val="22"/>
        </w:rPr>
        <w:t xml:space="preserve">Once an analysis is complete, the user can generate and download a professional PDF report via report.generate_pdf_report(), which compiles:</w:t>
      </w:r>
    </w:p>
    <w:p>
      <w:pPr>
        <w:pStyle w:val="ListParagraph"/>
        <w:numPr>
          <w:ilvl w:val="0"/>
          <w:numId w:val="2"/>
        </w:numPr>
        <w:spacing w:after="90"/>
      </w:pPr>
      <w:r>
        <w:rPr>
          <w:color w:val="222222"/>
          <w:sz w:val="22"/>
          <w:szCs w:val="22"/>
        </w:rPr>
        <w:t xml:space="preserve">The OCR Readiness Score and OCR Confidence headline figures</w:t>
      </w:r>
    </w:p>
    <w:p>
      <w:pPr>
        <w:pStyle w:val="ListParagraph"/>
        <w:numPr>
          <w:ilvl w:val="0"/>
          <w:numId w:val="2"/>
        </w:numPr>
        <w:spacing w:after="90"/>
      </w:pPr>
      <w:r>
        <w:rPr>
          <w:color w:val="222222"/>
          <w:sz w:val="22"/>
          <w:szCs w:val="22"/>
        </w:rPr>
        <w:t xml:space="preserve">A radar chart summarising all ten factor scores at a glance</w:t>
      </w:r>
    </w:p>
    <w:p>
      <w:pPr>
        <w:pStyle w:val="ListParagraph"/>
        <w:numPr>
          <w:ilvl w:val="0"/>
          <w:numId w:val="2"/>
        </w:numPr>
        <w:spacing w:after="90"/>
      </w:pPr>
      <w:r>
        <w:rPr>
          <w:color w:val="222222"/>
          <w:sz w:val="22"/>
          <w:szCs w:val="22"/>
        </w:rPr>
        <w:t xml:space="preserve">The complete set of individual factor scores and statuses</w:t>
      </w:r>
    </w:p>
    <w:p>
      <w:pPr>
        <w:pStyle w:val="ListParagraph"/>
        <w:numPr>
          <w:ilvl w:val="0"/>
          <w:numId w:val="2"/>
        </w:numPr>
        <w:spacing w:after="90"/>
      </w:pPr>
      <w:r>
        <w:rPr>
          <w:color w:val="222222"/>
          <w:sz w:val="22"/>
          <w:szCs w:val="22"/>
        </w:rPr>
        <w:t xml:space="preserve">All generated recommendations</w:t>
      </w:r>
    </w:p>
    <w:p>
      <w:pPr>
        <w:pStyle w:val="ListParagraph"/>
        <w:numPr>
          <w:ilvl w:val="0"/>
          <w:numId w:val="2"/>
        </w:numPr>
        <w:spacing w:after="90"/>
      </w:pPr>
      <w:r>
        <w:rPr>
          <w:color w:val="222222"/>
          <w:sz w:val="22"/>
          <w:szCs w:val="22"/>
        </w:rPr>
        <w:t xml:space="preserve">The Tesseract-extracted OCR text</w:t>
      </w:r>
    </w:p>
    <w:p>
      <w:pPr>
        <w:pStyle w:val="ListParagraph"/>
        <w:numPr>
          <w:ilvl w:val="0"/>
          <w:numId w:val="2"/>
        </w:numPr>
        <w:spacing w:after="90"/>
      </w:pPr>
      <w:r>
        <w:rPr>
          <w:color w:val="222222"/>
          <w:sz w:val="22"/>
          <w:szCs w:val="22"/>
        </w:rPr>
        <w:t xml:space="preserve">The originally uploaded document image</w:t>
      </w:r>
    </w:p>
    <w:p>
      <w:pPr>
        <w:spacing w:after="160" w:line="276"/>
        <w:jc w:val="both"/>
      </w:pPr>
      <w:r>
        <w:rPr>
          <w:b w:val="false"/>
          <w:bCs w:val="false"/>
          <w:i w:val="false"/>
          <w:iCs w:val="false"/>
          <w:color w:val="222222"/>
          <w:sz w:val="22"/>
          <w:szCs w:val="22"/>
        </w:rPr>
        <w:t xml:space="preserve">This turns every analysis into a self-contained, shareable artifact — suitable for attaching to an email, archiving alongside the source document, or including in a larger digitisation project's quality-assurance records.</w:t>
      </w:r>
    </w:p>
    <w:p>
      <w:pPr>
        <w:pStyle w:val="Heading1"/>
        <w:pBdr>
          <w:bottom w:val="single" w:color="00C4B4" w:sz="8" w:space="4"/>
        </w:pBdr>
        <w:spacing w:after="200" w:before="400"/>
      </w:pPr>
      <w:r>
        <w:rPr>
          <w:b/>
          <w:bCs/>
          <w:color w:val="1A2B4A"/>
        </w:rPr>
        <w:t xml:space="preserve">14. Engineering Challenges &amp; Solutions</w:t>
      </w:r>
    </w:p>
    <w:p>
      <w:pPr>
        <w:spacing w:after="160" w:line="276"/>
        <w:jc w:val="both"/>
      </w:pPr>
      <w:r>
        <w:rPr>
          <w:b w:val="false"/>
          <w:bCs w:val="false"/>
          <w:i w:val="false"/>
          <w:iCs w:val="false"/>
          <w:color w:val="222222"/>
          <w:sz w:val="22"/>
          <w:szCs w:val="22"/>
        </w:rPr>
        <w:t xml:space="preserve">Several non-trivial engineering problems were solved during development, reflecting mature software-engineering practice for a student project.</w:t>
      </w:r>
    </w:p>
    <w:p>
      <w:pPr>
        <w:pStyle w:val="Heading2"/>
        <w:spacing w:after="150" w:before="300"/>
      </w:pPr>
      <w:r>
        <w:rPr>
          <w:b/>
          <w:bCs/>
          <w:color w:val="0F3460"/>
        </w:rPr>
        <w:t xml:space="preserve">14.1 Optional-Dependency Graceful Degradation</w:t>
      </w:r>
    </w:p>
    <w:p>
      <w:pPr>
        <w:spacing w:after="160" w:line="276"/>
        <w:jc w:val="both"/>
      </w:pPr>
      <w:r>
        <w:rPr>
          <w:b w:val="false"/>
          <w:bCs w:val="false"/>
          <w:i w:val="false"/>
          <w:iCs w:val="false"/>
          <w:color w:val="222222"/>
          <w:sz w:val="22"/>
          <w:szCs w:val="22"/>
        </w:rPr>
        <w:t xml:space="preserve">Four separate third-party packages (pytesseract, streamlit-image-coordinates, streamlit-drawable-canvas, click_select_widget) are wrapped in try/except ImportError blocks at start-up. If any is missing from the deployment environment, the corresponding feature (OCR validation, click-crop, canvas-crop, native dropdown) is disabled individually rather than crashing the whole application, and the UI falls back to the next-best interaction method automatically.</w:t>
      </w:r>
    </w:p>
    <w:p>
      <w:pPr>
        <w:pStyle w:val="Heading2"/>
        <w:spacing w:after="150" w:before="300"/>
      </w:pPr>
      <w:r>
        <w:rPr>
          <w:b/>
          <w:bCs/>
          <w:color w:val="0F3460"/>
        </w:rPr>
        <w:t xml:space="preserve">14.2 Streamlit Version-Compatibility Shim</w:t>
      </w:r>
    </w:p>
    <w:p>
      <w:pPr>
        <w:spacing w:after="160" w:line="276"/>
        <w:jc w:val="both"/>
      </w:pPr>
      <w:r>
        <w:rPr>
          <w:b w:val="false"/>
          <w:bCs w:val="false"/>
          <w:i w:val="false"/>
          <w:iCs w:val="false"/>
          <w:color w:val="222222"/>
          <w:sz w:val="22"/>
          <w:szCs w:val="22"/>
        </w:rPr>
        <w:t xml:space="preserve">streamlit-drawable-canvas depends on an internal Streamlit helper function, image_to_url, that was removed in newer Streamlit releases. Rather than pin an old Streamlit version, the team wrote a compatibility shim that detects the missing function and re-implements it — first trying to route through Streamlit's current internal image-layout utilities, and falling back to a hand-built base64 data-URI encoding if those also fail — so the crop canvas continues to render its background image correctly across Streamlit versions.</w:t>
      </w:r>
    </w:p>
    <w:p>
      <w:pPr>
        <w:pStyle w:val="Heading2"/>
        <w:spacing w:after="150" w:before="300"/>
      </w:pPr>
      <w:r>
        <w:rPr>
          <w:b/>
          <w:bCs/>
          <w:color w:val="0F3460"/>
        </w:rPr>
        <w:t xml:space="preserve">14.3 Distributed API Reliability</w:t>
      </w:r>
    </w:p>
    <w:p>
      <w:pPr>
        <w:spacing w:after="160" w:line="276"/>
        <w:jc w:val="both"/>
      </w:pPr>
      <w:r>
        <w:rPr>
          <w:b w:val="false"/>
          <w:bCs w:val="false"/>
          <w:i w:val="false"/>
          <w:iCs w:val="false"/>
          <w:color w:val="222222"/>
          <w:sz w:val="22"/>
          <w:szCs w:val="22"/>
        </w:rPr>
        <w:t xml:space="preserve">Because individual team members' scoring APIs may be hosted on personal machines or temporary tunnels, the platform tracks KNOWN_ISSUES and resolves get_current_urls() at call time rather than hard-coding endpoints, with config_manager.py centralising ports and endpoint paths so a URL change requires editing configuration, not application code. Every API call has a local, deterministic fallback, guaranteeing the user always receives a complete ten-factor result.</w:t>
      </w:r>
    </w:p>
    <w:p>
      <w:pPr>
        <w:pStyle w:val="Heading2"/>
        <w:spacing w:after="150" w:before="300"/>
      </w:pPr>
      <w:r>
        <w:rPr>
          <w:b/>
          <w:bCs/>
          <w:color w:val="0F3460"/>
        </w:rPr>
        <w:t xml:space="preserve">14.4 Streamlit Radio-Widget Navigation Quirk</w:t>
      </w:r>
    </w:p>
    <w:p>
      <w:pPr>
        <w:spacing w:after="160" w:line="276"/>
        <w:jc w:val="both"/>
      </w:pPr>
      <w:r>
        <w:rPr>
          <w:b w:val="false"/>
          <w:bCs w:val="false"/>
          <w:i w:val="false"/>
          <w:iCs w:val="false"/>
          <w:color w:val="222222"/>
          <w:sz w:val="22"/>
          <w:szCs w:val="22"/>
        </w:rPr>
        <w:t xml:space="preserve">Streamlit's native radio widget does not fire a change event when a user clicks the option it already believes is selected internally — which would otherwise make clicking 'Analyse Image' silently fail after visiting an information page. The team solved this with an explicit _force_radio_reset session-state flag that clears the radio's remembered value immediately before navigating to About Factors or About Team, guaranteeing the next click on any navigation option is always registered.</w:t>
      </w:r>
    </w:p>
    <w:p>
      <w:pPr>
        <w:pStyle w:val="Heading2"/>
        <w:spacing w:after="150" w:before="300"/>
      </w:pPr>
      <w:r>
        <w:rPr>
          <w:b/>
          <w:bCs/>
          <w:color w:val="0F3460"/>
        </w:rPr>
        <w:t xml:space="preserve">14.5 Custom Native Dropdown Component</w:t>
      </w:r>
    </w:p>
    <w:p>
      <w:pPr>
        <w:spacing w:after="160" w:line="276"/>
        <w:jc w:val="both"/>
      </w:pPr>
      <w:r>
        <w:rPr>
          <w:b w:val="false"/>
          <w:bCs w:val="false"/>
          <w:i w:val="false"/>
          <w:iCs w:val="false"/>
          <w:color w:val="222222"/>
          <w:sz w:val="22"/>
          <w:szCs w:val="22"/>
        </w:rPr>
        <w:t xml:space="preserve">Streamlit's built-in selectbox is a searchable, editable combobox. For the factor selector on the About Factors page, the team built a self-contained click_select_widget component that behaves as a genuine native &lt;select&gt; element with a plain pointer cursor and no editable text field, improving usability for a purely choice-based control.</w:t>
      </w:r>
    </w:p>
    <w:p>
      <w:pPr>
        <w:pStyle w:val="Heading2"/>
        <w:spacing w:after="150" w:before="300"/>
      </w:pPr>
      <w:r>
        <w:rPr>
          <w:b/>
          <w:bCs/>
          <w:color w:val="0F3460"/>
        </w:rPr>
        <w:t xml:space="preserve">14.6 Colour-Channel Consistency</w:t>
      </w:r>
    </w:p>
    <w:p>
      <w:pPr>
        <w:spacing w:after="160" w:line="276"/>
        <w:jc w:val="both"/>
      </w:pPr>
      <w:r>
        <w:rPr>
          <w:b w:val="false"/>
          <w:bCs w:val="false"/>
          <w:i w:val="false"/>
          <w:iCs w:val="false"/>
          <w:color w:val="222222"/>
          <w:sz w:val="22"/>
          <w:szCs w:val="22"/>
        </w:rPr>
        <w:t xml:space="preserve">Pillow (used for upload, cropping and display) works in RGB, while OpenCV (used for the actual factor computations) expects BGR channel ordering. A dedicated pil_to_bgr() helper performs this conversion at exactly one point in the pipeline, preventing the kind of subtle red/blue colour-channel swap bugs that are common when mixing these two libraries.</w:t>
      </w:r>
    </w:p>
    <w:p>
      <w:pPr>
        <w:pStyle w:val="Heading1"/>
        <w:pBdr>
          <w:bottom w:val="single" w:color="00C4B4" w:sz="8" w:space="4"/>
        </w:pBdr>
        <w:spacing w:after="200" w:before="400"/>
      </w:pPr>
      <w:r>
        <w:rPr>
          <w:b/>
          <w:bCs/>
          <w:color w:val="1A2B4A"/>
        </w:rPr>
        <w:t xml:space="preserve">15. Team Structure &amp; Contributions</w:t>
      </w:r>
    </w:p>
    <w:p>
      <w:pPr>
        <w:spacing w:after="160" w:line="276"/>
        <w:jc w:val="both"/>
      </w:pPr>
      <w:r>
        <w:rPr>
          <w:b w:val="false"/>
          <w:bCs w:val="false"/>
          <w:i w:val="false"/>
          <w:iCs w:val="false"/>
          <w:color w:val="222222"/>
          <w:sz w:val="22"/>
          <w:szCs w:val="22"/>
        </w:rPr>
        <w:t xml:space="preserve">The project was built by a five-member student team, each contributing to a distinct part of the platform in addition to owning specific quality factors within the shared scoring engine.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000"/>
        <w:gridCol w:w="1000"/>
      </w:tblGrid>
      <w:tr>
        <w:trPr>
          <w:tblHeader/>
        </w:trPr>
        <w:tc>
          <w:tcPr>
            <w:tcW w:type="dxa" w:w="1800"/>
            <w:shd w:fill="1A2B4A" w:color="auto" w:val="clear"/>
            <w:tcMar>
              <w:top w:type="dxa" w:w="80"/>
              <w:left w:type="dxa" w:w="100"/>
              <w:bottom w:type="dxa" w:w="80"/>
              <w:right w:type="dxa" w:w="100"/>
            </w:tcMar>
            <w:vAlign w:val="center"/>
          </w:tcPr>
          <w:p>
            <w:pPr>
              <w:jc w:val="left"/>
            </w:pPr>
            <w:r>
              <w:rPr>
                <w:b/>
                <w:bCs/>
                <w:color w:val="FFFFFF"/>
                <w:sz w:val="20"/>
                <w:szCs w:val="20"/>
              </w:rPr>
              <w:t xml:space="preserve">Name</w:t>
            </w:r>
          </w:p>
        </w:tc>
        <w:tc>
          <w:tcPr>
            <w:tcW w:type="dxa" w:w="1600"/>
            <w:shd w:fill="1A2B4A" w:color="auto" w:val="clear"/>
            <w:tcMar>
              <w:top w:type="dxa" w:w="80"/>
              <w:left w:type="dxa" w:w="100"/>
              <w:bottom w:type="dxa" w:w="80"/>
              <w:right w:type="dxa" w:w="100"/>
            </w:tcMar>
            <w:vAlign w:val="center"/>
          </w:tcPr>
          <w:p>
            <w:pPr>
              <w:jc w:val="left"/>
            </w:pPr>
            <w:r>
              <w:rPr>
                <w:b/>
                <w:bCs/>
                <w:color w:val="FFFFFF"/>
                <w:sz w:val="20"/>
                <w:szCs w:val="20"/>
              </w:rPr>
              <w:t xml:space="preserve">Role</w:t>
            </w:r>
          </w:p>
        </w:tc>
        <w:tc>
          <w:tcPr>
            <w:tcW w:type="dxa" w:w="4000"/>
            <w:shd w:fill="1A2B4A" w:color="auto" w:val="clear"/>
            <w:tcMar>
              <w:top w:type="dxa" w:w="80"/>
              <w:left w:type="dxa" w:w="100"/>
              <w:bottom w:type="dxa" w:w="80"/>
              <w:right w:type="dxa" w:w="100"/>
            </w:tcMar>
            <w:vAlign w:val="center"/>
          </w:tcPr>
          <w:p>
            <w:pPr>
              <w:jc w:val="left"/>
            </w:pPr>
            <w:r>
              <w:rPr>
                <w:b/>
                <w:bCs/>
                <w:color w:val="FFFFFF"/>
                <w:sz w:val="20"/>
                <w:szCs w:val="20"/>
              </w:rPr>
              <w:t xml:space="preserve">Institution</w:t>
            </w:r>
          </w:p>
        </w:tc>
        <w:tc>
          <w:tcPr>
            <w:tcW w:type="dxa" w:w="1000"/>
            <w:shd w:fill="1A2B4A" w:color="auto" w:val="clear"/>
            <w:tcMar>
              <w:top w:type="dxa" w:w="80"/>
              <w:left w:type="dxa" w:w="100"/>
              <w:bottom w:type="dxa" w:w="80"/>
              <w:right w:type="dxa" w:w="100"/>
            </w:tcMar>
            <w:vAlign w:val="center"/>
          </w:tcPr>
          <w:p>
            <w:pPr>
              <w:jc w:val="left"/>
            </w:pPr>
            <w:r>
              <w:rPr>
                <w:b/>
                <w:bCs/>
                <w:color w:val="FFFFFF"/>
                <w:sz w:val="20"/>
                <w:szCs w:val="20"/>
              </w:rPr>
              <w:t xml:space="preserve">Duration</w:t>
            </w:r>
          </w:p>
        </w:tc>
      </w:tr>
      <w:tr>
        <w:tc>
          <w:tcPr>
            <w:tcW w:type="dxa" w:w="18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Yash Rajput</w:t>
            </w:r>
          </w:p>
        </w:tc>
        <w:tc>
          <w:tcPr>
            <w:tcW w:type="dxa" w:w="16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Team Lead</w:t>
            </w:r>
          </w:p>
        </w:tc>
        <w:tc>
          <w:tcPr>
            <w:tcW w:type="dxa" w:w="40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Symbiosis Skills and Professional University, Pune</w:t>
            </w:r>
          </w:p>
        </w:tc>
        <w:tc>
          <w:tcPr>
            <w:tcW w:type="dxa" w:w="10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2 Months</w:t>
            </w:r>
          </w:p>
        </w:tc>
      </w:tr>
      <w:tr>
        <w:tc>
          <w:tcPr>
            <w:tcW w:type="dxa" w:w="18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Krish</w:t>
            </w:r>
          </w:p>
        </w:tc>
        <w:tc>
          <w:tcPr>
            <w:tcW w:type="dxa" w:w="16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Team Member</w:t>
            </w:r>
          </w:p>
        </w:tc>
        <w:tc>
          <w:tcPr>
            <w:tcW w:type="dxa" w:w="40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Thapar Institute of Engineering and Technology</w:t>
            </w:r>
          </w:p>
        </w:tc>
        <w:tc>
          <w:tcPr>
            <w:tcW w:type="dxa" w:w="10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1 Month</w:t>
            </w:r>
          </w:p>
        </w:tc>
      </w:tr>
      <w:tr>
        <w:tc>
          <w:tcPr>
            <w:tcW w:type="dxa" w:w="18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Vivek</w:t>
            </w:r>
          </w:p>
        </w:tc>
        <w:tc>
          <w:tcPr>
            <w:tcW w:type="dxa" w:w="16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Team Member</w:t>
            </w:r>
          </w:p>
        </w:tc>
        <w:tc>
          <w:tcPr>
            <w:tcW w:type="dxa" w:w="40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KCC Institute of Technology and Management</w:t>
            </w:r>
          </w:p>
        </w:tc>
        <w:tc>
          <w:tcPr>
            <w:tcW w:type="dxa" w:w="10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2 Months</w:t>
            </w:r>
          </w:p>
        </w:tc>
      </w:tr>
      <w:tr>
        <w:tc>
          <w:tcPr>
            <w:tcW w:type="dxa" w:w="18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Mansi</w:t>
            </w:r>
          </w:p>
        </w:tc>
        <w:tc>
          <w:tcPr>
            <w:tcW w:type="dxa" w:w="16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Team Member</w:t>
            </w:r>
          </w:p>
        </w:tc>
        <w:tc>
          <w:tcPr>
            <w:tcW w:type="dxa" w:w="40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Indira Gandhi Delhi Technical University for Women (IGDTUW)</w:t>
            </w:r>
          </w:p>
        </w:tc>
        <w:tc>
          <w:tcPr>
            <w:tcW w:type="dxa" w:w="10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6 Weeks</w:t>
            </w:r>
          </w:p>
        </w:tc>
      </w:tr>
      <w:tr>
        <w:tc>
          <w:tcPr>
            <w:tcW w:type="dxa" w:w="18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Tanusha</w:t>
            </w:r>
          </w:p>
        </w:tc>
        <w:tc>
          <w:tcPr>
            <w:tcW w:type="dxa" w:w="16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Team Member</w:t>
            </w:r>
          </w:p>
        </w:tc>
        <w:tc>
          <w:tcPr>
            <w:tcW w:type="dxa" w:w="40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Jaypee Institute of Information Technology, Noida, Sector 62</w:t>
            </w:r>
          </w:p>
        </w:tc>
        <w:tc>
          <w:tcPr>
            <w:tcW w:type="dxa" w:w="10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2 Months</w:t>
            </w:r>
          </w:p>
        </w:tc>
      </w:tr>
    </w:tbl>
    <w:p>
      <w:pPr>
        <w:spacing w:before="200"/>
      </w:pPr>
    </w:p>
    <w:p>
      <w:pPr>
        <w:pStyle w:val="Heading2"/>
        <w:spacing w:after="150" w:before="300"/>
      </w:pPr>
      <w:r>
        <w:rPr>
          <w:b/>
          <w:bCs/>
          <w:color w:val="0F3460"/>
        </w:rPr>
        <w:t xml:space="preserve">15.1 Collaborative Ownership Model</w:t>
      </w:r>
    </w:p>
    <w:p>
      <w:pPr>
        <w:spacing w:after="160" w:line="276"/>
        <w:jc w:val="both"/>
      </w:pPr>
      <w:r>
        <w:rPr>
          <w:b w:val="false"/>
          <w:bCs w:val="false"/>
          <w:i w:val="false"/>
          <w:iCs w:val="false"/>
          <w:color w:val="222222"/>
          <w:sz w:val="22"/>
          <w:szCs w:val="22"/>
        </w:rPr>
        <w:t xml:space="preserve">Beyond their institutional details (also surfaced in the platform's own About Team page), each member is associated in the codebase with ownership of specific quality factors and, in several cases, an individually hosted scoring API (reflected in the api-yash, api-mansi, api-krish, api-vivek and api-tanusha styling classes used to visually attribute results in the UI). This ownership model is also exposed transparently to end users: every factor card and the About Factors reference page both display the responsible owner alongside the factor's definition and formula.</w:t>
      </w:r>
    </w:p>
    <w:p>
      <w:pPr>
        <w:pStyle w:val="Heading2"/>
        <w:spacing w:after="150" w:before="300"/>
      </w:pPr>
      <w:r>
        <w:rPr>
          <w:b/>
          <w:bCs/>
          <w:color w:val="0F3460"/>
        </w:rPr>
        <w:t xml:space="preserve">15.2 Department Context</w:t>
      </w:r>
    </w:p>
    <w:p>
      <w:pPr>
        <w:spacing w:after="160" w:line="276"/>
        <w:jc w:val="both"/>
      </w:pPr>
      <w:r>
        <w:rPr>
          <w:b w:val="false"/>
          <w:bCs w:val="false"/>
          <w:i w:val="false"/>
          <w:iCs w:val="false"/>
          <w:color w:val="222222"/>
          <w:sz w:val="22"/>
          <w:szCs w:val="22"/>
        </w:rPr>
        <w:t xml:space="preserve">The project was carried out under the SNLP Department as an internship-style engagement, with individual contribution durations ranging from six weeks to two months, indicating a structured, time-boxed development cycle typical of an academic or training-program deliverable.</w:t>
      </w:r>
    </w:p>
    <w:p>
      <w:pPr>
        <w:pStyle w:val="Heading1"/>
        <w:pBdr>
          <w:bottom w:val="single" w:color="00C4B4" w:sz="8" w:space="4"/>
        </w:pBdr>
        <w:spacing w:after="200" w:before="400"/>
      </w:pPr>
      <w:r>
        <w:rPr>
          <w:b/>
          <w:bCs/>
          <w:color w:val="1A2B4A"/>
        </w:rPr>
        <w:t xml:space="preserve">16. Testing &amp; Quality Assurance</w:t>
      </w:r>
    </w:p>
    <w:p>
      <w:pPr>
        <w:spacing w:after="160" w:line="276"/>
        <w:jc w:val="both"/>
      </w:pPr>
      <w:r>
        <w:rPr>
          <w:b w:val="false"/>
          <w:bCs w:val="false"/>
          <w:i w:val="false"/>
          <w:iCs w:val="false"/>
          <w:color w:val="222222"/>
          <w:sz w:val="22"/>
          <w:szCs w:val="22"/>
        </w:rPr>
        <w:t xml:space="preserve">Quality assurance for the platform spans three layers: correctness of the individual factor calculations, resilience of the distributed API layer, and usability of the Streamlit front end.</w:t>
      </w:r>
    </w:p>
    <w:p>
      <w:pPr>
        <w:pStyle w:val="Heading2"/>
        <w:spacing w:after="150" w:before="300"/>
      </w:pPr>
      <w:r>
        <w:rPr>
          <w:b/>
          <w:bCs/>
          <w:color w:val="0F3460"/>
        </w:rPr>
        <w:t xml:space="preserve">16.1 Factor-Level Verification</w:t>
      </w:r>
    </w:p>
    <w:p>
      <w:pPr>
        <w:spacing w:after="160" w:line="276"/>
        <w:jc w:val="both"/>
      </w:pPr>
      <w:r>
        <w:rPr>
          <w:b w:val="false"/>
          <w:bCs w:val="false"/>
          <w:i w:val="false"/>
          <w:iCs w:val="false"/>
          <w:color w:val="222222"/>
          <w:sz w:val="22"/>
          <w:szCs w:val="22"/>
        </w:rPr>
        <w:t xml:space="preserve">Each of the ten factor functions in factors.py was exercised against a deliberately varied set of test images — well-lit clean scans, underexposed photos, heavily skewed captures, low-resolution phone photos and artificially noised images — to confirm that scores moved in the expected direction and stayed within the documented ideal ranges published on the About Factors page.</w:t>
      </w:r>
    </w:p>
    <w:p>
      <w:pPr>
        <w:pStyle w:val="Heading2"/>
        <w:spacing w:after="150" w:before="300"/>
      </w:pPr>
      <w:r>
        <w:rPr>
          <w:b/>
          <w:bCs/>
          <w:color w:val="0F3460"/>
        </w:rPr>
        <w:t xml:space="preserve">16.2 End-to-End Prediction Validation</w:t>
      </w:r>
    </w:p>
    <w:p>
      <w:pPr>
        <w:spacing w:after="160" w:line="276"/>
        <w:jc w:val="both"/>
      </w:pPr>
      <w:r>
        <w:rPr>
          <w:b w:val="false"/>
          <w:bCs w:val="false"/>
          <w:i w:val="false"/>
          <w:iCs w:val="false"/>
          <w:color w:val="222222"/>
          <w:sz w:val="22"/>
          <w:szCs w:val="22"/>
        </w:rPr>
        <w:t xml:space="preserve">Because the platform's central claim is that its composite OCR Readiness Score predicts real OCR performance, the most important validation check built into the product itself is the Prediction Accuracy metric described in Section 9.3. Every single analysis a user runs doubles as a live test case, and reviewing the accumulated History page over many analyses functions as an ongoing regression test of the scoring model, without requiring a separate held-out test dataset.</w:t>
      </w:r>
    </w:p>
    <w:p>
      <w:pPr>
        <w:pStyle w:val="Heading2"/>
        <w:spacing w:after="150" w:before="300"/>
      </w:pPr>
      <w:r>
        <w:rPr>
          <w:b/>
          <w:bCs/>
          <w:color w:val="0F3460"/>
        </w:rPr>
        <w:t xml:space="preserve">16.3 Fault-Injection on the API Layer</w:t>
      </w:r>
    </w:p>
    <w:p>
      <w:pPr>
        <w:spacing w:after="160" w:line="276"/>
        <w:jc w:val="both"/>
      </w:pPr>
      <w:r>
        <w:rPr>
          <w:b w:val="false"/>
          <w:bCs w:val="false"/>
          <w:i w:val="false"/>
          <w:iCs w:val="false"/>
          <w:color w:val="222222"/>
          <w:sz w:val="22"/>
          <w:szCs w:val="22"/>
        </w:rPr>
        <w:t xml:space="preserve">The distributed team-API design was tested under failure conditions by deliberately taking individual teammates' services offline and confirming that call_all_team_apis() still returned a complete set of ten factor results by falling back to local computation, and that the KNOWN_ISSUES / get_current_urls() mechanism in api_integration.py correctly reflected which services were unavailable rather than silently hiding the failure.</w:t>
      </w:r>
    </w:p>
    <w:p>
      <w:pPr>
        <w:pStyle w:val="Heading2"/>
        <w:spacing w:after="150" w:before="300"/>
      </w:pPr>
      <w:r>
        <w:rPr>
          <w:b/>
          <w:bCs/>
          <w:color w:val="0F3460"/>
        </w:rPr>
        <w:t xml:space="preserve">16.4 Interface &amp; Compatibility Testing</w:t>
      </w:r>
    </w:p>
    <w:p>
      <w:pPr>
        <w:spacing w:after="160" w:line="276"/>
        <w:jc w:val="both"/>
      </w:pPr>
      <w:r>
        <w:rPr>
          <w:b w:val="false"/>
          <w:bCs w:val="false"/>
          <w:i w:val="false"/>
          <w:iCs w:val="false"/>
          <w:color w:val="222222"/>
          <w:sz w:val="22"/>
          <w:szCs w:val="22"/>
        </w:rPr>
        <w:t xml:space="preserve">The three-tier cropping fallback and the Streamlit version-compatibility shim were both manually verified across environments with and without the optional packages installed, confirming the UI degrades to the next available option instead of failing outright. The custom click_select_widget dropdown and the sidebar navigation reset logic were similarly checked across repeated page-switching sequences to confirm the radio-widget quirk (Section 14.4) no longer reproduces.</w:t>
      </w:r>
    </w:p>
    <w:p>
      <w:pPr>
        <w:pStyle w:val="Heading1"/>
        <w:pBdr>
          <w:bottom w:val="single" w:color="00C4B4" w:sz="8" w:space="4"/>
        </w:pBdr>
        <w:spacing w:after="200" w:before="400"/>
      </w:pPr>
      <w:r>
        <w:rPr>
          <w:b/>
          <w:bCs/>
          <w:color w:val="1A2B4A"/>
        </w:rPr>
        <w:t xml:space="preserve">17. Limitations &amp; Future Scope</w:t>
      </w:r>
    </w:p>
    <w:p>
      <w:pPr>
        <w:pStyle w:val="Heading2"/>
        <w:spacing w:after="150" w:before="300"/>
      </w:pPr>
      <w:r>
        <w:rPr>
          <w:b/>
          <w:bCs/>
          <w:color w:val="0F3460"/>
        </w:rPr>
        <w:t xml:space="preserve">17.1 Current Limitations</w:t>
      </w:r>
    </w:p>
    <w:p>
      <w:pPr>
        <w:pStyle w:val="ListParagraph"/>
        <w:numPr>
          <w:ilvl w:val="0"/>
          <w:numId w:val="2"/>
        </w:numPr>
        <w:spacing w:after="90"/>
      </w:pPr>
      <w:r>
        <w:rPr>
          <w:color w:val="222222"/>
          <w:sz w:val="22"/>
          <w:szCs w:val="22"/>
        </w:rPr>
        <w:t xml:space="preserve">The platform analyses one document image at a time; there is no batch-processing mode for large document sets.</w:t>
      </w:r>
    </w:p>
    <w:p>
      <w:pPr>
        <w:pStyle w:val="ListParagraph"/>
        <w:numPr>
          <w:ilvl w:val="0"/>
          <w:numId w:val="2"/>
        </w:numPr>
        <w:spacing w:after="90"/>
      </w:pPr>
      <w:r>
        <w:rPr>
          <w:color w:val="222222"/>
          <w:sz w:val="22"/>
          <w:szCs w:val="22"/>
        </w:rPr>
        <w:t xml:space="preserve">OCR ground-truth validation relies on Tesseract specifically; results may differ against commercial OCR engines with different sensitivities.</w:t>
      </w:r>
    </w:p>
    <w:p>
      <w:pPr>
        <w:pStyle w:val="ListParagraph"/>
        <w:numPr>
          <w:ilvl w:val="0"/>
          <w:numId w:val="2"/>
        </w:numPr>
        <w:spacing w:after="90"/>
      </w:pPr>
      <w:r>
        <w:rPr>
          <w:color w:val="222222"/>
          <w:sz w:val="22"/>
          <w:szCs w:val="22"/>
        </w:rPr>
        <w:t xml:space="preserve">Distributed team APIs depend on the availability of individually hosted services, which are not production-grade infrastructure.</w:t>
      </w:r>
    </w:p>
    <w:p>
      <w:pPr>
        <w:pStyle w:val="ListParagraph"/>
        <w:numPr>
          <w:ilvl w:val="0"/>
          <w:numId w:val="2"/>
        </w:numPr>
        <w:spacing w:after="90"/>
      </w:pPr>
      <w:r>
        <w:rPr>
          <w:color w:val="222222"/>
          <w:sz w:val="22"/>
          <w:szCs w:val="22"/>
        </w:rPr>
        <w:t xml:space="preserve">The optional cropping and OCR-validation features depend on third-party packages that may not be present in every deployment environment.</w:t>
      </w:r>
    </w:p>
    <w:p>
      <w:pPr>
        <w:pStyle w:val="ListParagraph"/>
        <w:numPr>
          <w:ilvl w:val="0"/>
          <w:numId w:val="2"/>
        </w:numPr>
        <w:spacing w:after="90"/>
      </w:pPr>
      <w:r>
        <w:rPr>
          <w:color w:val="222222"/>
          <w:sz w:val="22"/>
          <w:szCs w:val="22"/>
        </w:rPr>
        <w:t xml:space="preserve">Factor weights were assigned collaboratively rather than learned from a large labelled dataset, so they may not generalise optimally to document types outside the team's original test set.</w:t>
      </w:r>
    </w:p>
    <w:p>
      <w:pPr>
        <w:pStyle w:val="Heading2"/>
        <w:spacing w:after="150" w:before="300"/>
      </w:pPr>
      <w:r>
        <w:rPr>
          <w:b/>
          <w:bCs/>
          <w:color w:val="0F3460"/>
        </w:rPr>
        <w:t xml:space="preserve">17.2 Future Scope</w:t>
      </w:r>
    </w:p>
    <w:p>
      <w:pPr>
        <w:pStyle w:val="ListParagraph"/>
        <w:numPr>
          <w:ilvl w:val="0"/>
          <w:numId w:val="2"/>
        </w:numPr>
        <w:spacing w:after="90"/>
      </w:pPr>
      <w:r>
        <w:rPr>
          <w:color w:val="222222"/>
          <w:sz w:val="22"/>
          <w:szCs w:val="22"/>
        </w:rPr>
        <w:t xml:space="preserve">Batch/bulk analysis mode for processing entire folders or multi-page documents in one run.</w:t>
      </w:r>
    </w:p>
    <w:p>
      <w:pPr>
        <w:pStyle w:val="ListParagraph"/>
        <w:numPr>
          <w:ilvl w:val="0"/>
          <w:numId w:val="2"/>
        </w:numPr>
        <w:spacing w:after="90"/>
      </w:pPr>
      <w:r>
        <w:rPr>
          <w:color w:val="222222"/>
          <w:sz w:val="22"/>
          <w:szCs w:val="22"/>
        </w:rPr>
        <w:t xml:space="preserve">Migrating team-owned scoring services to a shared, always-on cloud deployment to remove dependency on personal machines.</w:t>
      </w:r>
    </w:p>
    <w:p>
      <w:pPr>
        <w:pStyle w:val="ListParagraph"/>
        <w:numPr>
          <w:ilvl w:val="0"/>
          <w:numId w:val="2"/>
        </w:numPr>
        <w:spacing w:after="90"/>
      </w:pPr>
      <w:r>
        <w:rPr>
          <w:color w:val="222222"/>
          <w:sz w:val="22"/>
          <w:szCs w:val="22"/>
        </w:rPr>
        <w:t xml:space="preserve">Extending ground-truth validation to multiple OCR engines (e.g., cloud OCR APIs) for a broader accuracy comparison.</w:t>
      </w:r>
    </w:p>
    <w:p>
      <w:pPr>
        <w:pStyle w:val="ListParagraph"/>
        <w:numPr>
          <w:ilvl w:val="0"/>
          <w:numId w:val="2"/>
        </w:numPr>
        <w:spacing w:after="90"/>
      </w:pPr>
      <w:r>
        <w:rPr>
          <w:color w:val="222222"/>
          <w:sz w:val="22"/>
          <w:szCs w:val="22"/>
        </w:rPr>
        <w:t xml:space="preserve">Using the accumulated history and cross-factor correlation data to automatically re-tune factor weights over time.</w:t>
      </w:r>
    </w:p>
    <w:p>
      <w:pPr>
        <w:pStyle w:val="ListParagraph"/>
        <w:numPr>
          <w:ilvl w:val="0"/>
          <w:numId w:val="2"/>
        </w:numPr>
        <w:spacing w:after="90"/>
      </w:pPr>
      <w:r>
        <w:rPr>
          <w:color w:val="222222"/>
          <w:sz w:val="22"/>
          <w:szCs w:val="22"/>
        </w:rPr>
        <w:t xml:space="preserve">Adding user accounts and role-based access so multiple users' histories remain separate.</w:t>
      </w:r>
    </w:p>
    <w:p>
      <w:pPr>
        <w:pStyle w:val="ListParagraph"/>
        <w:numPr>
          <w:ilvl w:val="0"/>
          <w:numId w:val="2"/>
        </w:numPr>
        <w:spacing w:after="90"/>
      </w:pPr>
      <w:r>
        <w:rPr>
          <w:color w:val="222222"/>
          <w:sz w:val="22"/>
          <w:szCs w:val="22"/>
        </w:rPr>
        <w:t xml:space="preserve">Packaging the platform as a downloadable desktop application or a Dockerised deployment for easier institutional adoption.</w:t>
      </w:r>
    </w:p>
    <w:p>
      <w:pPr>
        <w:pStyle w:val="Heading1"/>
        <w:pBdr>
          <w:bottom w:val="single" w:color="00C4B4" w:sz="8" w:space="4"/>
        </w:pBdr>
        <w:spacing w:after="200" w:before="400"/>
      </w:pPr>
      <w:r>
        <w:rPr>
          <w:b/>
          <w:bCs/>
          <w:color w:val="1A2B4A"/>
        </w:rPr>
        <w:t xml:space="preserve">18. Conclusion</w:t>
      </w:r>
    </w:p>
    <w:p>
      <w:pPr>
        <w:spacing w:after="160" w:line="276"/>
        <w:jc w:val="both"/>
      </w:pPr>
      <w:r>
        <w:rPr>
          <w:b w:val="false"/>
          <w:bCs w:val="false"/>
          <w:i w:val="false"/>
          <w:iCs w:val="false"/>
          <w:color w:val="222222"/>
          <w:sz w:val="22"/>
          <w:szCs w:val="22"/>
        </w:rPr>
        <w:t xml:space="preserve">The OCR Readiness Evaluation Platform demonstrates a complete, thoughtfully engineered pipeline for pre-emptively assessing document image quality for OCR — from a modular, ten-factor scoring engine and a distributed, fault-tolerant team-API architecture, through a polished and consistently themed Streamlit interface, to a persistent history store and exportable PDF reporting. Its self-validating design, in which every predicted score is checked against a real Tesseract OCR confidence figure, gives the system both practical utility for end users and a built-in feedback loop for the team to keep improving its own accuracy.</w:t>
      </w:r>
    </w:p>
    <w:p>
      <w:pPr>
        <w:spacing w:after="160" w:line="276"/>
        <w:jc w:val="both"/>
      </w:pPr>
      <w:r>
        <w:rPr>
          <w:b w:val="false"/>
          <w:bCs w:val="false"/>
          <w:i w:val="false"/>
          <w:iCs w:val="false"/>
          <w:color w:val="222222"/>
          <w:sz w:val="22"/>
          <w:szCs w:val="22"/>
        </w:rPr>
        <w:t xml:space="preserve">As a collaborative student project, it also shows a mature engineering culture: graceful degradation when optional dependencies are missing, defensive handling of unreliable distributed services, and careful attention to genuine UI/UX quirks such as Streamlit's radio-widget navigation issue. Taken together, these qualities make the platform both a functional diagnostic tool and a strong demonstration of the team's software-engineering capability.</w:t>
      </w:r>
    </w:p>
    <w:p>
      <w:pPr>
        <w:pStyle w:val="Heading1"/>
        <w:pBdr>
          <w:bottom w:val="single" w:color="00C4B4" w:sz="8" w:space="4"/>
        </w:pBdr>
        <w:spacing w:after="200" w:before="400"/>
      </w:pPr>
      <w:r>
        <w:rPr>
          <w:b/>
          <w:bCs/>
          <w:color w:val="1A2B4A"/>
        </w:rPr>
        <w:t xml:space="preserve">Appendix A — Glossary of Terms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1A2B4A" w:color="auto" w:val="clear"/>
            <w:tcMar>
              <w:top w:type="dxa" w:w="80"/>
              <w:left w:type="dxa" w:w="100"/>
              <w:bottom w:type="dxa" w:w="80"/>
              <w:right w:type="dxa" w:w="100"/>
            </w:tcMar>
            <w:vAlign w:val="center"/>
          </w:tcPr>
          <w:p>
            <w:pPr>
              <w:jc w:val="left"/>
            </w:pPr>
            <w:r>
              <w:rPr>
                <w:b/>
                <w:bCs/>
                <w:color w:val="FFFFFF"/>
                <w:sz w:val="20"/>
                <w:szCs w:val="20"/>
              </w:rPr>
              <w:t xml:space="preserve">Term</w:t>
            </w:r>
          </w:p>
        </w:tc>
        <w:tc>
          <w:tcPr>
            <w:tcW w:type="dxa" w:w="6400"/>
            <w:shd w:fill="1A2B4A" w:color="auto" w:val="clear"/>
            <w:tcMar>
              <w:top w:type="dxa" w:w="80"/>
              <w:left w:type="dxa" w:w="100"/>
              <w:bottom w:type="dxa" w:w="80"/>
              <w:right w:type="dxa" w:w="100"/>
            </w:tcMar>
            <w:vAlign w:val="center"/>
          </w:tcPr>
          <w:p>
            <w:pPr>
              <w:jc w:val="left"/>
            </w:pPr>
            <w:r>
              <w:rPr>
                <w:b/>
                <w:bCs/>
                <w:color w:val="FFFFFF"/>
                <w:sz w:val="20"/>
                <w:szCs w:val="20"/>
              </w:rPr>
              <w:t xml:space="preserve">Definition</w:t>
            </w:r>
          </w:p>
        </w:tc>
      </w:tr>
      <w:tr>
        <w:tc>
          <w:tcPr>
            <w:tcW w:type="dxa" w:w="30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OCR (Optical Character Recognition)</w:t>
            </w:r>
          </w:p>
        </w:tc>
        <w:tc>
          <w:tcPr>
            <w:tcW w:type="dxa" w:w="64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The process of converting images of text into machine-readable text</w:t>
            </w:r>
          </w:p>
        </w:tc>
      </w:tr>
      <w:tr>
        <w:tc>
          <w:tcPr>
            <w:tcW w:type="dxa" w:w="30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OCR Readiness Score</w:t>
            </w:r>
          </w:p>
        </w:tc>
        <w:tc>
          <w:tcPr>
            <w:tcW w:type="dxa" w:w="64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The platform's predicted 0–100 score estimating how suitable an image is for OCR, before any OCR engine runs</w:t>
            </w:r>
          </w:p>
        </w:tc>
      </w:tr>
      <w:tr>
        <w:tc>
          <w:tcPr>
            <w:tcW w:type="dxa" w:w="30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OCR Confidence</w:t>
            </w:r>
          </w:p>
        </w:tc>
        <w:tc>
          <w:tcPr>
            <w:tcW w:type="dxa" w:w="64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The real, empirical confidence figure reported by Tesseract after actually running OCR on the image</w:t>
            </w:r>
          </w:p>
        </w:tc>
      </w:tr>
      <w:tr>
        <w:tc>
          <w:tcPr>
            <w:tcW w:type="dxa" w:w="30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Prediction Accuracy</w:t>
            </w:r>
          </w:p>
        </w:tc>
        <w:tc>
          <w:tcPr>
            <w:tcW w:type="dxa" w:w="64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The absolute difference between the OCR Readiness Score and the real OCR Confidence, classified as Excellent / Acceptable / Needs Improvement</w:t>
            </w:r>
          </w:p>
        </w:tc>
      </w:tr>
      <w:tr>
        <w:tc>
          <w:tcPr>
            <w:tcW w:type="dxa" w:w="30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Quality Factor</w:t>
            </w:r>
          </w:p>
        </w:tc>
        <w:tc>
          <w:tcPr>
            <w:tcW w:type="dxa" w:w="64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One of ten independent, individually scored dimensions of image quality (e.g. brightness, skew, resolution)</w:t>
            </w:r>
          </w:p>
        </w:tc>
      </w:tr>
      <w:tr>
        <w:tc>
          <w:tcPr>
            <w:tcW w:type="dxa" w:w="30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Weight</w:t>
            </w:r>
          </w:p>
        </w:tc>
        <w:tc>
          <w:tcPr>
            <w:tcW w:type="dxa" w:w="64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The proportion of the composite OCR Readiness Score contributed by a given quality factor</w:t>
            </w:r>
          </w:p>
        </w:tc>
      </w:tr>
      <w:tr>
        <w:tc>
          <w:tcPr>
            <w:tcW w:type="dxa" w:w="30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Status Band</w:t>
            </w:r>
          </w:p>
        </w:tc>
        <w:tc>
          <w:tcPr>
            <w:tcW w:type="dxa" w:w="64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One of four score classifications: Excellent (81–100), Good (61–80), Average (41–60), Poor (0–40)</w:t>
            </w:r>
          </w:p>
        </w:tc>
      </w:tr>
      <w:tr>
        <w:tc>
          <w:tcPr>
            <w:tcW w:type="dxa" w:w="30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Team API</w:t>
            </w:r>
          </w:p>
        </w:tc>
        <w:tc>
          <w:tcPr>
            <w:tcW w:type="dxa" w:w="64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An individually hosted scoring microservice owned by one team member for a specific quality factor</w:t>
            </w:r>
          </w:p>
        </w:tc>
      </w:tr>
      <w:tr>
        <w:tc>
          <w:tcPr>
            <w:tcW w:type="dxa" w:w="30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Fallback Computation</w:t>
            </w:r>
          </w:p>
        </w:tc>
        <w:tc>
          <w:tcPr>
            <w:tcW w:type="dxa" w:w="64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The platform's local factor logic, used automatically whenever a Team API is unreachable</w:t>
            </w:r>
          </w:p>
        </w:tc>
      </w:tr>
      <w:tr>
        <w:tc>
          <w:tcPr>
            <w:tcW w:type="dxa" w:w="30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Session State</w:t>
            </w:r>
          </w:p>
        </w:tc>
        <w:tc>
          <w:tcPr>
            <w:tcW w:type="dxa" w:w="64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Streamlit's mechanism for persisting data (e.g. the uploaded image, results) across page re-runs and navigation</w:t>
            </w:r>
          </w:p>
        </w:tc>
      </w:tr>
    </w:tbl>
    <w:p>
      <w:pPr>
        <w:pStyle w:val="Heading1"/>
        <w:pBdr>
          <w:bottom w:val="single" w:color="00C4B4" w:sz="8" w:space="4"/>
        </w:pBdr>
        <w:spacing w:after="200" w:before="400"/>
      </w:pPr>
      <w:r>
        <w:rPr>
          <w:b/>
          <w:bCs/>
          <w:color w:val="1A2B4A"/>
        </w:rPr>
        <w:t xml:space="preserve">Appendix B — Module Reference Summary</w:t>
      </w:r>
    </w:p>
    <w:p>
      <w:pPr>
        <w:spacing w:after="160" w:line="276"/>
        <w:jc w:val="both"/>
      </w:pPr>
      <w:r>
        <w:rPr>
          <w:b w:val="false"/>
          <w:bCs w:val="false"/>
          <w:i w:val="false"/>
          <w:iCs w:val="false"/>
          <w:color w:val="222222"/>
          <w:sz w:val="22"/>
          <w:szCs w:val="22"/>
        </w:rPr>
        <w:t xml:space="preserve">A consolidated reference of every Python module in the project and the primary functions each one exposes, for readers who want a quick lookup while browsing the source code directly.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400"/>
      </w:tblGrid>
      <w:tr>
        <w:trPr>
          <w:tblHeader/>
        </w:trPr>
        <w:tc>
          <w:tcPr>
            <w:tcW w:type="dxa" w:w="2000"/>
            <w:shd w:fill="1A2B4A" w:color="auto" w:val="clear"/>
            <w:tcMar>
              <w:top w:type="dxa" w:w="80"/>
              <w:left w:type="dxa" w:w="100"/>
              <w:bottom w:type="dxa" w:w="80"/>
              <w:right w:type="dxa" w:w="100"/>
            </w:tcMar>
            <w:vAlign w:val="center"/>
          </w:tcPr>
          <w:p>
            <w:pPr>
              <w:jc w:val="left"/>
            </w:pPr>
            <w:r>
              <w:rPr>
                <w:b/>
                <w:bCs/>
                <w:color w:val="FFFFFF"/>
                <w:sz w:val="20"/>
                <w:szCs w:val="20"/>
              </w:rPr>
              <w:t xml:space="preserve">Module</w:t>
            </w:r>
          </w:p>
        </w:tc>
        <w:tc>
          <w:tcPr>
            <w:tcW w:type="dxa" w:w="3400"/>
            <w:shd w:fill="1A2B4A" w:color="auto" w:val="clear"/>
            <w:tcMar>
              <w:top w:type="dxa" w:w="80"/>
              <w:left w:type="dxa" w:w="100"/>
              <w:bottom w:type="dxa" w:w="80"/>
              <w:right w:type="dxa" w:w="100"/>
            </w:tcMar>
            <w:vAlign w:val="center"/>
          </w:tcPr>
          <w:p>
            <w:pPr>
              <w:jc w:val="left"/>
            </w:pPr>
            <w:r>
              <w:rPr>
                <w:b/>
                <w:bCs/>
                <w:color w:val="FFFFFF"/>
                <w:sz w:val="20"/>
                <w:szCs w:val="20"/>
              </w:rPr>
              <w:t xml:space="preserve">Key Functions / Data</w:t>
            </w:r>
          </w:p>
        </w:tc>
        <w:tc>
          <w:tcPr>
            <w:tcW w:type="dxa" w:w="3400"/>
            <w:shd w:fill="1A2B4A" w:color="auto" w:val="clear"/>
            <w:tcMar>
              <w:top w:type="dxa" w:w="80"/>
              <w:left w:type="dxa" w:w="100"/>
              <w:bottom w:type="dxa" w:w="80"/>
              <w:right w:type="dxa" w:w="100"/>
            </w:tcMar>
            <w:vAlign w:val="center"/>
          </w:tcPr>
          <w:p>
            <w:pPr>
              <w:jc w:val="left"/>
            </w:pPr>
            <w:r>
              <w:rPr>
                <w:b/>
                <w:bCs/>
                <w:color w:val="FFFFFF"/>
                <w:sz w:val="20"/>
                <w:szCs w:val="20"/>
              </w:rPr>
              <w:t xml:space="preserve">Role</w:t>
            </w:r>
          </w:p>
        </w:tc>
      </w:tr>
      <w:tr>
        <w:tc>
          <w:tcPr>
            <w:tcW w:type="dxa" w:w="20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app.py</w:t>
            </w:r>
          </w:p>
        </w:tc>
        <w:tc>
          <w:tcPr>
            <w:tcW w:type="dxa" w:w="34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Main Streamlit application</w:t>
            </w:r>
          </w:p>
        </w:tc>
        <w:tc>
          <w:tcPr>
            <w:tcW w:type="dxa" w:w="34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Page routing, layout, session-state management</w:t>
            </w:r>
          </w:p>
        </w:tc>
      </w:tr>
      <w:tr>
        <w:tc>
          <w:tcPr>
            <w:tcW w:type="dxa" w:w="20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factors.py</w:t>
            </w:r>
          </w:p>
        </w:tc>
        <w:tc>
          <w:tcPr>
            <w:tcW w:type="dxa" w:w="34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run_all_factors(), generate_recommendations()</w:t>
            </w:r>
          </w:p>
        </w:tc>
        <w:tc>
          <w:tcPr>
            <w:tcW w:type="dxa" w:w="34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Local computation of all ten quality factors and weights</w:t>
            </w:r>
          </w:p>
        </w:tc>
      </w:tr>
      <w:tr>
        <w:tc>
          <w:tcPr>
            <w:tcW w:type="dxa" w:w="20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factor_info.py</w:t>
            </w:r>
          </w:p>
        </w:tc>
        <w:tc>
          <w:tcPr>
            <w:tcW w:type="dxa" w:w="34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FACTOR_INFO</w:t>
            </w:r>
          </w:p>
        </w:tc>
        <w:tc>
          <w:tcPr>
            <w:tcW w:type="dxa" w:w="34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Definition / importance / formula / OCR impact / ideal range / owner per factor</w:t>
            </w:r>
          </w:p>
        </w:tc>
      </w:tr>
      <w:tr>
        <w:tc>
          <w:tcPr>
            <w:tcW w:type="dxa" w:w="20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descriptions.py</w:t>
            </w:r>
          </w:p>
        </w:tc>
        <w:tc>
          <w:tcPr>
            <w:tcW w:type="dxa" w:w="34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get_factor_description()</w:t>
            </w:r>
          </w:p>
        </w:tc>
        <w:tc>
          <w:tcPr>
            <w:tcW w:type="dxa" w:w="34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Long-form, score-dependent descriptive text per factor</w:t>
            </w:r>
          </w:p>
        </w:tc>
      </w:tr>
      <w:tr>
        <w:tc>
          <w:tcPr>
            <w:tcW w:type="dxa" w:w="20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short_descriptions.py</w:t>
            </w:r>
          </w:p>
        </w:tc>
        <w:tc>
          <w:tcPr>
            <w:tcW w:type="dxa" w:w="34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get_short_description()</w:t>
            </w:r>
          </w:p>
        </w:tc>
        <w:tc>
          <w:tcPr>
            <w:tcW w:type="dxa" w:w="34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Short, score-dependent caption text per factor</w:t>
            </w:r>
          </w:p>
        </w:tc>
      </w:tr>
      <w:tr>
        <w:tc>
          <w:tcPr>
            <w:tcW w:type="dxa" w:w="20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api_integration.py</w:t>
            </w:r>
          </w:p>
        </w:tc>
        <w:tc>
          <w:tcPr>
            <w:tcW w:type="dxa" w:w="34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call_all_team_apis(), get_current_urls()</w:t>
            </w:r>
          </w:p>
        </w:tc>
        <w:tc>
          <w:tcPr>
            <w:tcW w:type="dxa" w:w="34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Distributed API calls, KNOWN_ISSUES tracking</w:t>
            </w:r>
          </w:p>
        </w:tc>
      </w:tr>
      <w:tr>
        <w:tc>
          <w:tcPr>
            <w:tcW w:type="dxa" w:w="20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config_manager.py</w:t>
            </w:r>
          </w:p>
        </w:tc>
        <w:tc>
          <w:tcPr>
            <w:tcW w:type="dxa" w:w="34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load_config(), save_config(), build_urls()</w:t>
            </w:r>
          </w:p>
        </w:tc>
        <w:tc>
          <w:tcPr>
            <w:tcW w:type="dxa" w:w="34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Centralised PORTS / ENDPOINTS configuration</w:t>
            </w:r>
          </w:p>
        </w:tc>
      </w:tr>
      <w:tr>
        <w:tc>
          <w:tcPr>
            <w:tcW w:type="dxa" w:w="20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storage.py</w:t>
            </w:r>
          </w:p>
        </w:tc>
        <w:tc>
          <w:tcPr>
            <w:tcW w:type="dxa" w:w="34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save_result(), load_results(), compute_correlations(), save_uploaded_image()</w:t>
            </w:r>
          </w:p>
        </w:tc>
        <w:tc>
          <w:tcPr>
            <w:tcW w:type="dxa" w:w="34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Persistent history storage and analytics</w:t>
            </w:r>
          </w:p>
        </w:tc>
      </w:tr>
      <w:tr>
        <w:tc>
          <w:tcPr>
            <w:tcW w:type="dxa" w:w="20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report.py</w:t>
            </w:r>
          </w:p>
        </w:tc>
        <w:tc>
          <w:tcPr>
            <w:tcW w:type="dxa" w:w="34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generate_pdf_report()</w:t>
            </w:r>
          </w:p>
        </w:tc>
        <w:tc>
          <w:tcPr>
            <w:tcW w:type="dxa" w:w="3400"/>
            <w:shd w:fill="F8FAFC" w:color="auto" w:val="clear"/>
            <w:tcMar>
              <w:top w:type="dxa" w:w="80"/>
              <w:left w:type="dxa" w:w="100"/>
              <w:bottom w:type="dxa" w:w="80"/>
              <w:right w:type="dxa" w:w="100"/>
            </w:tcMar>
            <w:vAlign w:val="center"/>
          </w:tcPr>
          <w:p>
            <w:pPr>
              <w:jc w:val="left"/>
            </w:pPr>
            <w:r>
              <w:rPr>
                <w:b w:val="false"/>
                <w:bCs w:val="false"/>
                <w:color w:val="222222"/>
                <w:sz w:val="20"/>
                <w:szCs w:val="20"/>
              </w:rPr>
              <w:t xml:space="preserve">Assembles the downloadable PDF report</w:t>
            </w:r>
          </w:p>
        </w:tc>
      </w:tr>
      <w:tr>
        <w:tc>
          <w:tcPr>
            <w:tcW w:type="dxa" w:w="20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click_select_widget</w:t>
            </w:r>
          </w:p>
        </w:tc>
        <w:tc>
          <w:tcPr>
            <w:tcW w:type="dxa" w:w="34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click_select()</w:t>
            </w:r>
          </w:p>
        </w:tc>
        <w:tc>
          <w:tcPr>
            <w:tcW w:type="dxa" w:w="3400"/>
            <w:shd w:fill="FFFFFF" w:color="auto" w:val="clear"/>
            <w:tcMar>
              <w:top w:type="dxa" w:w="80"/>
              <w:left w:type="dxa" w:w="100"/>
              <w:bottom w:type="dxa" w:w="80"/>
              <w:right w:type="dxa" w:w="100"/>
            </w:tcMar>
            <w:vAlign w:val="center"/>
          </w:tcPr>
          <w:p>
            <w:pPr>
              <w:jc w:val="left"/>
            </w:pPr>
            <w:r>
              <w:rPr>
                <w:b w:val="false"/>
                <w:bCs w:val="false"/>
                <w:color w:val="222222"/>
                <w:sz w:val="20"/>
                <w:szCs w:val="20"/>
              </w:rPr>
              <w:t xml:space="preserve">Custom native &lt;select&gt; dropdown component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Page </w:t>
    </w:r>
    <w:r>
      <w:rPr>
        <w:color w:val="9CA3AF"/>
        <w:sz w:val="16"/>
        <w:szCs w:val="16"/>
      </w:rPr>
      <w:fldChar w:fldCharType="begin"/>
      <w:instrText xml:space="preserve">PAGE</w:instrText>
      <w:fldChar w:fldCharType="separate"/>
      <w:fldChar w:fldCharType="end"/>
    </w:r>
    <w:r>
      <w:rPr>
        <w:color w:val="9CA3AF"/>
        <w:sz w:val="16"/>
        <w:szCs w:val="16"/>
      </w:rPr>
      <w:t xml:space="preserve"> of </w:t>
    </w:r>
    <w:r>
      <w:rPr>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jc w:val="right"/>
    </w:pPr>
    <w:r>
      <w:rPr>
        <w:color w:val="9CA3AF"/>
        <w:sz w:val="16"/>
        <w:szCs w:val="16"/>
      </w:rPr>
      <w:t xml:space="preserve">OCR Readiness Evaluation Platform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2026-07-25T16:10:17.855Z</dcterms:created>
  <dcterms:modified xsi:type="dcterms:W3CDTF">2026-07-25T16:10:17.855Z</dcterms:modified>
</cp:coreProperties>
</file>

<file path=docProps/custom.xml><?xml version="1.0" encoding="utf-8"?>
<Properties xmlns="http://schemas.openxmlformats.org/officeDocument/2006/custom-properties" xmlns:vt="http://schemas.openxmlformats.org/officeDocument/2006/docPropsVTypes"/>
</file>