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Knowledge Repository Architecture and Operational Governance Specification for the Dayjoy AI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Base Taxonomy, Content Deduplication, and Terminology Standardization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knowledge repositories supporting direct-selling ecosystems require structured taxonomy frameworks to eliminate information redundancy, mitigate hallucination risks, and maintain regulatory compliance across distributed conversational interfaces. Dayjoy Marketing Pvt. Ltd., operating under the corporate umbrella of the Adila Group, spans multiple product sub-brands, operational domains, and regulatory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reliable semantic retrieval within a Retrieval-Augmented Generation (RAG) architecture, the knowledge base separates static informational assets into distinct, single-topic domain files while enforcing strict entity resolution rules across sub-brands.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organizational ecosystem encompasses eight primary product sub-brands: Asthprash, Curind, Wild Muse, YumDum, Homeshine, Domatti, HappyGrow, and Aayushmaan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Unstructured sales collateral, distributor promotional material, and external web listings frequently introduce terminology variations, such as conflating parent entity names or misspelling proprietary Ayurvedic formulations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Entity resolution algorithms normalize incoming query variations and unstructured document chunks into canonical representations before vector embeddings are generated.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material processing methodologies present a semantic boundary that requires precise standardization within the knowledge architecture. Technical documentation highlights that Dayjoy formulations utilize direct raw materials processed at proprietary manufacturing facilities, achieving higher potency compared to standard extract-based alternatives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knowledge base preserves this technical distinction across all semantic layers to prevent generative models from producing conflicting statements regarding raw material sourcing versus extract processing.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Canonical 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&amp; Variant Terms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Sub-Brand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Scope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Standardization Directive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Dayjoy Marketing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 Dayjoy Private Limited, DayJoy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Entity &amp;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 all corporate organizational references to "Dayjoy Marketing Pvt. Ltd."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Adila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Adila Agro, Adila Biotech, Adila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 Conglomerate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Holding Company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as the umbrella industrial group providing manufacturing backing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Curind Health, Curind Wellness, Curind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&amp; Nutraceuticals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Herbal Remedies, Supplements, Syrups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 all health and wellness supplement references under the "Curind" taxonomy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Wild Muse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WildMuse, Wild Muse Personal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Care &amp; Cosmetics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Hygiene, Skincare, Haircare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Categorize all topical care, hygiene, and grooming items under "Wild Muse"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Asthprash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Asthprash Herbal, Asthprash Paste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Wellness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Ayurvedic Immunity Formulation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as a standalone specialized wellness brand entity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YumDum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Yum Dum, YumDum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FMCG / Food Products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Ready-to-Eat, Beverages, Coffee, Pickles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all packaged food and instant beverage items under "YumDum"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Homeshine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 Shine, Homeshine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Household Cleaners, Detergents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all household maintenance and cleaning products under "Homeshine"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Domatti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Domatti Apparel, Domatti Clothing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Lifestyle &amp; Apparel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Textiles, Suit Fabrics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Classify all lifestyle and wearable textile products under "Domatti"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HappyGrow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Happygrow, Happy Grow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Agricultural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 Growth Regulators, Bio-inputs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all agricultural enhancement formulations under "HappyGrow"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Aayushmaan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Aayushman, Aayushmaan Food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 &amp; Staples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Spices, Edible Oils, Daily Tea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Categorize daily culinary essentials under "Aayushmaan"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vector database maintains isolated collections for each domain file. Entity resolution filters sanitize incoming queries prior to dense vector retrieval, ensuring distance metrics are computed exclusively against normalized, verified text chunks.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Data Gap Audit and Enterprise Domain Integration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historical data gaps requires a thorough integration of operational, regulatory, and product-specific datasets into the structured knowledge store. The executive management of Dayjoy Marketing Pvt. Ltd. is led by Managing Directors Mr. Anmol Agarwal and Mr. Divyansh Agarwal, with strategic business operations and market development directed by Vice President Mr. Gaurav Sharma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Central corporate operations are situated at A-780 Indra Vihar, Kota, Rajasthan - 324005, supported by formal customer support infrastructure reachable via support@[Link] and telephone line +91 77339 90555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manufacturing infrastructure forms a primary foundation for product quality validation. Products are manufactured in state-of-the-art facilities in North India holding comprehensive quality and safety accreditations: ISO, GMP, WHO-GMP, HACCP, FSSAI, FDA, and HALAL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certifications establish compliance for both domestic Indian distribution and international market expansion.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regulatory standpoint, Dayjoy Marketing Pvt. Ltd. maintains formal state registrations with Consumer Affairs Departments across multiple state jurisdictions, including Tamil Nadu, Telangana, Kerala, Himachal Pradesh, Punjab, Karnataka, Rajasthan, Andhra Pradesh, and New Delhi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compliance backing underpins the commercial compensation structure, aligning enterprise operations with direct-selling market growth metrics cited in industry reports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 &amp; Sub-Brand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Products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Manufacturing &amp; Form Factors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Function &amp; Application Scope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&amp; Certification Framework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Curind (Health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Adilive Tablet, Orthofix Tablet, Dibeat Tablet, Ayushkwath Tablet, Tulsi Drops, Ortho Oil, Pain Relief Gel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Solid tablets, liquid extracts, topical gels, herbal syrups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Liver support, joint mobility, blood sugar management, general immunity, pain management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FSSAI, ISO, GMP, WHO-GMP, Preclinical &amp; Clinical Trial Validated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Wild Muse (Personal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Sanitary Pads, Hair Shampoo, Body Wash, Body Lotion, Hair Oil, Bath Soap, Face Wash, Toothpaste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Topical liquids, creams, personal hygiene items, oral care pastes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hygiene, dermatological care, hair nourishment, oral hygiene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FDA, ISO, GMP, HALAL Certified, Dermatologically Tested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Asthprash (Specialized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Asthprash Herbal Paste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Concentrated herbal paste / Chyawanprash-style formulation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Respiratory wellness, seasonal immunity, family vitality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FSSAI, Ayush Compliance, WHO-GMP, Clinical Trial Backed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Homeshine (Home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Dishwash Bar &amp; Gel, Detergent Bar, Toilet Cleaner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Concentrated liquids, solid cleansing bars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Surface sanitation, dishwashing, fabric laundering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Safety Standards, ISO Certified Manufacturing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HappyGrow (Agriculture)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 Growth Regulators, Bio-enhancers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 concentrated soil and foliage formulations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Agricultural yield enhancement, plant stress recovery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 of Agriculture Standards, ISO Manufacturing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Aayushmaan (Daily Staples)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Tea, Ground Spices, Edible Oils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Packaged dry goods, cold-pressed / refined edible oils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Household daily culinary nutrition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FSSAI Certified, Agmark Quality Compliant, HACCP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YumDum (FMCG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Pickles, Instant Coffee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Preserved condiments, instant soluble beverage powders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Quick-service household consumption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FSSAI Approved, Food Safety HACCP Standards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Domatti (Apparel &amp; Textile)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Men's Suit Fabrics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High-grade woven textile fabrics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lifestyle wear and tailored apparel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 Quality Compliance Standards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these structured attributes into the vector database metadata guarantees that generated responses contain verified regulatory, organizational, and product details. Contextual retrieval pipelines filter documents using metadata constraints to prevent cross-brand information leakage.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Governance, Behavioral Guidelines, and Guardrails Framework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agents within the Dayjoy AI Ecosystem adhere to strict behavioral boundaries, embodying direct-selling principles while enforcing legal and health safeguards. System tone remains professional, empathetic, encouraging, and grounded in empirical facts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retail consumers, communications emphasize natural purity, scientific research, state-of-the-art manufacturing quality, and general family wellness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independent distributors, communications focus on leadership development, business compensation rules, transparent operational guidelines, and ethical network building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safety relies on real-time guardrail evaluation classifiers operating prior to context generation and output synthesis. When evaluating incoming user prompts, guardrail classifiers determine intent risk levels across health claims, earnings projections, and support grievances.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Medical and health claims require strict governance. System guardrails forbid the conversational AI from diagnosing medical conditions, providing treatment regimens, or asserting guaranteed disease cures. Formulations within the Curind and Asthprash sub-brands—including Dibeat Tablet, Orthofix Tablet, and Asthprash paste—must be presented strictly as herbal dietary supplements, wellness aids, or Ayurvedic supportive measures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Although documentation confirms that products undergo preclinical, clinical, and human trials, responses must emphasize that supplements support natural bodily functions and do not substitute for professional medical intervention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business and income representations must adhere to direct-selling transparency standards. When responding to inquiries regarding the Dayjoy Business Compensation Plan, the agent is prohibited from projecting guaranteed incomes, effortless passive returns, or fixed earnings timelines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All financial representations must highlight individual effort, sales performance, Business Volume (BV) accumulation, team building, and strict adherence to direct-selling guidelines published by state Consumer Affairs Departments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Fallback handling and human escalation protocols trigger automatically when conversational ambiguity or user risk metrics exceed defined tolerances. Escalation sensitivity is governed by a multi-variable risk scoring model, expressed as: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462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61462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formulation, </w:t>
      </w:r>
      <w:r w:rsidDel="00000000" w:rsidR="00000000" w:rsidRPr="00000000">
        <w:rPr>
          <w:rFonts w:ascii="Google Sans" w:cs="Google Sans" w:eastAsia="Google Sans" w:hAnsi="Google Sans"/>
          <w:color w:val="1f1f1f"/>
        </w:rPr>
        <w:drawing>
          <wp:inline distB="19050" distT="19050" distL="19050" distR="19050">
            <wp:extent cx="425648" cy="243228"/>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25648" cy="2432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intent classification confidence score (</w:t>
      </w:r>
      <w:r w:rsidDel="00000000" w:rsidR="00000000" w:rsidRPr="00000000">
        <w:rPr>
          <w:rFonts w:ascii="Google Sans" w:cs="Google Sans" w:eastAsia="Google Sans" w:hAnsi="Google Sans"/>
          <w:color w:val="1f1f1f"/>
        </w:rPr>
        <w:drawing>
          <wp:inline distB="19050" distT="19050" distL="19050" distR="19050">
            <wp:extent cx="1144314" cy="24412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44314" cy="2441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19495" cy="242356"/>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19495" cy="242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detected user frustration metric (</w:t>
      </w:r>
      <w:r w:rsidDel="00000000" w:rsidR="00000000" w:rsidRPr="00000000">
        <w:rPr>
          <w:rFonts w:ascii="Google Sans" w:cs="Google Sans" w:eastAsia="Google Sans" w:hAnsi="Google Sans"/>
          <w:color w:val="1f1f1f"/>
        </w:rPr>
        <w:drawing>
          <wp:inline distB="19050" distT="19050" distL="19050" distR="19050">
            <wp:extent cx="1438161" cy="24479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38161" cy="244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34152" cy="242662"/>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34152" cy="242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binary indicator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flagging potential regulatory or medical violations. The model applies weights set at </w:t>
      </w:r>
      <w:r w:rsidDel="00000000" w:rsidR="00000000" w:rsidRPr="00000000">
        <w:rPr>
          <w:rFonts w:ascii="Google Sans" w:cs="Google Sans" w:eastAsia="Google Sans" w:hAnsi="Google Sans"/>
          <w:color w:val="1f1f1f"/>
        </w:rPr>
        <w:drawing>
          <wp:inline distB="19050" distT="19050" distL="19050" distR="19050">
            <wp:extent cx="730448" cy="24348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30448" cy="243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30448" cy="243483"/>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30448" cy="243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30448" cy="243483"/>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730448" cy="243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t>
      </w:r>
      <w:r w:rsidDel="00000000" w:rsidR="00000000" w:rsidRPr="00000000">
        <w:rPr>
          <w:rFonts w:ascii="Google Sans" w:cs="Google Sans" w:eastAsia="Google Sans" w:hAnsi="Google Sans"/>
          <w:color w:val="1f1f1f"/>
        </w:rPr>
        <w:drawing>
          <wp:inline distB="19050" distT="19050" distL="19050" distR="19050">
            <wp:extent cx="992743" cy="244368"/>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992743" cy="244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conversational agent interrupts standard automated generation, provides a polite transition message, presents direct contact details for corporate support—email support@[Link] and telephone line +91 77339 90555—and dispatches the conversation transcript to the support management queue at the Kota headquarters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Persona Taxonomy and Interaction Architectures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deliver targeted responses across varied user segments, the conversational ecosystem implements role-aware interaction patterns. The system classifies users into three primary personas: Retail Customers, Independent Distributors, and Internal Staff.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Customers interact primarily through public web portals, mobile apps, and messaging endpoints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Their inquiries center on product features, ingredient origins, usage guidelines, pricing, and order tracking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They require accessible, clear explanations emphasizing product safety, zero side effects, natural processing, and regulatory certifications (FSSAI, ISO, HALAL)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Distributors interact via secure distributor portals and partner applications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require technical details regarding the business compensation plan, Business Volume (BV) calculations, multi-state compliance registrations, downline management, and leadership announcements from executive management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Interaction patterns demand precise terminology regarding commercial structures, promotional assets, and direct-selling guidelines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Staff members, including support specialists, warehouse personnel, and compliance officers, access the platform through administrative consoles. Their interaction pattern requires rapid context lookup, backend API manipulation, verification of state filings, inventory checking, and review of escalated ticket logs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Persona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Touchpoints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Intent Scope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Accessible Knowledge Domains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RBAC Tier &amp; System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Retail Customer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Chat, Android App, WhatsApp, Public Portal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features, usage instructions, retail pricing, order tracking, general FAQs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Knowledge Base, Unauthenticated Catalogs, Individual Order Tracking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Level 1 (Public Read-Only)</w:t>
            </w:r>
            <w:r w:rsidDel="00000000" w:rsidR="00000000" w:rsidRPr="00000000">
              <w:rPr>
                <w:rFonts w:ascii="Google Sans" w:cs="Google Sans" w:eastAsia="Google Sans" w:hAnsi="Google Sans"/>
                <w:color w:val="1f1f1f"/>
                <w:rtl w:val="0"/>
              </w:rPr>
              <w:t xml:space="preserve">: Restricted from viewing distributor margins, BV rules, and internal metrics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Distributor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Portal, Mobile App, Partner Interfaces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Compensation plan, BV mechanics, onboarding requirements, lead submission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Knowledge Base, Business Plan Rules, BV Catalogs, Downline Status APIs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Level 2 (Partner Authenticated)</w:t>
            </w:r>
            <w:r w:rsidDel="00000000" w:rsidR="00000000" w:rsidRPr="00000000">
              <w:rPr>
                <w:rFonts w:ascii="Google Sans" w:cs="Google Sans" w:eastAsia="Google Sans" w:hAnsi="Google Sans"/>
                <w:color w:val="1f1f1f"/>
                <w:rtl w:val="0"/>
              </w:rPr>
              <w:t xml:space="preserve">: Access to commercial structures, downline tracking, and business tools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Staff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Console, Operations Dashboard,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escalation, ticket resolution, inventory management, regulatory verification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Enterprise KB, Operational Databases, Regulatory Archives, Ticket Management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Level 3 (Administrative Write/Execute)</w:t>
            </w:r>
            <w:r w:rsidDel="00000000" w:rsidR="00000000" w:rsidRPr="00000000">
              <w:rPr>
                <w:rFonts w:ascii="Google Sans" w:cs="Google Sans" w:eastAsia="Google Sans" w:hAnsi="Google Sans"/>
                <w:color w:val="1f1f1f"/>
                <w:rtl w:val="0"/>
              </w:rPr>
              <w:t xml:space="preserve">: Full operational access to knowledge structures and system controls.</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Role-Based Access Control (RBAC) is enforced during context assembly. Authentication tokens passed with incoming requests constrain the RAG engine to retrieve context exclusively from vector collections authorized for that user's RBAC tier.</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Conversational Workflow Protocols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interaction journeys are organized into five core operational workflows. These workflows coordinate static semantic retrieval with dynamic microservice tool execution to fulfill user intents deterministically.</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1: Product Discovery and Lead Capture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discovery begins when a user submits an inquiry regarding product benefits or specifications, such as requesting details on Asthprash ingredients or certification standards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conversational pipeline routes the query to the RAG vector engine, retrieving chunks containing product specifications, direct raw material processing methodologies, and quality certifications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model generates a response highlighting natural sourcing, safety profiles, and clinical backing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user expresses purchasing intent or requests local distributor contacts, the system transitions to lead capture mode. It prompts the user for their name, contact phone number, preferred product category, and geographic location. Upon receipt, the system validates the input formats and executes the create_lead dynamic API tool, transmitting the lead payload to the CRM database for regional assignment.</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2: Distributor Onboarding and KYC Verification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 onboarding initiates when a prospective partner requests information on joining the direct-selling network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system retrieves overview documents explaining the Dayjoy Business Compensation Plan, legal compliance across state Consumer Affairs Departments, and enterprise leadership visions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agent provides a structured summary emphasizing ethical business building and skill development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user confirmation to proceed, the system requests required Know Your Customer (KYC) documentation: Full Legal Name, Permanent Account Number (PAN), Aadhaar Number, Bank Account Details, and Sponsor Distributor 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agent invokes the verify_kyc_data API tool to validate document numbers against verification databases. Once validated, the system calls register_distributor, creating the distributor profile, generating a unique ID, and dispatching onboarding materials.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3: Complaint Handling and Support Escalation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Complaint resolution starts when a user submits a grievance regarding damaged shipments, delivery delays, or product issues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pipeline evaluates sentiment metrics and intent severity. If the issue involves health concerns or high frustration, the escalation risk score </w:t>
      </w:r>
      <w:r w:rsidDel="00000000" w:rsidR="00000000" w:rsidRPr="00000000">
        <w:rPr>
          <w:rFonts w:ascii="Google Sans" w:cs="Google Sans" w:eastAsia="Google Sans" w:hAnsi="Google Sans"/>
          <w:color w:val="1f1f1f"/>
        </w:rPr>
        <w:drawing>
          <wp:inline distB="19050" distT="19050" distL="19050" distR="19050">
            <wp:extent cx="383024" cy="245135"/>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83024" cy="245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triggering priority handling.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prompts the user for their Order ID, product batch code, and a description of the issue. Once collected, the agent executes the create_support_ticket API tool, registering a formal ticket in the support queue at the Kota corporate office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agent returns the generated Ticket Reference ID, outlines expected resolution timelines, and provides corporate contact details (+91 77339 90555 and support@[Link]) for urgent follow-ups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4: Expert Consultation and Appointment Scheduling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Expert consultation workflows handle requests for specialized guidance in wellness, nutrition, or agricultural applications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user asks for professional advice—such as application instructions for HappyGrow agricultural inputs or personalized dietary supplement usage—the system identifies the consultation sub-domain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calls the check_expert_availability API tool, querying schedule databases for certified consultants or technical specialists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agent presents available time slots to the user in a clear list. Once the user selects a preferred time, the system invokes book_consultation_appointment, logs the booking in the scheduling system, dispatches a confirmation payload, and sends appointment reminders via SMS or email.</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5: Order Tracking and Fulfillment Status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tracking activates when a user inquires about package delivery status or shipment progress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agent identifies the tracking intent and requests the relevant Order ID or registered mobile phone number.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receiving the identifier, the agent invokes the fetch_order_status API tool, connecting to the fulfillment management system. The tool returns a JSON payload containing shipping status, courier tracking numbers, dispatch dates, and estimated delivery times. The model synthesizes this structured payload into a clear status summary, provides direct tracking links, and offers additional assistance if delays are detected.</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Tool Boundaries: Static Knowledge Base vs Dynamic API Tools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strict architectural separation between static knowledge retrieval and dynamic API execution is critical for system security and output reliability. Static knowledge bases handle non-volatile information—such as brand history, raw material methodologies, compensation plan structures, and regulatory filings—using vector embeddings and RAG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Dynamic tools execute state mutations and fetch real-time operational data via authenticated RESTful API microservices.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models process static knowledge via retrieved context blocks but are restricted from mutating backend system states through natural language generation alone. Conversational agents perform database updates or dynamic lookups strictly by emitting structured function calls evaluated and executed by secure middleware.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Capability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Executing System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Parameter Payload Schema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Authorization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Specification 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Knowledge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Search Engine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vector embeddings, Sub-brand filter metadata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 Level 1 Access.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Governance Overview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Knowledge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Search Engine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metadata tags, Entity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 Level 1 Access.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Compensation Plan Explanation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Knowledge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Search Engine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plan vectors, BV rule chunks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Authenticated / Level 2 Access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Real-Time Order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API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fetch_order_status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"order_id": "String", "registered_phone": "String"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OAuth2 Bearer Token.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Distributor Onboarding / KYC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API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register_distributor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"pan": "String", "aadhaar": "String", "sponsor_id": "String"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TLS 1.3 / Mutual TLS Authentication.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 Ticket 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API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create_support_ticket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"user_id": "String", "category": "String", "details": "String"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HMAC Signed Session Call.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Consultation Scheduling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API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book_appointment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"user_id": "String", "expert_id": "String", "slot_time": "ISO-8601"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OAuth2 Authenticated Session.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Warehouse Inventory 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API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check_inventory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"sku_id": "String", "delivery_pincode": "Integer"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Microservice API Key.</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architectural boundary guarantees that deterministic transactional operations (such as financial logging, order updates, and user registration) remain isolated from generative context windows, preventing data corruption and unauthorized actions.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Audit, Validation Matrix, and Master Repository Readiness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deployment within production environments, the Dayjoy AI Ecosystem knowledge repository undergoes rigorous validation auditing. The verification framework evaluates content accuracy, entity classification precision, regulatory alignment across state jurisdictions, guardrail enforcement rates, and API tool execution safety.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protocols combine automated unit testing for microservice APIs with benchmark evaluation datasets for RAG generation quality. Red-teaming suites subject the platform to adversarial prompts—including attempts to extract medical guarantees, generate unverified income claims, or trigger unauthorized data access—ensuring safety compliance prior to public launch.</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Readiness Result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&amp; Validation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&amp; Leadership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Precision Score (</w:t>
            </w:r>
            <w:r w:rsidDel="00000000" w:rsidR="00000000" w:rsidRPr="00000000">
              <w:rPr>
                <w:rFonts w:ascii="Google Sans" w:cs="Google Sans" w:eastAsia="Google Sans" w:hAnsi="Google Sans"/>
                <w:color w:val="1f1f1f"/>
              </w:rPr>
              <w:drawing>
                <wp:inline distB="19050" distT="19050" distL="19050" distR="19050">
                  <wp:extent cx="489823" cy="209924"/>
                  <wp:effectExtent b="0" l="0" r="0" t="0"/>
                  <wp:docPr id="1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89823" cy="209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Accurately maps MDs Anmol Agarwal and Divyansh Agarwal, VP Gaurav Sharma, and Kota HQ contact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Sub-Brand Taxonomy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Classification Accuracy (</w:t>
            </w:r>
            <w:r w:rsidDel="00000000" w:rsidR="00000000" w:rsidRPr="00000000">
              <w:rPr>
                <w:rFonts w:ascii="Google Sans" w:cs="Google Sans" w:eastAsia="Google Sans" w:hAnsi="Google Sans"/>
                <w:color w:val="1f1f1f"/>
              </w:rPr>
              <w:drawing>
                <wp:inline distB="19050" distT="19050" distL="19050" distR="19050">
                  <wp:extent cx="403265" cy="209387"/>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03265" cy="209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semantic isolation across all 8 sub-brands (Curind, Wild Muse, Asthprash, YumDum, Homeshine, Domatti, HappyGrow, Aayushmaan)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Manufacturing Claims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 Matching against Audit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that potency claims reference direct raw material processing in North India facilities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Quality &amp; Safety Accreditation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Key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Confirms ISO, GMP, WHO-GMP, HACCP, FSSAI, FDA, and HALAL accreditations across product vectors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Regulatory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Mapping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Aligns direct-selling operations with Consumer Affairs Department registrations in TN, Telangana, Kerala, HP, Punjab, Karnataka, Rajasthan, AP, Delhi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Medical Safety Guardrails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Adverse Prompt Failure Rate (</w:t>
            </w:r>
            <w:r w:rsidDel="00000000" w:rsidR="00000000" w:rsidRPr="00000000">
              <w:rPr>
                <w:rFonts w:ascii="Google Sans" w:cs="Google Sans" w:eastAsia="Google Sans" w:hAnsi="Google Sans"/>
                <w:color w:val="1f1f1f"/>
              </w:rPr>
              <w:drawing>
                <wp:inline distB="19050" distT="19050" distL="19050" distR="19050">
                  <wp:extent cx="364927" cy="209639"/>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64927" cy="209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complete block on diagnostic or curative assertions for Curind and Asthprash products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Compensation Plan Guardrails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Earnings Disclaimer Injection (</w:t>
            </w:r>
            <w:r w:rsidDel="00000000" w:rsidR="00000000" w:rsidRPr="00000000">
              <w:rPr>
                <w:rFonts w:ascii="Google Sans" w:cs="Google Sans" w:eastAsia="Google Sans" w:hAnsi="Google Sans"/>
                <w:color w:val="1f1f1f"/>
              </w:rPr>
              <w:drawing>
                <wp:inline distB="19050" distT="19050" distL="19050" distR="19050">
                  <wp:extent cx="403265" cy="209387"/>
                  <wp:effectExtent b="0" l="0" r="0" t="0"/>
                  <wp:docPr id="1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03265" cy="209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Injects mandatory compliance disclaimers on all business plan generation contexts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API Microservices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&amp; Response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Validated payload schemas, response latencies (</w:t>
            </w:r>
            <w:r w:rsidDel="00000000" w:rsidR="00000000" w:rsidRPr="00000000">
              <w:rPr>
                <w:rFonts w:ascii="Google Sans" w:cs="Google Sans" w:eastAsia="Google Sans" w:hAnsi="Google Sans"/>
                <w:color w:val="1f1f1f"/>
              </w:rPr>
              <w:drawing>
                <wp:inline distB="19050" distT="19050" distL="19050" distR="19050">
                  <wp:extent cx="654010" cy="205329"/>
                  <wp:effectExtent b="0" l="0" r="0" t="0"/>
                  <wp:docPr id="1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54010" cy="205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authentication headers across core tools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finalized knowledge repository establishes an enterprise-grade operational foundation for the Dayjoy AI Ecosystem. By combining structured RAG retrieval pipelines with secure API microservices and rigorous safety governance, the architecture delivers reliable, compliant, and contextually accurate performance across all touchpoints.</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Selling Association Members - FIDSI, </w:t>
      </w:r>
      <w:hyperlink r:id="rId23">
        <w:r w:rsidDel="00000000" w:rsidR="00000000" w:rsidRPr="00000000">
          <w:rPr>
            <w:rFonts w:ascii="Google Sans" w:cs="Google Sans" w:eastAsia="Google Sans" w:hAnsi="Google Sans"/>
            <w:color w:val="0000ee"/>
            <w:sz w:val="24"/>
            <w:szCs w:val="24"/>
            <w:u w:val="single"/>
            <w:rtl w:val="0"/>
          </w:rPr>
          <w:t xml:space="preserve">https://fidsi.in/members.html</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Dayjoy ProductBrochure English | PDF - Scribd,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https://www.scribd.com/document/771252691/Dayjoy-ProductBrochure-English</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Dayjoy BusinessCompensationPlan | PDF - Scribd,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https://www.scribd.com/document/810152627/Dayjoy-BusinessCompensationPlan</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TEACHER DIDI DAYJOY on Strikingly, </w:t>
      </w:r>
      <w:hyperlink r:id="rId26">
        <w:r w:rsidDel="00000000" w:rsidR="00000000" w:rsidRPr="00000000">
          <w:rPr>
            <w:rFonts w:ascii="Google Sans" w:cs="Google Sans" w:eastAsia="Google Sans" w:hAnsi="Google Sans"/>
            <w:color w:val="0000ee"/>
            <w:sz w:val="24"/>
            <w:szCs w:val="24"/>
            <w:u w:val="single"/>
            <w:rtl w:val="0"/>
          </w:rPr>
          <w:t xml:space="preserve">https://teacherdidi.mystrikingly.com/</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Adilive Tablet Supplier, Trader from Odisha, </w:t>
      </w:r>
      <w:hyperlink r:id="rId27">
        <w:r w:rsidDel="00000000" w:rsidR="00000000" w:rsidRPr="00000000">
          <w:rPr>
            <w:rFonts w:ascii="Google Sans" w:cs="Google Sans" w:eastAsia="Google Sans" w:hAnsi="Google Sans"/>
            <w:color w:val="0000ee"/>
            <w:sz w:val="24"/>
            <w:szCs w:val="24"/>
            <w:u w:val="single"/>
            <w:rtl w:val="0"/>
          </w:rPr>
          <w:t xml:space="preserve">https://mustafirbeg.tradeindia.com/adilive-tablet-7563765.html</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Dayjoy Business Plan By Gaurav Sharma | India No. 1 Direct Selling Company Dayjoy, </w:t>
      </w:r>
      <w:hyperlink r:id="rId28">
        <w:r w:rsidDel="00000000" w:rsidR="00000000" w:rsidRPr="00000000">
          <w:rPr>
            <w:rFonts w:ascii="Google Sans" w:cs="Google Sans" w:eastAsia="Google Sans" w:hAnsi="Google Sans"/>
            <w:color w:val="0000ee"/>
            <w:sz w:val="24"/>
            <w:szCs w:val="24"/>
            <w:u w:val="single"/>
            <w:rtl w:val="0"/>
          </w:rPr>
          <w:t xml:space="preserve">https://www.youtube.com/watch?v=m1qU0mUW6XM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hyperlink" Target="https://www.scribd.com/document/771252691/Dayjoy-ProductBrochure-English" TargetMode="External"/><Relationship Id="rId23" Type="http://schemas.openxmlformats.org/officeDocument/2006/relationships/hyperlink" Target="https://fidsi.in/member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teacherdidi.mystrikingly.com/" TargetMode="External"/><Relationship Id="rId25" Type="http://schemas.openxmlformats.org/officeDocument/2006/relationships/hyperlink" Target="https://www.scribd.com/document/810152627/Dayjoy-BusinessCompensationPlan" TargetMode="External"/><Relationship Id="rId28" Type="http://schemas.openxmlformats.org/officeDocument/2006/relationships/hyperlink" Target="https://www.youtube.com/watch?v=m1qU0mUW6XM" TargetMode="External"/><Relationship Id="rId27" Type="http://schemas.openxmlformats.org/officeDocument/2006/relationships/hyperlink" Target="https://mustafirbeg.tradeindia.com/adilive-tablet-7563765.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