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0" w:before="600" w:lineRule="auto"/>
        <w:jc w:val="center"/>
        <w:rPr/>
      </w:pPr>
      <w:r w:rsidDel="00000000" w:rsidR="00000000" w:rsidRPr="00000000">
        <w:rPr>
          <w:rFonts w:ascii="Calibri" w:cs="Calibri" w:eastAsia="Calibri" w:hAnsi="Calibri"/>
          <w:b w:val="1"/>
          <w:color w:val="1f3864"/>
          <w:sz w:val="40"/>
          <w:szCs w:val="40"/>
          <w:rtl w:val="0"/>
        </w:rPr>
        <w:t xml:space="preserve">A COMPARATIVE STUDY OF CORPORATE GOVERNANCE PRACTICES</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rFonts w:ascii="Calibri" w:cs="Calibri" w:eastAsia="Calibri" w:hAnsi="Calibri"/>
          <w:b w:val="1"/>
          <w:color w:val="2e74b5"/>
          <w:sz w:val="34"/>
          <w:szCs w:val="34"/>
          <w:rtl w:val="0"/>
        </w:rPr>
        <w:t xml:space="preserve">IN SELECTED INDIAN COMPANIES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i w:val="1"/>
          <w:color w:val="595959"/>
          <w:sz w:val="22"/>
          <w:szCs w:val="22"/>
          <w:rtl w:val="0"/>
        </w:rPr>
        <w:t xml:space="preserve">(A study of Tata Consultancy Services, Reliance Industries, Infosys, HDFC Bank and ITC Limited)</w:t>
      </w:r>
      <w:r w:rsidDel="00000000" w:rsidR="00000000" w:rsidRPr="00000000">
        <w:rPr>
          <w:rtl w:val="0"/>
        </w:rPr>
      </w:r>
    </w:p>
    <w:p w:rsidR="00000000" w:rsidDel="00000000" w:rsidP="00000000" w:rsidRDefault="00000000" w:rsidRPr="00000000" w14:paraId="00000004">
      <w:pPr>
        <w:spacing w:after="100" w:before="700" w:lineRule="auto"/>
        <w:jc w:val="center"/>
        <w:rPr/>
      </w:pPr>
      <w:r w:rsidDel="00000000" w:rsidR="00000000" w:rsidRPr="00000000">
        <w:rPr>
          <w:rFonts w:ascii="Calibri" w:cs="Calibri" w:eastAsia="Calibri" w:hAnsi="Calibri"/>
          <w:sz w:val="22"/>
          <w:szCs w:val="22"/>
          <w:rtl w:val="0"/>
        </w:rPr>
        <w:t xml:space="preserve">A Project Report Submitted in Partial Fulfilment of the Requirements of</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Calibri" w:cs="Calibri" w:eastAsia="Calibri" w:hAnsi="Calibri"/>
          <w:b w:val="1"/>
          <w:sz w:val="24"/>
          <w:szCs w:val="24"/>
          <w:rtl w:val="0"/>
        </w:rPr>
        <w:t xml:space="preserve">BACHELOR OF COMMERCE (HONOURS)</w:t>
      </w:r>
      <w:r w:rsidDel="00000000" w:rsidR="00000000" w:rsidRPr="00000000">
        <w:rPr>
          <w:rtl w:val="0"/>
        </w:rPr>
      </w:r>
    </w:p>
    <w:p w:rsidR="00000000" w:rsidDel="00000000" w:rsidP="00000000" w:rsidRDefault="00000000" w:rsidRPr="00000000" w14:paraId="00000006">
      <w:pPr>
        <w:spacing w:before="700" w:lineRule="auto"/>
        <w:rPr/>
      </w:pPr>
      <w:r w:rsidDel="00000000" w:rsidR="00000000" w:rsidRPr="00000000">
        <w:rPr>
          <w:rtl w:val="0"/>
        </w:rPr>
      </w:r>
    </w:p>
    <w:tbl>
      <w:tblPr>
        <w:tblStyle w:val="Table1"/>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3200"/>
        <w:tblGridChange w:id="0">
          <w:tblGrid>
            <w:gridCol w:w="2800"/>
            <w:gridCol w:w="3200"/>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Calibri" w:cs="Calibri" w:eastAsia="Calibri" w:hAnsi="Calibri"/>
                <w:b w:val="1"/>
                <w:sz w:val="22"/>
                <w:szCs w:val="22"/>
                <w:rtl w:val="0"/>
              </w:rPr>
              <w:t xml:space="preserve">Submitted by:</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Calibri" w:cs="Calibri" w:eastAsia="Calibri" w:hAnsi="Calibri"/>
                <w:sz w:val="22"/>
                <w:szCs w:val="22"/>
                <w:rtl w:val="0"/>
              </w:rPr>
              <w:t xml:space="preserve">Yashraj Tomar</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Fonts w:ascii="Calibri" w:cs="Calibri" w:eastAsia="Calibri" w:hAnsi="Calibri"/>
                <w:b w:val="1"/>
                <w:sz w:val="22"/>
                <w:szCs w:val="22"/>
                <w:rtl w:val="0"/>
              </w:rPr>
              <w:t xml:space="preserve">Roll Number:</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Calibri" w:cs="Calibri" w:eastAsia="Calibri" w:hAnsi="Calibri"/>
                <w:sz w:val="22"/>
                <w:szCs w:val="22"/>
                <w:rtl w:val="0"/>
              </w:rPr>
              <w:t xml:space="preserve">2024/0016</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sz w:val="22"/>
                <w:szCs w:val="22"/>
                <w:rtl w:val="0"/>
              </w:rPr>
              <w:t xml:space="preserve">Programme: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B.Com (Hons.)</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sz w:val="22"/>
                <w:szCs w:val="22"/>
                <w:rtl w:val="0"/>
              </w:rPr>
              <w:t xml:space="preserve">Academic Year:</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2025-26</w:t>
            </w:r>
            <w:r w:rsidDel="00000000" w:rsidR="00000000" w:rsidRPr="00000000">
              <w:rPr>
                <w:rtl w:val="0"/>
              </w:rPr>
            </w:r>
          </w:p>
        </w:tc>
      </w:tr>
    </w:tbl>
    <w:p w:rsidR="00000000" w:rsidDel="00000000" w:rsidP="00000000" w:rsidRDefault="00000000" w:rsidRPr="00000000" w14:paraId="0000000F">
      <w:pPr>
        <w:spacing w:before="900" w:lineRule="auto"/>
        <w:jc w:val="left"/>
        <w:rPr/>
      </w:pPr>
      <w:r w:rsidDel="00000000" w:rsidR="00000000" w:rsidRPr="00000000">
        <w:rPr>
          <w:rtl w:val="0"/>
        </w:rPr>
      </w:r>
    </w:p>
    <w:p w:rsidR="00000000" w:rsidDel="00000000" w:rsidP="00000000" w:rsidRDefault="00000000" w:rsidRPr="00000000" w14:paraId="00000010">
      <w:pPr>
        <w:spacing w:before="100" w:lineRule="auto"/>
        <w:jc w:val="center"/>
        <w:rPr/>
        <w:sectPr>
          <w:pgSz w:h="16838" w:w="11906" w:orient="portrait"/>
          <w:pgMar w:bottom="1440" w:top="1440" w:left="1440" w:right="1440" w:header="708" w:footer="708"/>
          <w:pgNumType w:start="1"/>
        </w:sectPr>
      </w:pPr>
      <w:r w:rsidDel="00000000" w:rsidR="00000000" w:rsidRPr="00000000">
        <w:rPr>
          <w:rFonts w:ascii="Calibri" w:cs="Calibri" w:eastAsia="Calibri" w:hAnsi="Calibri"/>
          <w:i w:val="1"/>
          <w:color w:val="595959"/>
          <w:sz w:val="20"/>
          <w:szCs w:val="20"/>
          <w:rtl w:val="0"/>
        </w:rPr>
        <w:t xml:space="preserve">[Shaheed Bhagat Singh College / Delhi University]</w:t>
      </w:r>
      <w:r w:rsidDel="00000000" w:rsidR="00000000" w:rsidRPr="00000000">
        <w:rPr>
          <w:rtl w:val="0"/>
        </w:rPr>
      </w:r>
    </w:p>
    <w:p w:rsidR="00000000" w:rsidDel="00000000" w:rsidP="00000000" w:rsidRDefault="00000000" w:rsidRPr="00000000" w14:paraId="00000011">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Certificate</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rFonts w:ascii="Calibri" w:cs="Calibri" w:eastAsia="Calibri" w:hAnsi="Calibri"/>
          <w:b w:val="0"/>
          <w:i w:val="0"/>
          <w:sz w:val="22"/>
          <w:szCs w:val="22"/>
          <w:rtl w:val="0"/>
        </w:rPr>
        <w:t xml:space="preserve">This is to certify that the project report titled “A Comparative Study of Corporate Governance Practices in Selected Indian Companies” has been prepared by Yashraj Tomar (Roll No. 2024/0016), a student of B.Com (Hons.), under my guidance and supervision, in partial fulfilment of the requirements for the Company Secretarial (CS) Practice component of the programme.</w:t>
      </w:r>
      <w:r w:rsidDel="00000000" w:rsidR="00000000" w:rsidRPr="00000000">
        <w:rPr>
          <w:rtl w:val="0"/>
        </w:rPr>
      </w:r>
    </w:p>
    <w:p w:rsidR="00000000" w:rsidDel="00000000" w:rsidP="00000000" w:rsidRDefault="00000000" w:rsidRPr="00000000" w14:paraId="00000013">
      <w:pPr>
        <w:spacing w:after="160" w:line="300" w:lineRule="auto"/>
        <w:jc w:val="both"/>
        <w:rPr/>
      </w:pPr>
      <w:r w:rsidDel="00000000" w:rsidR="00000000" w:rsidRPr="00000000">
        <w:rPr>
          <w:rFonts w:ascii="Calibri" w:cs="Calibri" w:eastAsia="Calibri" w:hAnsi="Calibri"/>
          <w:b w:val="0"/>
          <w:i w:val="0"/>
          <w:sz w:val="22"/>
          <w:szCs w:val="22"/>
          <w:rtl w:val="0"/>
        </w:rPr>
        <w:t xml:space="preserve">The work embodied in this project is the original work of the student, carried out over the course of one month, and has not been submitted elsewhere for the award of any degree or diploma. The project is found satisfactory and is forwarded for evaluation.</w:t>
      </w:r>
      <w:r w:rsidDel="00000000" w:rsidR="00000000" w:rsidRPr="00000000">
        <w:rPr>
          <w:rtl w:val="0"/>
        </w:rPr>
      </w:r>
    </w:p>
    <w:p w:rsidR="00000000" w:rsidDel="00000000" w:rsidP="00000000" w:rsidRDefault="00000000" w:rsidRPr="00000000" w14:paraId="00000014">
      <w:pPr>
        <w:spacing w:after="60" w:lineRule="auto"/>
        <w:jc w:val="center"/>
        <w:rPr/>
      </w:pPr>
      <w:r w:rsidDel="00000000" w:rsidR="00000000" w:rsidRPr="00000000">
        <w:rPr>
          <w:rtl w:val="0"/>
        </w:rPr>
      </w:r>
    </w:p>
    <w:p w:rsidR="00000000" w:rsidDel="00000000" w:rsidP="00000000" w:rsidRDefault="00000000" w:rsidRPr="00000000" w14:paraId="00000015">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Declaration</w:t>
      </w:r>
      <w:r w:rsidDel="00000000" w:rsidR="00000000" w:rsidRPr="00000000">
        <w:rPr>
          <w:rtl w:val="0"/>
        </w:rPr>
      </w:r>
    </w:p>
    <w:p w:rsidR="00000000" w:rsidDel="00000000" w:rsidP="00000000" w:rsidRDefault="00000000" w:rsidRPr="00000000" w14:paraId="00000016">
      <w:pPr>
        <w:spacing w:after="160" w:line="300" w:lineRule="auto"/>
        <w:jc w:val="both"/>
        <w:rPr/>
      </w:pPr>
      <w:r w:rsidDel="00000000" w:rsidR="00000000" w:rsidRPr="00000000">
        <w:rPr>
          <w:rFonts w:ascii="Calibri" w:cs="Calibri" w:eastAsia="Calibri" w:hAnsi="Calibri"/>
          <w:b w:val="0"/>
          <w:i w:val="0"/>
          <w:sz w:val="22"/>
          <w:szCs w:val="22"/>
          <w:rtl w:val="0"/>
        </w:rPr>
        <w:t xml:space="preserve">I, Yashraj Tomar, Roll Number 2024/0016, a student of B.Com (Hons.), hereby declare that the project report titled “A Comparative Study of Corporate Governance Practices in Selected Indian Companies” is my own original work, prepared under the guidance of my faculty supervisor.</w:t>
      </w:r>
      <w:r w:rsidDel="00000000" w:rsidR="00000000" w:rsidRPr="00000000">
        <w:rPr>
          <w:rtl w:val="0"/>
        </w:rPr>
      </w:r>
    </w:p>
    <w:p w:rsidR="00000000" w:rsidDel="00000000" w:rsidP="00000000" w:rsidRDefault="00000000" w:rsidRPr="00000000" w14:paraId="00000017">
      <w:pPr>
        <w:spacing w:after="160" w:line="300" w:lineRule="auto"/>
        <w:jc w:val="both"/>
        <w:rPr/>
      </w:pPr>
      <w:r w:rsidDel="00000000" w:rsidR="00000000" w:rsidRPr="00000000">
        <w:rPr>
          <w:rFonts w:ascii="Calibri" w:cs="Calibri" w:eastAsia="Calibri" w:hAnsi="Calibri"/>
          <w:b w:val="0"/>
          <w:i w:val="0"/>
          <w:sz w:val="22"/>
          <w:szCs w:val="22"/>
          <w:rtl w:val="0"/>
        </w:rPr>
        <w:t xml:space="preserve">I further declare that this report has been compiled from information available in the public domain — including Annual Reports, Corporate Governance Reports, Business Responsibility and Sustainability Reports (BRSR), and the websites of the Ministry of Corporate Affairs (MCA), the Securities and Exchange Board of India (SEBI), the National Stock Exchange (NSE) and the BSE Limited — and that due acknowledgement has been given to all sources referred to in the Bibliography. This work has not been submitted, in part or in full, for the award of any other degree, diploma, or similar title.</w:t>
      </w:r>
      <w:r w:rsidDel="00000000" w:rsidR="00000000" w:rsidRPr="00000000">
        <w:rPr>
          <w:rtl w:val="0"/>
        </w:rPr>
      </w:r>
    </w:p>
    <w:p w:rsidR="00000000" w:rsidDel="00000000" w:rsidP="00000000" w:rsidRDefault="00000000" w:rsidRPr="00000000" w14:paraId="00000018">
      <w:pPr>
        <w:jc w:val="right"/>
        <w:rPr/>
      </w:pPr>
      <w:r w:rsidDel="00000000" w:rsidR="00000000" w:rsidRPr="00000000">
        <w:rPr>
          <w:rFonts w:ascii="Calibri" w:cs="Calibri" w:eastAsia="Calibri" w:hAnsi="Calibri"/>
          <w:i w:val="1"/>
          <w:sz w:val="20"/>
          <w:szCs w:val="20"/>
          <w:rtl w:val="0"/>
        </w:rPr>
        <w:t xml:space="preserve">Yashraj Tomar (2024/0016)</w:t>
      </w:r>
      <w:r w:rsidDel="00000000" w:rsidR="00000000" w:rsidRPr="00000000">
        <w:rPr>
          <w:rtl w:val="0"/>
        </w:rPr>
      </w:r>
    </w:p>
    <w:p w:rsidR="00000000" w:rsidDel="00000000" w:rsidP="00000000" w:rsidRDefault="00000000" w:rsidRPr="00000000" w14:paraId="00000019">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Acknowledgement</w:t>
      </w:r>
      <w:r w:rsidDel="00000000" w:rsidR="00000000" w:rsidRPr="00000000">
        <w:rPr>
          <w:rtl w:val="0"/>
        </w:rPr>
      </w:r>
    </w:p>
    <w:p w:rsidR="00000000" w:rsidDel="00000000" w:rsidP="00000000" w:rsidRDefault="00000000" w:rsidRPr="00000000" w14:paraId="0000001A">
      <w:pPr>
        <w:spacing w:after="160" w:line="300" w:lineRule="auto"/>
        <w:jc w:val="both"/>
        <w:rPr/>
      </w:pPr>
      <w:r w:rsidDel="00000000" w:rsidR="00000000" w:rsidRPr="00000000">
        <w:rPr>
          <w:rFonts w:ascii="Calibri" w:cs="Calibri" w:eastAsia="Calibri" w:hAnsi="Calibri"/>
          <w:b w:val="0"/>
          <w:i w:val="0"/>
          <w:sz w:val="22"/>
          <w:szCs w:val="22"/>
          <w:rtl w:val="0"/>
        </w:rPr>
        <w:t xml:space="preserve">I would like to express my sincere gratitude to my faculty guide for their invaluable guidance, encouragement, and constructive feedback throughout the course of this project. Their insights into corporate governance and company law were instrumental in shaping the direction and quality of this study.</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rFonts w:ascii="Calibri" w:cs="Calibri" w:eastAsia="Calibri" w:hAnsi="Calibri"/>
          <w:b w:val="0"/>
          <w:i w:val="0"/>
          <w:sz w:val="22"/>
          <w:szCs w:val="22"/>
          <w:rtl w:val="0"/>
        </w:rPr>
        <w:t xml:space="preserve">I am also thankful to the Department of Commerce and the College library for providing access to journals, databases, and reference material that supported this research. I extend my appreciation to the investor-relations teams of the companies studied, whose publicly disclosed Annual Reports and Corporate Governance Reports formed the primary data source for this project.</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rFonts w:ascii="Calibri" w:cs="Calibri" w:eastAsia="Calibri" w:hAnsi="Calibri"/>
          <w:b w:val="0"/>
          <w:i w:val="0"/>
          <w:sz w:val="22"/>
          <w:szCs w:val="22"/>
          <w:rtl w:val="0"/>
        </w:rPr>
        <w:t xml:space="preserve">Finally, I am grateful to my family and friends for their continuous support and encouragement during the preparation of this report.</w:t>
      </w:r>
      <w:r w:rsidDel="00000000" w:rsidR="00000000" w:rsidRPr="00000000">
        <w:rPr>
          <w:rtl w:val="0"/>
        </w:rPr>
      </w:r>
    </w:p>
    <w:p w:rsidR="00000000" w:rsidDel="00000000" w:rsidP="00000000" w:rsidRDefault="00000000" w:rsidRPr="00000000" w14:paraId="0000001D">
      <w:pPr>
        <w:spacing w:before="400" w:lineRule="auto"/>
        <w:jc w:val="right"/>
        <w:rPr/>
      </w:pPr>
      <w:r w:rsidDel="00000000" w:rsidR="00000000" w:rsidRPr="00000000">
        <w:rPr>
          <w:rFonts w:ascii="Calibri" w:cs="Calibri" w:eastAsia="Calibri" w:hAnsi="Calibri"/>
          <w:b w:val="1"/>
          <w:sz w:val="22"/>
          <w:szCs w:val="22"/>
          <w:rtl w:val="0"/>
        </w:rPr>
        <w:t xml:space="preserve">Yashraj Tomar</w:t>
      </w:r>
      <w:r w:rsidDel="00000000" w:rsidR="00000000" w:rsidRPr="00000000">
        <w:rPr>
          <w:rtl w:val="0"/>
        </w:rPr>
      </w:r>
    </w:p>
    <w:p w:rsidR="00000000" w:rsidDel="00000000" w:rsidP="00000000" w:rsidRDefault="00000000" w:rsidRPr="00000000" w14:paraId="0000001E">
      <w:pPr>
        <w:jc w:val="right"/>
        <w:rPr/>
      </w:pPr>
      <w:r w:rsidDel="00000000" w:rsidR="00000000" w:rsidRPr="00000000">
        <w:rPr>
          <w:rFonts w:ascii="Calibri" w:cs="Calibri" w:eastAsia="Calibri" w:hAnsi="Calibri"/>
          <w:i w:val="1"/>
          <w:sz w:val="20"/>
          <w:szCs w:val="20"/>
          <w:rtl w:val="0"/>
        </w:rPr>
        <w:t xml:space="preserve">Roll No. 2024/0016</w:t>
      </w:r>
      <w:r w:rsidDel="00000000" w:rsidR="00000000" w:rsidRPr="00000000">
        <w:rPr>
          <w:rtl w:val="0"/>
        </w:rPr>
      </w:r>
    </w:p>
    <w:p w:rsidR="00000000" w:rsidDel="00000000" w:rsidP="00000000" w:rsidRDefault="00000000" w:rsidRPr="00000000" w14:paraId="0000001F">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Executive Summary</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rFonts w:ascii="Calibri" w:cs="Calibri" w:eastAsia="Calibri" w:hAnsi="Calibri"/>
          <w:b w:val="0"/>
          <w:i w:val="0"/>
          <w:sz w:val="22"/>
          <w:szCs w:val="22"/>
          <w:rtl w:val="0"/>
        </w:rPr>
        <w:t xml:space="preserve">Corporate governance has emerged as one of the most closely watched dimensions of corporate performance in India, particularly after the reforms triggered by the Satyam scandal (2009), the introduction of the Companies Act, 2013, and the SEBI (Listing Obligations and Disclosure Requirements) Regulations, 2015 (SEBI LODR). This project undertakes a comparative study of the corporate governance practices of five large, well-known Indian listed companies drawn from different sectors: Tata Consultancy Services (IT Services), Reliance Industries (diversified conglomerate), Infosys (IT Services), HDFC Bank (banking) and ITC Limited (FMCG/diversified).</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rFonts w:ascii="Calibri" w:cs="Calibri" w:eastAsia="Calibri" w:hAnsi="Calibri"/>
          <w:b w:val="0"/>
          <w:i w:val="0"/>
          <w:sz w:val="22"/>
          <w:szCs w:val="22"/>
          <w:rtl w:val="0"/>
        </w:rPr>
        <w:t xml:space="preserve">The study examines board composition and independence, the structure and mandate of board committees, CSR obligations and actual spending, related-party transaction governance, risk management frameworks, and shareholder-engagement mechanisms. Data has been organised into a supporting Excel workbook that computes board-independence ratios, CSR-spend variances, and a weighted “Composite Governance Index” for each company using live formulas, allowing the model to be re-scored as fresh disclosures become available.</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rFonts w:ascii="Calibri" w:cs="Calibri" w:eastAsia="Calibri" w:hAnsi="Calibri"/>
          <w:b w:val="0"/>
          <w:i w:val="0"/>
          <w:sz w:val="22"/>
          <w:szCs w:val="22"/>
          <w:rtl w:val="0"/>
        </w:rPr>
        <w:t xml:space="preserve">The findings indicate that all five companies substantially comply with the mandatory governance framework prescribed under the Companies Act, 2013 and SEBI LODR, and each has gone beyond the statutory minimum in specific areas — for instance, board independence levels above the regulatory floor, voluntary BRSR disclosure, and dedicated ESG oversight. At the same time, the comparison highlights differences in the extent of voluntary disclosure, the separation of the Chairperson and Managing Director roles, and the depth of related-party transaction reporting. The report concludes with recommendations aimed at strengthening governance practices further, framed around the principles of transparency, accountability, and stakeholder protection.</w:t>
      </w:r>
      <w:r w:rsidDel="00000000" w:rsidR="00000000" w:rsidRPr="00000000">
        <w:rPr>
          <w:rtl w:val="0"/>
        </w:rPr>
      </w:r>
    </w:p>
    <w:p w:rsidR="00000000" w:rsidDel="00000000" w:rsidP="00000000" w:rsidRDefault="00000000" w:rsidRPr="00000000" w14:paraId="00000023">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Table of Contents</w:t>
      </w:r>
      <w:r w:rsidDel="00000000" w:rsidR="00000000" w:rsidRPr="00000000">
        <w:rPr>
          <w:rtl w:val="0"/>
        </w:rPr>
      </w:r>
    </w:p>
    <w:p w:rsidR="00000000" w:rsidDel="00000000" w:rsidP="00000000" w:rsidRDefault="00000000" w:rsidRPr="00000000" w14:paraId="00000024">
      <w:pPr>
        <w:tabs>
          <w:tab w:val="right" w:leader="none" w:pos="9026"/>
        </w:tabs>
        <w:spacing w:after="140" w:lineRule="auto"/>
        <w:rPr/>
      </w:pPr>
      <w:r w:rsidDel="00000000" w:rsidR="00000000" w:rsidRPr="00000000">
        <w:rPr>
          <w:rFonts w:ascii="Calibri" w:cs="Calibri" w:eastAsia="Calibri" w:hAnsi="Calibri"/>
          <w:sz w:val="22"/>
          <w:szCs w:val="22"/>
          <w:rtl w:val="0"/>
        </w:rPr>
        <w:t xml:space="preserve">1.  Introduction to Corporate Governance1</w:t>
      </w:r>
      <w:r w:rsidDel="00000000" w:rsidR="00000000" w:rsidRPr="00000000">
        <w:rPr>
          <w:rtl w:val="0"/>
        </w:rPr>
      </w:r>
    </w:p>
    <w:p w:rsidR="00000000" w:rsidDel="00000000" w:rsidP="00000000" w:rsidRDefault="00000000" w:rsidRPr="00000000" w14:paraId="00000025">
      <w:pPr>
        <w:tabs>
          <w:tab w:val="right" w:leader="none" w:pos="9026"/>
        </w:tabs>
        <w:spacing w:after="140" w:lineRule="auto"/>
        <w:rPr/>
      </w:pPr>
      <w:r w:rsidDel="00000000" w:rsidR="00000000" w:rsidRPr="00000000">
        <w:rPr>
          <w:rFonts w:ascii="Calibri" w:cs="Calibri" w:eastAsia="Calibri" w:hAnsi="Calibri"/>
          <w:sz w:val="22"/>
          <w:szCs w:val="22"/>
          <w:rtl w:val="0"/>
        </w:rPr>
        <w:t xml:space="preserve">2.  Review of Literature3</w:t>
      </w:r>
      <w:r w:rsidDel="00000000" w:rsidR="00000000" w:rsidRPr="00000000">
        <w:rPr>
          <w:rtl w:val="0"/>
        </w:rPr>
      </w:r>
    </w:p>
    <w:p w:rsidR="00000000" w:rsidDel="00000000" w:rsidP="00000000" w:rsidRDefault="00000000" w:rsidRPr="00000000" w14:paraId="00000026">
      <w:pPr>
        <w:tabs>
          <w:tab w:val="right" w:leader="none" w:pos="9026"/>
        </w:tabs>
        <w:spacing w:after="140" w:lineRule="auto"/>
        <w:rPr/>
      </w:pPr>
      <w:r w:rsidDel="00000000" w:rsidR="00000000" w:rsidRPr="00000000">
        <w:rPr>
          <w:rFonts w:ascii="Calibri" w:cs="Calibri" w:eastAsia="Calibri" w:hAnsi="Calibri"/>
          <w:sz w:val="22"/>
          <w:szCs w:val="22"/>
          <w:rtl w:val="0"/>
        </w:rPr>
        <w:t xml:space="preserve">3.  Research Methodology5</w:t>
      </w:r>
      <w:r w:rsidDel="00000000" w:rsidR="00000000" w:rsidRPr="00000000">
        <w:rPr>
          <w:rtl w:val="0"/>
        </w:rPr>
      </w:r>
    </w:p>
    <w:p w:rsidR="00000000" w:rsidDel="00000000" w:rsidP="00000000" w:rsidRDefault="00000000" w:rsidRPr="00000000" w14:paraId="00000027">
      <w:pPr>
        <w:tabs>
          <w:tab w:val="right" w:leader="none" w:pos="9026"/>
        </w:tabs>
        <w:spacing w:after="140" w:lineRule="auto"/>
        <w:rPr/>
      </w:pPr>
      <w:r w:rsidDel="00000000" w:rsidR="00000000" w:rsidRPr="00000000">
        <w:rPr>
          <w:rFonts w:ascii="Calibri" w:cs="Calibri" w:eastAsia="Calibri" w:hAnsi="Calibri"/>
          <w:sz w:val="22"/>
          <w:szCs w:val="22"/>
          <w:rtl w:val="0"/>
        </w:rPr>
        <w:t xml:space="preserve">4.  Regulatory Framework Governing Corporate Governance in India7</w:t>
      </w:r>
      <w:r w:rsidDel="00000000" w:rsidR="00000000" w:rsidRPr="00000000">
        <w:rPr>
          <w:rtl w:val="0"/>
        </w:rPr>
      </w:r>
    </w:p>
    <w:p w:rsidR="00000000" w:rsidDel="00000000" w:rsidP="00000000" w:rsidRDefault="00000000" w:rsidRPr="00000000" w14:paraId="00000028">
      <w:pPr>
        <w:tabs>
          <w:tab w:val="right" w:leader="none" w:pos="9026"/>
        </w:tabs>
        <w:spacing w:after="140" w:lineRule="auto"/>
        <w:rPr/>
      </w:pPr>
      <w:r w:rsidDel="00000000" w:rsidR="00000000" w:rsidRPr="00000000">
        <w:rPr>
          <w:rFonts w:ascii="Calibri" w:cs="Calibri" w:eastAsia="Calibri" w:hAnsi="Calibri"/>
          <w:sz w:val="22"/>
          <w:szCs w:val="22"/>
          <w:rtl w:val="0"/>
        </w:rPr>
        <w:t xml:space="preserve">5.  Company Profiles10</w:t>
      </w:r>
      <w:r w:rsidDel="00000000" w:rsidR="00000000" w:rsidRPr="00000000">
        <w:rPr>
          <w:rtl w:val="0"/>
        </w:rPr>
      </w:r>
    </w:p>
    <w:p w:rsidR="00000000" w:rsidDel="00000000" w:rsidP="00000000" w:rsidRDefault="00000000" w:rsidRPr="00000000" w14:paraId="00000029">
      <w:pPr>
        <w:tabs>
          <w:tab w:val="right" w:leader="none" w:pos="9026"/>
        </w:tabs>
        <w:spacing w:after="140" w:lineRule="auto"/>
        <w:rPr/>
      </w:pPr>
      <w:r w:rsidDel="00000000" w:rsidR="00000000" w:rsidRPr="00000000">
        <w:rPr>
          <w:rFonts w:ascii="Calibri" w:cs="Calibri" w:eastAsia="Calibri" w:hAnsi="Calibri"/>
          <w:sz w:val="22"/>
          <w:szCs w:val="22"/>
          <w:rtl w:val="0"/>
        </w:rPr>
        <w:t xml:space="preserve">6.  Comparative Analysis of Corporate Governance Practices13</w:t>
      </w:r>
      <w:r w:rsidDel="00000000" w:rsidR="00000000" w:rsidRPr="00000000">
        <w:rPr>
          <w:rtl w:val="0"/>
        </w:rPr>
      </w:r>
    </w:p>
    <w:p w:rsidR="00000000" w:rsidDel="00000000" w:rsidP="00000000" w:rsidRDefault="00000000" w:rsidRPr="00000000" w14:paraId="0000002A">
      <w:pPr>
        <w:tabs>
          <w:tab w:val="right" w:leader="none" w:pos="9026"/>
        </w:tabs>
        <w:spacing w:after="140" w:lineRule="auto"/>
        <w:rPr/>
      </w:pPr>
      <w:r w:rsidDel="00000000" w:rsidR="00000000" w:rsidRPr="00000000">
        <w:rPr>
          <w:rFonts w:ascii="Calibri" w:cs="Calibri" w:eastAsia="Calibri" w:hAnsi="Calibri"/>
          <w:sz w:val="22"/>
          <w:szCs w:val="22"/>
          <w:rtl w:val="0"/>
        </w:rPr>
        <w:t xml:space="preserve">7.  Data Analysis and Interpretation19</w:t>
      </w:r>
      <w:r w:rsidDel="00000000" w:rsidR="00000000" w:rsidRPr="00000000">
        <w:rPr>
          <w:rtl w:val="0"/>
        </w:rPr>
      </w:r>
    </w:p>
    <w:p w:rsidR="00000000" w:rsidDel="00000000" w:rsidP="00000000" w:rsidRDefault="00000000" w:rsidRPr="00000000" w14:paraId="0000002B">
      <w:pPr>
        <w:tabs>
          <w:tab w:val="right" w:leader="none" w:pos="9026"/>
        </w:tabs>
        <w:spacing w:after="140" w:lineRule="auto"/>
        <w:rPr/>
      </w:pPr>
      <w:r w:rsidDel="00000000" w:rsidR="00000000" w:rsidRPr="00000000">
        <w:rPr>
          <w:rFonts w:ascii="Calibri" w:cs="Calibri" w:eastAsia="Calibri" w:hAnsi="Calibri"/>
          <w:sz w:val="22"/>
          <w:szCs w:val="22"/>
          <w:rtl w:val="0"/>
        </w:rPr>
        <w:t xml:space="preserve">8.  Findings of the Study22</w:t>
      </w:r>
      <w:r w:rsidDel="00000000" w:rsidR="00000000" w:rsidRPr="00000000">
        <w:rPr>
          <w:rtl w:val="0"/>
        </w:rPr>
      </w:r>
    </w:p>
    <w:p w:rsidR="00000000" w:rsidDel="00000000" w:rsidP="00000000" w:rsidRDefault="00000000" w:rsidRPr="00000000" w14:paraId="0000002C">
      <w:pPr>
        <w:tabs>
          <w:tab w:val="right" w:leader="none" w:pos="9026"/>
        </w:tabs>
        <w:spacing w:after="140" w:lineRule="auto"/>
        <w:rPr/>
      </w:pPr>
      <w:r w:rsidDel="00000000" w:rsidR="00000000" w:rsidRPr="00000000">
        <w:rPr>
          <w:rFonts w:ascii="Calibri" w:cs="Calibri" w:eastAsia="Calibri" w:hAnsi="Calibri"/>
          <w:sz w:val="22"/>
          <w:szCs w:val="22"/>
          <w:rtl w:val="0"/>
        </w:rPr>
        <w:t xml:space="preserve">9.  Suggestions and Recommendations24</w:t>
      </w:r>
      <w:r w:rsidDel="00000000" w:rsidR="00000000" w:rsidRPr="00000000">
        <w:rPr>
          <w:rtl w:val="0"/>
        </w:rPr>
      </w:r>
    </w:p>
    <w:p w:rsidR="00000000" w:rsidDel="00000000" w:rsidP="00000000" w:rsidRDefault="00000000" w:rsidRPr="00000000" w14:paraId="0000002D">
      <w:pPr>
        <w:tabs>
          <w:tab w:val="right" w:leader="none" w:pos="9026"/>
        </w:tabs>
        <w:spacing w:after="140" w:lineRule="auto"/>
        <w:rPr/>
      </w:pPr>
      <w:r w:rsidDel="00000000" w:rsidR="00000000" w:rsidRPr="00000000">
        <w:rPr>
          <w:rFonts w:ascii="Calibri" w:cs="Calibri" w:eastAsia="Calibri" w:hAnsi="Calibri"/>
          <w:sz w:val="22"/>
          <w:szCs w:val="22"/>
          <w:rtl w:val="0"/>
        </w:rPr>
        <w:t xml:space="preserve">10.  Conclusion26</w:t>
      </w:r>
      <w:r w:rsidDel="00000000" w:rsidR="00000000" w:rsidRPr="00000000">
        <w:rPr>
          <w:rtl w:val="0"/>
        </w:rPr>
      </w:r>
    </w:p>
    <w:p w:rsidR="00000000" w:rsidDel="00000000" w:rsidP="00000000" w:rsidRDefault="00000000" w:rsidRPr="00000000" w14:paraId="0000002E">
      <w:pPr>
        <w:tabs>
          <w:tab w:val="right" w:leader="none" w:pos="9026"/>
        </w:tabs>
        <w:spacing w:after="140" w:lineRule="auto"/>
        <w:rPr/>
      </w:pPr>
      <w:r w:rsidDel="00000000" w:rsidR="00000000" w:rsidRPr="00000000">
        <w:rPr>
          <w:rFonts w:ascii="Calibri" w:cs="Calibri" w:eastAsia="Calibri" w:hAnsi="Calibri"/>
          <w:sz w:val="22"/>
          <w:szCs w:val="22"/>
          <w:rtl w:val="0"/>
        </w:rPr>
        <w:t xml:space="preserve">Bibliography / Webliography27</w:t>
      </w:r>
      <w:r w:rsidDel="00000000" w:rsidR="00000000" w:rsidRPr="00000000">
        <w:rPr>
          <w:rtl w:val="0"/>
        </w:rPr>
      </w:r>
    </w:p>
    <w:p w:rsidR="00000000" w:rsidDel="00000000" w:rsidP="00000000" w:rsidRDefault="00000000" w:rsidRPr="00000000" w14:paraId="0000002F">
      <w:pPr>
        <w:tabs>
          <w:tab w:val="right" w:leader="none" w:pos="9026"/>
        </w:tabs>
        <w:spacing w:after="140" w:lineRule="auto"/>
        <w:rPr/>
      </w:pPr>
      <w:r w:rsidDel="00000000" w:rsidR="00000000" w:rsidRPr="00000000">
        <w:rPr>
          <w:rFonts w:ascii="Calibri" w:cs="Calibri" w:eastAsia="Calibri" w:hAnsi="Calibri"/>
          <w:sz w:val="22"/>
          <w:szCs w:val="22"/>
          <w:rtl w:val="0"/>
        </w:rPr>
        <w:t xml:space="preserve">Annexure — Note on the Accompanying Excel Workbook28</w:t>
      </w:r>
      <w:r w:rsidDel="00000000" w:rsidR="00000000" w:rsidRPr="00000000">
        <w:rPr>
          <w:rtl w:val="0"/>
        </w:rPr>
      </w:r>
    </w:p>
    <w:p w:rsidR="00000000" w:rsidDel="00000000" w:rsidP="00000000" w:rsidRDefault="00000000" w:rsidRPr="00000000" w14:paraId="00000030">
      <w:pPr>
        <w:spacing w:after="160" w:line="300" w:lineRule="auto"/>
        <w:jc w:val="both"/>
        <w:rPr/>
        <w:sectPr>
          <w:headerReference r:id="rId6" w:type="default"/>
          <w:footerReference r:id="rId7" w:type="default"/>
          <w:type w:val="nextPage"/>
          <w:pgSz w:h="16838" w:w="11906" w:orient="portrait"/>
          <w:pgMar w:bottom="1440" w:top="1440" w:left="1440" w:right="1440" w:header="708" w:footer="708"/>
        </w:sectPr>
      </w:pPr>
      <w:r w:rsidDel="00000000" w:rsidR="00000000" w:rsidRPr="00000000">
        <w:rPr>
          <w:rFonts w:ascii="Calibri" w:cs="Calibri" w:eastAsia="Calibri" w:hAnsi="Calibri"/>
          <w:b w:val="0"/>
          <w:i w:val="1"/>
          <w:sz w:val="22"/>
          <w:szCs w:val="22"/>
          <w:rtl w:val="0"/>
        </w:rPr>
        <w:t xml:space="preserve">(Page numbers above are indicative for the printed layout of this report; please update using Word’s ‘Update Table’ / ‘Update Field’ option, or Insert → Table of Contents, once the document is finalised.)</w:t>
      </w:r>
      <w:r w:rsidDel="00000000" w:rsidR="00000000" w:rsidRPr="00000000">
        <w:rPr>
          <w:rtl w:val="0"/>
        </w:rPr>
      </w:r>
    </w:p>
    <w:p w:rsidR="00000000" w:rsidDel="00000000" w:rsidP="00000000" w:rsidRDefault="00000000" w:rsidRPr="00000000" w14:paraId="00000031">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1.  Introduction to Corporate Governance</w:t>
      </w:r>
      <w:r w:rsidDel="00000000" w:rsidR="00000000" w:rsidRPr="00000000">
        <w:rPr>
          <w:rtl w:val="0"/>
        </w:rPr>
      </w:r>
    </w:p>
    <w:p w:rsidR="00000000" w:rsidDel="00000000" w:rsidP="00000000" w:rsidRDefault="00000000" w:rsidRPr="00000000" w14:paraId="00000032">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1.1 Meaning and Concept</w:t>
      </w:r>
      <w:r w:rsidDel="00000000" w:rsidR="00000000" w:rsidRPr="00000000">
        <w:rPr>
          <w:rtl w:val="0"/>
        </w:rPr>
      </w:r>
    </w:p>
    <w:p w:rsidR="00000000" w:rsidDel="00000000" w:rsidP="00000000" w:rsidRDefault="00000000" w:rsidRPr="00000000" w14:paraId="00000033">
      <w:pPr>
        <w:spacing w:after="160" w:line="300" w:lineRule="auto"/>
        <w:jc w:val="both"/>
        <w:rPr/>
      </w:pPr>
      <w:r w:rsidDel="00000000" w:rsidR="00000000" w:rsidRPr="00000000">
        <w:rPr>
          <w:rFonts w:ascii="Calibri" w:cs="Calibri" w:eastAsia="Calibri" w:hAnsi="Calibri"/>
          <w:b w:val="0"/>
          <w:i w:val="0"/>
          <w:sz w:val="22"/>
          <w:szCs w:val="22"/>
          <w:rtl w:val="0"/>
        </w:rPr>
        <w:t xml:space="preserve">Corporate governance refers to the system of rules, practices, and processes by which a company is directed and controlled. It essentially deals with the relationship between a company’s management, its Board of Directors, its shareholders, and other stakeholders such as employees, creditors, customers, and society at large. Good corporate governance ensures that a company is run in a manner that is fair, transparent, and accountable to all its stakeholders, and that the interests of minority shareholders are adequately protected from actions of the controlling promoters or management.</w:t>
      </w:r>
      <w:r w:rsidDel="00000000" w:rsidR="00000000" w:rsidRPr="00000000">
        <w:rPr>
          <w:rtl w:val="0"/>
        </w:rPr>
      </w:r>
    </w:p>
    <w:p w:rsidR="00000000" w:rsidDel="00000000" w:rsidP="00000000" w:rsidRDefault="00000000" w:rsidRPr="00000000" w14:paraId="00000034">
      <w:pPr>
        <w:spacing w:after="160" w:line="300" w:lineRule="auto"/>
        <w:jc w:val="both"/>
        <w:rPr/>
      </w:pPr>
      <w:r w:rsidDel="00000000" w:rsidR="00000000" w:rsidRPr="00000000">
        <w:rPr>
          <w:rFonts w:ascii="Calibri" w:cs="Calibri" w:eastAsia="Calibri" w:hAnsi="Calibri"/>
          <w:b w:val="0"/>
          <w:i w:val="0"/>
          <w:sz w:val="22"/>
          <w:szCs w:val="22"/>
          <w:rtl w:val="0"/>
        </w:rPr>
        <w:t xml:space="preserve">The Cadbury Committee (UK, 1992), whose report is widely regarded as the foundation of modern corporate governance codes worldwide, defined corporate governance as “the system by which companies are directed and controlled.” In the Indian context, the Securities and Exchange Board of India (SEBI) and the Ministry of Corporate Affairs (MCA) have progressively codified governance norms through the Companies Act, 2013 and the SEBI (LODR) Regulations, 2015, building on earlier voluntary codes such as the CII Code (1998), the Kumar Mangalam Birla Committee Report (2000), and the Narayana Murthy Committee Report (2003).</w:t>
      </w:r>
      <w:r w:rsidDel="00000000" w:rsidR="00000000" w:rsidRPr="00000000">
        <w:rPr>
          <w:rtl w:val="0"/>
        </w:rPr>
      </w:r>
    </w:p>
    <w:p w:rsidR="00000000" w:rsidDel="00000000" w:rsidP="00000000" w:rsidRDefault="00000000" w:rsidRPr="00000000" w14:paraId="00000035">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1.2 Objectives of Corporate Governance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protect the rights and interests of shareholders, particularly minority and non-promoter shareholders.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ensure timely, accurate, and adequate disclosure of material information relating to the company’s financial position, performance, ownership, and governance.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clearly define the roles and responsibilities of the Board of Directors and hold it accountable to the company and its shareholders.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ensure the strategic guidance of the company and effective monitoring of management by the Board.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balance the interests of a wide set of stakeholders — shareholders, employees, customers, suppliers, lenders, regulators, and the community.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prevent the misuse of corporate power and reduce the risk of fraud, insider trading, and financial irregularities.</w:t>
      </w:r>
      <w:r w:rsidDel="00000000" w:rsidR="00000000" w:rsidRPr="00000000">
        <w:rPr>
          <w:rtl w:val="0"/>
        </w:rPr>
      </w:r>
    </w:p>
    <w:p w:rsidR="00000000" w:rsidDel="00000000" w:rsidP="00000000" w:rsidRDefault="00000000" w:rsidRPr="00000000" w14:paraId="0000003C">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1.3 Pillars of Corporate Governance</w:t>
      </w:r>
      <w:r w:rsidDel="00000000" w:rsidR="00000000" w:rsidRPr="00000000">
        <w:rPr>
          <w:rtl w:val="0"/>
        </w:rPr>
      </w:r>
    </w:p>
    <w:p w:rsidR="00000000" w:rsidDel="00000000" w:rsidP="00000000" w:rsidRDefault="00000000" w:rsidRPr="00000000" w14:paraId="0000003D">
      <w:pPr>
        <w:spacing w:after="160" w:line="300" w:lineRule="auto"/>
        <w:jc w:val="both"/>
        <w:rPr/>
      </w:pPr>
      <w:r w:rsidDel="00000000" w:rsidR="00000000" w:rsidRPr="00000000">
        <w:rPr>
          <w:rFonts w:ascii="Calibri" w:cs="Calibri" w:eastAsia="Calibri" w:hAnsi="Calibri"/>
          <w:b w:val="0"/>
          <w:i w:val="0"/>
          <w:sz w:val="22"/>
          <w:szCs w:val="22"/>
          <w:rtl w:val="0"/>
        </w:rPr>
        <w:t xml:space="preserve">Corporate governance frameworks are typically built around four foundational pillars, often summarised by the acronym TARA: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Transparency — the timely and accurate disclosure of all material matters, including the financial situation, performance, ownership, and governance of the company.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Accountability — the Board of Directors is accountable to the company and its shareholders for the stewardship of the company’s assets.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Responsibility — management is responsible for the conduct of the company’s business in a manner appropriate for ensuring accountability, and for corrective action when things go wrong.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Fairness — the rights of all shareholders, including minority and foreign shareholders, must be protected, and all stakeholders should have the opportunity to obtain redressal for any violation of their rights.</w:t>
      </w:r>
      <w:r w:rsidDel="00000000" w:rsidR="00000000" w:rsidRPr="00000000">
        <w:rPr>
          <w:rtl w:val="0"/>
        </w:rPr>
      </w:r>
    </w:p>
    <w:p w:rsidR="00000000" w:rsidDel="00000000" w:rsidP="00000000" w:rsidRDefault="00000000" w:rsidRPr="00000000" w14:paraId="00000042">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1.4 Importance and Relevance of the Study</w:t>
      </w:r>
      <w:r w:rsidDel="00000000" w:rsidR="00000000" w:rsidRPr="00000000">
        <w:rPr>
          <w:rtl w:val="0"/>
        </w:rPr>
      </w:r>
    </w:p>
    <w:p w:rsidR="00000000" w:rsidDel="00000000" w:rsidP="00000000" w:rsidRDefault="00000000" w:rsidRPr="00000000" w14:paraId="00000043">
      <w:pPr>
        <w:spacing w:after="160" w:line="300" w:lineRule="auto"/>
        <w:jc w:val="both"/>
        <w:rPr/>
      </w:pPr>
      <w:r w:rsidDel="00000000" w:rsidR="00000000" w:rsidRPr="00000000">
        <w:rPr>
          <w:rFonts w:ascii="Calibri" w:cs="Calibri" w:eastAsia="Calibri" w:hAnsi="Calibri"/>
          <w:b w:val="0"/>
          <w:i w:val="0"/>
          <w:sz w:val="22"/>
          <w:szCs w:val="22"/>
          <w:rtl w:val="0"/>
        </w:rPr>
        <w:t xml:space="preserve">The relevance of corporate governance in India has grown substantially following a series of high-profile corporate governance failures — including the Satyam Computer Services fraud (2009), the IL&amp;FS default (2018), and governance concerns at several other listed entities — each of which triggered significant regulatory tightening. Today, institutional investors, credit rating agencies, and proxy advisory firms (such as IiAS and Stakeholders Empowerment Services in India) actively evaluate the governance quality of listed companies before making investment or voting decisions.</w:t>
      </w:r>
      <w:r w:rsidDel="00000000" w:rsidR="00000000" w:rsidRPr="00000000">
        <w:rPr>
          <w:rtl w:val="0"/>
        </w:rPr>
      </w:r>
    </w:p>
    <w:p w:rsidR="00000000" w:rsidDel="00000000" w:rsidP="00000000" w:rsidRDefault="00000000" w:rsidRPr="00000000" w14:paraId="00000044">
      <w:pPr>
        <w:spacing w:after="160" w:line="300" w:lineRule="auto"/>
        <w:jc w:val="both"/>
        <w:rPr/>
      </w:pPr>
      <w:r w:rsidDel="00000000" w:rsidR="00000000" w:rsidRPr="00000000">
        <w:rPr>
          <w:rFonts w:ascii="Calibri" w:cs="Calibri" w:eastAsia="Calibri" w:hAnsi="Calibri"/>
          <w:b w:val="0"/>
          <w:i w:val="0"/>
          <w:sz w:val="22"/>
          <w:szCs w:val="22"/>
          <w:rtl w:val="0"/>
        </w:rPr>
        <w:t xml:space="preserve">This project studies and compares the governance practices of five large, well-governed, and closely tracked Indian companies from different sectors. The comparative approach allows differences arising from ownership structure (promoter-driven versus widely held), sector (IT services, banking, conglomerate, and FMCG), and regulatory overlay (e.g., additional RBI norms applicable to banks) to be examined side by side, offering a more textured understanding of how governance principles are applied in practice, beyond the bare statutory minimum.</w:t>
      </w:r>
      <w:r w:rsidDel="00000000" w:rsidR="00000000" w:rsidRPr="00000000">
        <w:rPr>
          <w:rtl w:val="0"/>
        </w:rPr>
      </w:r>
    </w:p>
    <w:p w:rsidR="00000000" w:rsidDel="00000000" w:rsidP="00000000" w:rsidRDefault="00000000" w:rsidRPr="00000000" w14:paraId="00000045">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2.  Review of Literature</w:t>
      </w:r>
      <w:r w:rsidDel="00000000" w:rsidR="00000000" w:rsidRPr="00000000">
        <w:rPr>
          <w:rtl w:val="0"/>
        </w:rPr>
      </w:r>
    </w:p>
    <w:p w:rsidR="00000000" w:rsidDel="00000000" w:rsidP="00000000" w:rsidRDefault="00000000" w:rsidRPr="00000000" w14:paraId="00000046">
      <w:pPr>
        <w:spacing w:after="160" w:line="300" w:lineRule="auto"/>
        <w:jc w:val="both"/>
        <w:rPr/>
      </w:pPr>
      <w:r w:rsidDel="00000000" w:rsidR="00000000" w:rsidRPr="00000000">
        <w:rPr>
          <w:rFonts w:ascii="Calibri" w:cs="Calibri" w:eastAsia="Calibri" w:hAnsi="Calibri"/>
          <w:b w:val="0"/>
          <w:i w:val="0"/>
          <w:sz w:val="22"/>
          <w:szCs w:val="22"/>
          <w:rtl w:val="0"/>
        </w:rPr>
        <w:t xml:space="preserve">A brief review of the key committee reports, regulatory milestones, and academic literature that have shaped corporate governance in India is presented below. This review situates the present comparative study within the broader evolution of governance thought and regulation.</w:t>
      </w:r>
      <w:r w:rsidDel="00000000" w:rsidR="00000000" w:rsidRPr="00000000">
        <w:rPr>
          <w:rtl w:val="0"/>
        </w:rPr>
      </w:r>
    </w:p>
    <w:p w:rsidR="00000000" w:rsidDel="00000000" w:rsidP="00000000" w:rsidRDefault="00000000" w:rsidRPr="00000000" w14:paraId="00000047">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2.1 Committee Reports and Regulatory Milestones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Cadbury Committee Report, UK (1992) — First major codification of corporate governance principles internationally; introduced the “comply or explain” approach later adopted by many jurisdictions, including India in its early voluntary phase.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CII Code (1998) — The Confederation of Indian Industry released India’s first voluntary code of corporate governance, “Desirable Corporate Governance: A Code,” recommending independent directors and board committees.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Kumar Mangalam Birla Committee Report (2000) — Commissioned by SEBI; recommendations were incorporated as Clause 49 of the erstwhile Listing Agreement, the first mandatory governance framework for listed Indian companies, covering board composition, audit committees, and disclosure.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Naresh Chandra Committee Report (2002) — Focused on the auditor-company relationship and the role of independent directors following global scandals such as Enron and WorldCom.</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Narayana Murthy Committee Report (2003) — Strengthened Clause 49 further, introducing stricter definitions of independence, mandatory whistle-blower policies, and enhanced disclosure of related-party transactions.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Companies Act, 2013 — Replaced the Companies Act, 1956; introduced statutory provisions on independent directors, woman director requirements, CSR (Section 135), related-party transactions (Section 188), vigil mechanism (Section 177), and class action suits.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SEBI (LODR) Regulations, 2015 — Consolidated and replaced Clause 49, applying uniformly to all listed entities and substantially expanding disclosure and board-independence requirements, including for the Risk Management Committee and Related Party Transaction policy.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Kotak Committee Report (2017) — SEBI-appointed committee on corporate governance chaired by Uday Kotak; led to amendments separating the roles of Chairperson and Managing Director/CEO (recommended, not mandatory, for most companies), enhancing disclosure of related-party transactions, and mandating at least one independent woman director for the top 500 (later top 1000) listed companies.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Responsibility and Sustainability Reporting (BRSR) framework (2021) — Mandated by SEBI for the top 1000 listed companies by market capitalisation, requiring structured ESG disclosures beyond financial reporting.</w:t>
      </w:r>
      <w:r w:rsidDel="00000000" w:rsidR="00000000" w:rsidRPr="00000000">
        <w:rPr>
          <w:rtl w:val="0"/>
        </w:rPr>
      </w:r>
    </w:p>
    <w:p w:rsidR="00000000" w:rsidDel="00000000" w:rsidP="00000000" w:rsidRDefault="00000000" w:rsidRPr="00000000" w14:paraId="00000051">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2.2 Academic and Institutional Perspectives</w:t>
      </w:r>
      <w:r w:rsidDel="00000000" w:rsidR="00000000" w:rsidRPr="00000000">
        <w:rPr>
          <w:rtl w:val="0"/>
        </w:rPr>
      </w:r>
    </w:p>
    <w:p w:rsidR="00000000" w:rsidDel="00000000" w:rsidP="00000000" w:rsidRDefault="00000000" w:rsidRPr="00000000" w14:paraId="00000052">
      <w:pPr>
        <w:spacing w:after="160" w:line="300" w:lineRule="auto"/>
        <w:jc w:val="both"/>
        <w:rPr/>
      </w:pPr>
      <w:r w:rsidDel="00000000" w:rsidR="00000000" w:rsidRPr="00000000">
        <w:rPr>
          <w:rFonts w:ascii="Calibri" w:cs="Calibri" w:eastAsia="Calibri" w:hAnsi="Calibri"/>
          <w:b w:val="0"/>
          <w:i w:val="0"/>
          <w:sz w:val="22"/>
          <w:szCs w:val="22"/>
          <w:rtl w:val="0"/>
        </w:rPr>
        <w:t xml:space="preserve">Academic literature on corporate governance in the Indian context broadly converges on a few recurring themes. First, ownership concentration — a distinguishing feature of Indian corporates, where promoter shareholding is typically much higher than in Anglo-American markets — creates a governance challenge that is different from the classic “manager versus dispersed shareholder” problem studied in Western literature; in India, the more prominent risk is often that of controlling shareholders (promoters) extracting private benefits at the expense of minority shareholders, sometimes called the “principal-principal” problem.</w:t>
      </w:r>
      <w:r w:rsidDel="00000000" w:rsidR="00000000" w:rsidRPr="00000000">
        <w:rPr>
          <w:rtl w:val="0"/>
        </w:rPr>
      </w:r>
    </w:p>
    <w:p w:rsidR="00000000" w:rsidDel="00000000" w:rsidP="00000000" w:rsidRDefault="00000000" w:rsidRPr="00000000" w14:paraId="00000053">
      <w:pPr>
        <w:spacing w:after="160" w:line="300" w:lineRule="auto"/>
        <w:jc w:val="both"/>
        <w:rPr/>
      </w:pPr>
      <w:r w:rsidDel="00000000" w:rsidR="00000000" w:rsidRPr="00000000">
        <w:rPr>
          <w:rFonts w:ascii="Calibri" w:cs="Calibri" w:eastAsia="Calibri" w:hAnsi="Calibri"/>
          <w:b w:val="0"/>
          <w:i w:val="0"/>
          <w:sz w:val="22"/>
          <w:szCs w:val="22"/>
          <w:rtl w:val="0"/>
        </w:rPr>
        <w:t xml:space="preserve">Second, several studies by proxy advisory firms and business researchers have found a positive association between board independence, disclosure quality, and firm valuation multiples, although the direction of causation remains debated — well-governed companies may simply be better run overall, rather than governance alone driving valuation. Third, sector-specific regulatory overlays (e.g., RBI norms for banks, IRDAI norms for insurers) mean that governance comparisons across sectors must account for additional compliance layers that are not applicable uniformly.</w:t>
      </w: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rFonts w:ascii="Calibri" w:cs="Calibri" w:eastAsia="Calibri" w:hAnsi="Calibri"/>
          <w:b w:val="0"/>
          <w:i w:val="0"/>
          <w:sz w:val="22"/>
          <w:szCs w:val="22"/>
          <w:rtl w:val="0"/>
        </w:rPr>
        <w:t xml:space="preserve">This project draws on the above regulatory and academic background to build a structured comparison framework, rather than relying on a single governance rating, allowing the researcher (and the reader) to see which specific elements of governance differ across the sample companies.</w:t>
      </w:r>
      <w:r w:rsidDel="00000000" w:rsidR="00000000" w:rsidRPr="00000000">
        <w:rPr>
          <w:rtl w:val="0"/>
        </w:rPr>
      </w:r>
    </w:p>
    <w:p w:rsidR="00000000" w:rsidDel="00000000" w:rsidP="00000000" w:rsidRDefault="00000000" w:rsidRPr="00000000" w14:paraId="00000055">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3.  Research Methodology</w:t>
      </w:r>
      <w:r w:rsidDel="00000000" w:rsidR="00000000" w:rsidRPr="00000000">
        <w:rPr>
          <w:rtl w:val="0"/>
        </w:rPr>
      </w:r>
    </w:p>
    <w:p w:rsidR="00000000" w:rsidDel="00000000" w:rsidP="00000000" w:rsidRDefault="00000000" w:rsidRPr="00000000" w14:paraId="00000056">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3.1 Objectives of the Study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understand the concept, principles, and regulatory framework of corporate governance applicable to listed companies in India.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study and compare the board structure, composition, and independence of the five selected companies.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examine the constitution and functioning of key board committees (Audit, Nomination &amp; Remuneration, Stakeholders Relationship, CSR, and Risk Management) across the sample.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analyse CSR obligations and actual CSR spending, and assess ESG/BRSR disclosure practices.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evaluate related-party transaction governance and risk-management disclosure practices.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construct a weighted Composite Governance Index for the sample companies and rank them accordingly.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identify best practices and offer suggestions for strengthening corporate governance.</w:t>
      </w: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3.2 Scope of the Study</w:t>
      </w:r>
      <w:r w:rsidDel="00000000" w:rsidR="00000000" w:rsidRPr="00000000">
        <w:rPr>
          <w:rtl w:val="0"/>
        </w:rPr>
      </w:r>
    </w:p>
    <w:p w:rsidR="00000000" w:rsidDel="00000000" w:rsidP="00000000" w:rsidRDefault="00000000" w:rsidRPr="00000000" w14:paraId="0000005F">
      <w:pPr>
        <w:spacing w:after="160" w:line="300" w:lineRule="auto"/>
        <w:jc w:val="both"/>
        <w:rPr/>
      </w:pPr>
      <w:r w:rsidDel="00000000" w:rsidR="00000000" w:rsidRPr="00000000">
        <w:rPr>
          <w:rFonts w:ascii="Calibri" w:cs="Calibri" w:eastAsia="Calibri" w:hAnsi="Calibri"/>
          <w:b w:val="0"/>
          <w:i w:val="0"/>
          <w:sz w:val="22"/>
          <w:szCs w:val="22"/>
          <w:rtl w:val="0"/>
        </w:rPr>
        <w:t xml:space="preserve">The study covers five large-cap Indian companies listed on the National Stock Exchange (NSE) and BSE Limited, chosen to represent different sectors and ownership structures: Tata Consultancy Services (IT services, Tata Group), Reliance Industries (diversified conglomerate, promoter-driven), Infosys (IT services, widely held), HDFC Bank (private-sector banking, widely held, RBI-regulated), and ITC Limited (FMCG/diversified, widely held with BAT as a significant shareholder). The study is limited to publicly disclosed information for the most recent financial year(s) for which Annual Reports/Corporate Governance Reports/BRSR filings were available at the time of preparing this project.</w:t>
      </w:r>
      <w:r w:rsidDel="00000000" w:rsidR="00000000" w:rsidRPr="00000000">
        <w:rPr>
          <w:rtl w:val="0"/>
        </w:rPr>
      </w:r>
    </w:p>
    <w:p w:rsidR="00000000" w:rsidDel="00000000" w:rsidP="00000000" w:rsidRDefault="00000000" w:rsidRPr="00000000" w14:paraId="00000060">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3.3 Research Design</w:t>
      </w:r>
      <w:r w:rsidDel="00000000" w:rsidR="00000000" w:rsidRPr="00000000">
        <w:rPr>
          <w:rtl w:val="0"/>
        </w:rPr>
      </w:r>
    </w:p>
    <w:p w:rsidR="00000000" w:rsidDel="00000000" w:rsidP="00000000" w:rsidRDefault="00000000" w:rsidRPr="00000000" w14:paraId="00000061">
      <w:pPr>
        <w:spacing w:after="160" w:line="300" w:lineRule="auto"/>
        <w:jc w:val="both"/>
        <w:rPr/>
      </w:pPr>
      <w:r w:rsidDel="00000000" w:rsidR="00000000" w:rsidRPr="00000000">
        <w:rPr>
          <w:rFonts w:ascii="Calibri" w:cs="Calibri" w:eastAsia="Calibri" w:hAnsi="Calibri"/>
          <w:b w:val="0"/>
          <w:i w:val="0"/>
          <w:sz w:val="22"/>
          <w:szCs w:val="22"/>
          <w:rtl w:val="0"/>
        </w:rPr>
        <w:t xml:space="preserve">This is a descriptive and analytical study based entirely on secondary data. It does not involve primary data collection (surveys or interviews) and instead relies on documentary analysis of publicly available corporate disclosures, supplemented by a structured comparative scoring framework developed by the researcher.</w:t>
      </w:r>
      <w:r w:rsidDel="00000000" w:rsidR="00000000" w:rsidRPr="00000000">
        <w:rPr>
          <w:rtl w:val="0"/>
        </w:rPr>
      </w:r>
    </w:p>
    <w:p w:rsidR="00000000" w:rsidDel="00000000" w:rsidP="00000000" w:rsidRDefault="00000000" w:rsidRPr="00000000" w14:paraId="00000062">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3.4 Sources of Data</w:t>
      </w:r>
      <w:r w:rsidDel="00000000" w:rsidR="00000000" w:rsidRPr="00000000">
        <w:rPr>
          <w:rtl w:val="0"/>
        </w:rPr>
      </w:r>
    </w:p>
    <w:p w:rsidR="00000000" w:rsidDel="00000000" w:rsidP="00000000" w:rsidRDefault="00000000" w:rsidRPr="00000000" w14:paraId="00000063">
      <w:pPr>
        <w:pStyle w:val="Heading3"/>
        <w:spacing w:after="100" w:before="200" w:lineRule="auto"/>
        <w:rPr/>
      </w:pPr>
      <w:r w:rsidDel="00000000" w:rsidR="00000000" w:rsidRPr="00000000">
        <w:rPr>
          <w:rFonts w:ascii="Calibri" w:cs="Calibri" w:eastAsia="Calibri" w:hAnsi="Calibri"/>
          <w:b w:val="1"/>
          <w:color w:val="1f1f1f"/>
          <w:sz w:val="22"/>
          <w:szCs w:val="22"/>
          <w:rtl w:val="0"/>
        </w:rPr>
        <w:t xml:space="preserve">Secondary Data Sources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Annual Reports and Integrated Annual Reports of the sample companies.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Corporate Governance Reports filed by the companies with stock exchanges under Regulation 27, SEBI (LODR) Regulations, 2015.</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Responsibility and Sustainability Reports (BRSR).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Websites of the Ministry of Corporate Affairs (www.mca.gov.in), SEBI (www.sebi.gov.in), NSE (www.nseindia.com), and BSE (www.bseindia.com).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Company websites, investor-relations pages, and stock-exchange filings.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Academic articles, committee reports, and financial news publications, as referenced in the Bibliography.</w:t>
      </w:r>
      <w:r w:rsidDel="00000000" w:rsidR="00000000" w:rsidRPr="00000000">
        <w:rPr>
          <w:rtl w:val="0"/>
        </w:rPr>
      </w:r>
    </w:p>
    <w:p w:rsidR="00000000" w:rsidDel="00000000" w:rsidP="00000000" w:rsidRDefault="00000000" w:rsidRPr="00000000" w14:paraId="0000006A">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3.5 Tools and Techniques Used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Comparative and ratio analysis (e.g., percentage of independent directors, CSR spend as a percentage of the prescribed amount).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Tabular and diagrammatic presentation using Microsoft Excel (bar charts and comparative tables).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weighted scoring model (Composite Governance Index) constructed in Microsoft Excel using the SUMPRODUCT function, allowing parameters to be weighted according to their relative importance.</w:t>
      </w:r>
      <w:r w:rsidDel="00000000" w:rsidR="00000000" w:rsidRPr="00000000">
        <w:rPr>
          <w:rtl w:val="0"/>
        </w:rPr>
      </w:r>
    </w:p>
    <w:p w:rsidR="00000000" w:rsidDel="00000000" w:rsidP="00000000" w:rsidRDefault="00000000" w:rsidRPr="00000000" w14:paraId="0000006E">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3.6 Period of Study</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rFonts w:ascii="Calibri" w:cs="Calibri" w:eastAsia="Calibri" w:hAnsi="Calibri"/>
          <w:b w:val="0"/>
          <w:i w:val="0"/>
          <w:sz w:val="22"/>
          <w:szCs w:val="22"/>
          <w:rtl w:val="0"/>
        </w:rPr>
        <w:t xml:space="preserve">The project was carried out over a period of approximately one month, structured as follows: Week 1 — topic finalisation, literature review, and identification of the regulatory framework; Week 2 — data collection from Annual Reports and Corporate Governance Reports of the five sample companies; Week 3 — data tabulation in Excel, construction of the scoring model, and comparative analysis; Week 4 — report writing, findings, recommendations, and final review.</w:t>
      </w:r>
      <w:r w:rsidDel="00000000" w:rsidR="00000000" w:rsidRPr="00000000">
        <w:rPr>
          <w:rtl w:val="0"/>
        </w:rPr>
      </w:r>
    </w:p>
    <w:p w:rsidR="00000000" w:rsidDel="00000000" w:rsidP="00000000" w:rsidRDefault="00000000" w:rsidRPr="00000000" w14:paraId="00000070">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3.7 Limitations of the Study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study is based entirely on secondary data as disclosed by the companies themselves; it does not independently verify the accuracy of such disclosures.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Corporate governance is compared only for five large-cap companies; the findings may not be representative of mid-cap, small-cap, or unlisted companies.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Board composition and committee membership change frequently through resignations, retirements, and new appointments; figures reflect the position as per the most recent disclosures available at the time of writing and may not reflect the current position at the time of reading.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Composite Governance Index involves an element of subjective scoring by the researcher on certain qualitative parameters (e.g., disclosure quality) and should be read as an illustrative comparative tool rather than an audited or certified rating.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study does not extend to actual boardroom dynamics, informal governance practices, or matters not disclosed publicly.</w:t>
      </w:r>
      <w:r w:rsidDel="00000000" w:rsidR="00000000" w:rsidRPr="00000000">
        <w:rPr>
          <w:rtl w:val="0"/>
        </w:rPr>
      </w:r>
    </w:p>
    <w:p w:rsidR="00000000" w:rsidDel="00000000" w:rsidP="00000000" w:rsidRDefault="00000000" w:rsidRPr="00000000" w14:paraId="00000076">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4.  Regulatory Framework Governing Corporate Governance in India</w:t>
      </w:r>
      <w:r w:rsidDel="00000000" w:rsidR="00000000" w:rsidRPr="00000000">
        <w:rPr>
          <w:rtl w:val="0"/>
        </w:rPr>
      </w:r>
    </w:p>
    <w:p w:rsidR="00000000" w:rsidDel="00000000" w:rsidP="00000000" w:rsidRDefault="00000000" w:rsidRPr="00000000" w14:paraId="00000077">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4.1 The Companies Act, 2013</w:t>
      </w:r>
      <w:r w:rsidDel="00000000" w:rsidR="00000000" w:rsidRPr="00000000">
        <w:rPr>
          <w:rtl w:val="0"/>
        </w:rPr>
      </w:r>
    </w:p>
    <w:p w:rsidR="00000000" w:rsidDel="00000000" w:rsidP="00000000" w:rsidRDefault="00000000" w:rsidRPr="00000000" w14:paraId="00000078">
      <w:pPr>
        <w:spacing w:after="160" w:line="300" w:lineRule="auto"/>
        <w:jc w:val="both"/>
        <w:rPr/>
      </w:pPr>
      <w:r w:rsidDel="00000000" w:rsidR="00000000" w:rsidRPr="00000000">
        <w:rPr>
          <w:rFonts w:ascii="Calibri" w:cs="Calibri" w:eastAsia="Calibri" w:hAnsi="Calibri"/>
          <w:b w:val="0"/>
          <w:i w:val="0"/>
          <w:sz w:val="22"/>
          <w:szCs w:val="22"/>
          <w:rtl w:val="0"/>
        </w:rPr>
        <w:t xml:space="preserve">The Companies Act, 2013 forms the primary statutory backbone of corporate governance in India. Key governance-related provisions relevant to this study include: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149 — requires every listed company to have at least one-third of its Board as Independent Directors, and at least one Woman Director on the Board.</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134 — requires the Board’s Report to include a statement on the company’s compliance with the Corporate Governance framework and other disclosures, including Directors’ Responsibility Statement.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135 — mandates that companies meeting prescribed net worth, turnover, or net profit thresholds constitute a CSR Committee and spend at least 2% of average net profits of the preceding three financial years on CSR activities.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177 — requires listed companies (and certain other classes of companies) to constitute an Audit Committee with a majority of Independent Directors, and to establish a Vigil Mechanism (whistle-blower policy) for directors and employees.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178 — requires constitution of a Nomination and Remuneration Committee and, for companies with more than 1,000 shareholders/debenture-holders/deposit-holders, a Stakeholders Relationship Committee.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188 — governs related-party transactions, requiring Board (and in certain cases shareholder) approval and arm’s-length pricing for transactions with related parties.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149(6) and Schedule IV — define the criteria for a director to qualify as “independent” and prescribe a Code for Independent Directors covering their roles, duties, and manner of appointment/re-appointment.</w:t>
      </w:r>
      <w:r w:rsidDel="00000000" w:rsidR="00000000" w:rsidRPr="00000000">
        <w:rPr>
          <w:rtl w:val="0"/>
        </w:rPr>
      </w:r>
    </w:p>
    <w:p w:rsidR="00000000" w:rsidDel="00000000" w:rsidP="00000000" w:rsidRDefault="00000000" w:rsidRPr="00000000" w14:paraId="00000080">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4.2 SEBI (Listing Obligations and Disclosure Requirements) Regulations, 2015</w:t>
      </w:r>
      <w:r w:rsidDel="00000000" w:rsidR="00000000" w:rsidRPr="00000000">
        <w:rPr>
          <w:rtl w:val="0"/>
        </w:rPr>
      </w:r>
    </w:p>
    <w:p w:rsidR="00000000" w:rsidDel="00000000" w:rsidP="00000000" w:rsidRDefault="00000000" w:rsidRPr="00000000" w14:paraId="00000081">
      <w:pPr>
        <w:spacing w:after="160" w:line="300" w:lineRule="auto"/>
        <w:jc w:val="both"/>
        <w:rPr/>
      </w:pPr>
      <w:r w:rsidDel="00000000" w:rsidR="00000000" w:rsidRPr="00000000">
        <w:rPr>
          <w:rFonts w:ascii="Calibri" w:cs="Calibri" w:eastAsia="Calibri" w:hAnsi="Calibri"/>
          <w:b w:val="0"/>
          <w:i w:val="0"/>
          <w:sz w:val="22"/>
          <w:szCs w:val="22"/>
          <w:rtl w:val="0"/>
        </w:rPr>
        <w:t xml:space="preserve">SEBI LODR applies to all companies listed on Indian stock exchanges and imposes governance obligations considerably more detailed than the Companies Act. Provisions of particular relevance to this study include: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17 — prescribes minimum board size, the requisite proportion of Independent Directors (one-third if the Chairperson is Non-Executive, one-half if the Chairperson is an Executive Director related to the promoter), a maximum age limit for Non-Executive Directors beyond which a special resolution is required, and (for the top 1,000 listed entities by market capitalisation) requires at least one Independent Woman Director.</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18 — requires constitution of a qualified and independent Audit Committee, with at least two-thirds of its members being Independent Directors.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19 — governs the Nomination and Remuneration Committee.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20 — governs the Stakeholders Relationship Committee.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21 — mandates a Risk Management Committee for the top 1,000 listed entities by market capitalisation, with a majority of members being members of the Board of Directors, including at least one Independent Director.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23 — governs related-party transactions, prior approval by the Audit Committee (including omnibus approvals), and shareholder approval thresholds for material RPTs.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24 — governs corporate governance requirements with respect to subsidiaries, including at least one Independent Director of the listed holding company being on the board of material unlisted subsidiaries.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27 — requires a quarterly Corporate Governance Report to be filed with stock exchanges, and an annual Corporate Governance Report to be included in the Annual Report.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34 read with Annexure — requires the top 1,000 listed entities to include a Business Responsibility and Sustainability Report (BRSR) as part of their Annual Report.</w:t>
      </w:r>
      <w:r w:rsidDel="00000000" w:rsidR="00000000" w:rsidRPr="00000000">
        <w:rPr>
          <w:rtl w:val="0"/>
        </w:rPr>
      </w:r>
    </w:p>
    <w:p w:rsidR="00000000" w:rsidDel="00000000" w:rsidP="00000000" w:rsidRDefault="00000000" w:rsidRPr="00000000" w14:paraId="0000008B">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4.3 Role of Key Regulators</w:t>
      </w:r>
      <w:r w:rsidDel="00000000" w:rsidR="00000000" w:rsidRPr="00000000">
        <w:rPr>
          <w:rtl w:val="0"/>
        </w:rPr>
      </w:r>
    </w:p>
    <w:p w:rsidR="00000000" w:rsidDel="00000000" w:rsidP="00000000" w:rsidRDefault="00000000" w:rsidRPr="00000000" w14:paraId="0000008C">
      <w:pPr>
        <w:pStyle w:val="Heading3"/>
        <w:spacing w:after="100" w:before="200" w:lineRule="auto"/>
        <w:rPr/>
      </w:pPr>
      <w:r w:rsidDel="00000000" w:rsidR="00000000" w:rsidRPr="00000000">
        <w:rPr>
          <w:rFonts w:ascii="Calibri" w:cs="Calibri" w:eastAsia="Calibri" w:hAnsi="Calibri"/>
          <w:b w:val="1"/>
          <w:color w:val="1f1f1f"/>
          <w:sz w:val="22"/>
          <w:szCs w:val="22"/>
          <w:rtl w:val="0"/>
        </w:rPr>
        <w:t xml:space="preserve">4.3.1 Ministry of Corporate Affairs (MCA)</w:t>
      </w:r>
      <w:r w:rsidDel="00000000" w:rsidR="00000000" w:rsidRPr="00000000">
        <w:rPr>
          <w:rtl w:val="0"/>
        </w:rPr>
      </w:r>
    </w:p>
    <w:p w:rsidR="00000000" w:rsidDel="00000000" w:rsidP="00000000" w:rsidRDefault="00000000" w:rsidRPr="00000000" w14:paraId="0000008D">
      <w:pPr>
        <w:spacing w:after="160" w:line="300" w:lineRule="auto"/>
        <w:jc w:val="both"/>
        <w:rPr/>
      </w:pPr>
      <w:r w:rsidDel="00000000" w:rsidR="00000000" w:rsidRPr="00000000">
        <w:rPr>
          <w:rFonts w:ascii="Calibri" w:cs="Calibri" w:eastAsia="Calibri" w:hAnsi="Calibri"/>
          <w:b w:val="0"/>
          <w:i w:val="0"/>
          <w:sz w:val="22"/>
          <w:szCs w:val="22"/>
          <w:rtl w:val="0"/>
        </w:rPr>
        <w:t xml:space="preserve">The MCA administers the Companies Act, 2013 and the rules made thereunder, and maintains the electronic registry of company filings (MCA21 portal), including annual filing of financial statements, annual returns, and CSR spending disclosures (Form CSR-2).</w:t>
      </w:r>
      <w:r w:rsidDel="00000000" w:rsidR="00000000" w:rsidRPr="00000000">
        <w:rPr>
          <w:rtl w:val="0"/>
        </w:rPr>
      </w:r>
    </w:p>
    <w:p w:rsidR="00000000" w:rsidDel="00000000" w:rsidP="00000000" w:rsidRDefault="00000000" w:rsidRPr="00000000" w14:paraId="0000008E">
      <w:pPr>
        <w:pStyle w:val="Heading3"/>
        <w:spacing w:after="100" w:before="200" w:lineRule="auto"/>
        <w:rPr/>
      </w:pPr>
      <w:r w:rsidDel="00000000" w:rsidR="00000000" w:rsidRPr="00000000">
        <w:rPr>
          <w:rFonts w:ascii="Calibri" w:cs="Calibri" w:eastAsia="Calibri" w:hAnsi="Calibri"/>
          <w:b w:val="1"/>
          <w:color w:val="1f1f1f"/>
          <w:sz w:val="22"/>
          <w:szCs w:val="22"/>
          <w:rtl w:val="0"/>
        </w:rPr>
        <w:t xml:space="preserve">4.3.2 Securities and Exchange Board of India (SEBI)</w:t>
      </w:r>
      <w:r w:rsidDel="00000000" w:rsidR="00000000" w:rsidRPr="00000000">
        <w:rPr>
          <w:rtl w:val="0"/>
        </w:rPr>
      </w:r>
    </w:p>
    <w:p w:rsidR="00000000" w:rsidDel="00000000" w:rsidP="00000000" w:rsidRDefault="00000000" w:rsidRPr="00000000" w14:paraId="0000008F">
      <w:pPr>
        <w:spacing w:after="160" w:line="300" w:lineRule="auto"/>
        <w:jc w:val="both"/>
        <w:rPr/>
      </w:pPr>
      <w:r w:rsidDel="00000000" w:rsidR="00000000" w:rsidRPr="00000000">
        <w:rPr>
          <w:rFonts w:ascii="Calibri" w:cs="Calibri" w:eastAsia="Calibri" w:hAnsi="Calibri"/>
          <w:b w:val="0"/>
          <w:i w:val="0"/>
          <w:sz w:val="22"/>
          <w:szCs w:val="22"/>
          <w:rtl w:val="0"/>
        </w:rPr>
        <w:t xml:space="preserve">SEBI regulates listed companies through the SEBI LODR Regulations, prescribes disclosure norms, and takes enforcement action for governance lapses, including through the Committee on Corporate Governance mechanism and periodic amendments (such as those following the Kotak Committee Report, 2017).</w:t>
      </w:r>
      <w:r w:rsidDel="00000000" w:rsidR="00000000" w:rsidRPr="00000000">
        <w:rPr>
          <w:rtl w:val="0"/>
        </w:rPr>
      </w:r>
    </w:p>
    <w:p w:rsidR="00000000" w:rsidDel="00000000" w:rsidP="00000000" w:rsidRDefault="00000000" w:rsidRPr="00000000" w14:paraId="00000090">
      <w:pPr>
        <w:pStyle w:val="Heading3"/>
        <w:spacing w:after="100" w:before="200" w:lineRule="auto"/>
        <w:rPr/>
      </w:pPr>
      <w:r w:rsidDel="00000000" w:rsidR="00000000" w:rsidRPr="00000000">
        <w:rPr>
          <w:rFonts w:ascii="Calibri" w:cs="Calibri" w:eastAsia="Calibri" w:hAnsi="Calibri"/>
          <w:b w:val="1"/>
          <w:color w:val="1f1f1f"/>
          <w:sz w:val="22"/>
          <w:szCs w:val="22"/>
          <w:rtl w:val="0"/>
        </w:rPr>
        <w:t xml:space="preserve">4.3.3 Reserve Bank of India (RBI) — applicable to HDFC Bank</w:t>
      </w:r>
      <w:r w:rsidDel="00000000" w:rsidR="00000000" w:rsidRPr="00000000">
        <w:rPr>
          <w:rtl w:val="0"/>
        </w:rPr>
      </w:r>
    </w:p>
    <w:p w:rsidR="00000000" w:rsidDel="00000000" w:rsidP="00000000" w:rsidRDefault="00000000" w:rsidRPr="00000000" w14:paraId="00000091">
      <w:pPr>
        <w:spacing w:after="160" w:line="300" w:lineRule="auto"/>
        <w:jc w:val="both"/>
        <w:rPr/>
      </w:pPr>
      <w:r w:rsidDel="00000000" w:rsidR="00000000" w:rsidRPr="00000000">
        <w:rPr>
          <w:rFonts w:ascii="Calibri" w:cs="Calibri" w:eastAsia="Calibri" w:hAnsi="Calibri"/>
          <w:b w:val="0"/>
          <w:i w:val="0"/>
          <w:sz w:val="22"/>
          <w:szCs w:val="22"/>
          <w:rtl w:val="0"/>
        </w:rPr>
        <w:t xml:space="preserve">As a banking company, HDFC Bank is additionally subject to RBI’s corporate governance guidelines for banks, including ‘fit and proper’ criteria for directors, tenure norms for the Managing Director &amp; CEO and Whole-time Directors, and constitution of specific board committees mandated for banks (such as the Audit Committee of the Board and the Risk Management Committee under RBI’s governance framework), over and above SEBI LODR requirements.</w:t>
      </w:r>
      <w:r w:rsidDel="00000000" w:rsidR="00000000" w:rsidRPr="00000000">
        <w:rPr>
          <w:rtl w:val="0"/>
        </w:rPr>
      </w:r>
    </w:p>
    <w:p w:rsidR="00000000" w:rsidDel="00000000" w:rsidP="00000000" w:rsidRDefault="00000000" w:rsidRPr="00000000" w14:paraId="00000092">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4.4 Stock Exchange Listing Requirements</w:t>
      </w:r>
      <w:r w:rsidDel="00000000" w:rsidR="00000000" w:rsidRPr="00000000">
        <w:rPr>
          <w:rtl w:val="0"/>
        </w:rPr>
      </w:r>
    </w:p>
    <w:p w:rsidR="00000000" w:rsidDel="00000000" w:rsidP="00000000" w:rsidRDefault="00000000" w:rsidRPr="00000000" w14:paraId="00000093">
      <w:pPr>
        <w:spacing w:after="160" w:line="300" w:lineRule="auto"/>
        <w:jc w:val="both"/>
        <w:rPr/>
      </w:pPr>
      <w:r w:rsidDel="00000000" w:rsidR="00000000" w:rsidRPr="00000000">
        <w:rPr>
          <w:rFonts w:ascii="Calibri" w:cs="Calibri" w:eastAsia="Calibri" w:hAnsi="Calibri"/>
          <w:b w:val="0"/>
          <w:i w:val="0"/>
          <w:sz w:val="22"/>
          <w:szCs w:val="22"/>
          <w:rtl w:val="0"/>
        </w:rPr>
        <w:t xml:space="preserve">Both the NSE and BSE require listed companies to comply with SEBI LODR as a continuing condition of listing, and independently monitor and publish quarterly Corporate Governance Compliance Reports submitted by listed entities, non-compliance with which can attract fines and other regulatory action against the company and its directors.</w:t>
      </w:r>
      <w:r w:rsidDel="00000000" w:rsidR="00000000" w:rsidRPr="00000000">
        <w:rPr>
          <w:rtl w:val="0"/>
        </w:rPr>
      </w:r>
    </w:p>
    <w:p w:rsidR="00000000" w:rsidDel="00000000" w:rsidP="00000000" w:rsidRDefault="00000000" w:rsidRPr="00000000" w14:paraId="00000094">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5.  Company Profiles</w:t>
      </w:r>
      <w:r w:rsidDel="00000000" w:rsidR="00000000" w:rsidRPr="00000000">
        <w:rPr>
          <w:rtl w:val="0"/>
        </w:rPr>
      </w:r>
    </w:p>
    <w:p w:rsidR="00000000" w:rsidDel="00000000" w:rsidP="00000000" w:rsidRDefault="00000000" w:rsidRPr="00000000" w14:paraId="00000095">
      <w:pPr>
        <w:spacing w:after="160" w:line="300" w:lineRule="auto"/>
        <w:jc w:val="both"/>
        <w:rPr/>
      </w:pPr>
      <w:r w:rsidDel="00000000" w:rsidR="00000000" w:rsidRPr="00000000">
        <w:rPr>
          <w:rFonts w:ascii="Calibri" w:cs="Calibri" w:eastAsia="Calibri" w:hAnsi="Calibri"/>
          <w:b w:val="0"/>
          <w:i w:val="0"/>
          <w:sz w:val="22"/>
          <w:szCs w:val="22"/>
          <w:rtl w:val="0"/>
        </w:rPr>
        <w:t xml:space="preserve">This chapter briefly profiles each of the five companies selected for the comparative study, before the detailed governance comparison is undertaken in Chapter 6.</w:t>
      </w:r>
      <w:r w:rsidDel="00000000" w:rsidR="00000000" w:rsidRPr="00000000">
        <w:rPr>
          <w:rtl w:val="0"/>
        </w:rPr>
      </w:r>
    </w:p>
    <w:p w:rsidR="00000000" w:rsidDel="00000000" w:rsidP="00000000" w:rsidRDefault="00000000" w:rsidRPr="00000000" w14:paraId="00000096">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5.1 Tata Consultancy Services Limited (TCS)</w:t>
      </w:r>
      <w:r w:rsidDel="00000000" w:rsidR="00000000" w:rsidRPr="00000000">
        <w:rPr>
          <w:rtl w:val="0"/>
        </w:rPr>
      </w:r>
    </w:p>
    <w:p w:rsidR="00000000" w:rsidDel="00000000" w:rsidP="00000000" w:rsidRDefault="00000000" w:rsidRPr="00000000" w14:paraId="00000097">
      <w:pPr>
        <w:spacing w:after="160" w:line="300" w:lineRule="auto"/>
        <w:jc w:val="both"/>
        <w:rPr/>
      </w:pPr>
      <w:r w:rsidDel="00000000" w:rsidR="00000000" w:rsidRPr="00000000">
        <w:rPr>
          <w:rFonts w:ascii="Calibri" w:cs="Calibri" w:eastAsia="Calibri" w:hAnsi="Calibri"/>
          <w:b w:val="0"/>
          <w:i w:val="0"/>
          <w:sz w:val="22"/>
          <w:szCs w:val="22"/>
          <w:rtl w:val="0"/>
        </w:rPr>
        <w:t xml:space="preserve">Incorporated in 1968 and part of the Tata Group (with Tata Sons as the majority promoter shareholder), TCS is India’s largest IT services company by revenue and among the largest IT services exporters globally. TCS is listed on the NSE and BSE. The company is widely regarded as a governance benchmark within the Tata Group, which has historically emphasised the “Tata Code of Conduct” as an overlay on statutory governance requirements.</w:t>
      </w:r>
      <w:r w:rsidDel="00000000" w:rsidR="00000000" w:rsidRPr="00000000">
        <w:rPr>
          <w:rtl w:val="0"/>
        </w:rPr>
      </w:r>
    </w:p>
    <w:p w:rsidR="00000000" w:rsidDel="00000000" w:rsidP="00000000" w:rsidRDefault="00000000" w:rsidRPr="00000000" w14:paraId="00000098">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5.2 Reliance Industries Limited (RIL)</w:t>
      </w:r>
      <w:r w:rsidDel="00000000" w:rsidR="00000000" w:rsidRPr="00000000">
        <w:rPr>
          <w:rtl w:val="0"/>
        </w:rPr>
      </w:r>
    </w:p>
    <w:p w:rsidR="00000000" w:rsidDel="00000000" w:rsidP="00000000" w:rsidRDefault="00000000" w:rsidRPr="00000000" w14:paraId="00000099">
      <w:pPr>
        <w:spacing w:after="160" w:line="300" w:lineRule="auto"/>
        <w:jc w:val="both"/>
        <w:rPr/>
      </w:pPr>
      <w:r w:rsidDel="00000000" w:rsidR="00000000" w:rsidRPr="00000000">
        <w:rPr>
          <w:rFonts w:ascii="Calibri" w:cs="Calibri" w:eastAsia="Calibri" w:hAnsi="Calibri"/>
          <w:b w:val="0"/>
          <w:i w:val="0"/>
          <w:sz w:val="22"/>
          <w:szCs w:val="22"/>
          <w:rtl w:val="0"/>
        </w:rPr>
        <w:t xml:space="preserve">Incorporated in 1966, Reliance Industries is India’s largest private-sector company by revenue and market capitalisation, with business interests spanning petrochemicals and refining (its legacy energy business), retail (Reliance Retail), and telecommunications/digital services (Reliance Jio). RIL is a promoter-driven company, with the Ambani family holding a significant shareholding. Given its scale and the number of distinct business verticals under one listed entity, RIL’s governance structure necessarily addresses a wide diversity of stakeholder interests and related-party arrangements across group entities.</w:t>
      </w:r>
      <w:r w:rsidDel="00000000" w:rsidR="00000000" w:rsidRPr="00000000">
        <w:rPr>
          <w:rtl w:val="0"/>
        </w:rPr>
      </w:r>
    </w:p>
    <w:p w:rsidR="00000000" w:rsidDel="00000000" w:rsidP="00000000" w:rsidRDefault="00000000" w:rsidRPr="00000000" w14:paraId="0000009A">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5.3 Infosys Limited</w:t>
      </w:r>
      <w:r w:rsidDel="00000000" w:rsidR="00000000" w:rsidRPr="00000000">
        <w:rPr>
          <w:rtl w:val="0"/>
        </w:rPr>
      </w:r>
    </w:p>
    <w:p w:rsidR="00000000" w:rsidDel="00000000" w:rsidP="00000000" w:rsidRDefault="00000000" w:rsidRPr="00000000" w14:paraId="0000009B">
      <w:pPr>
        <w:spacing w:after="160" w:line="300" w:lineRule="auto"/>
        <w:jc w:val="both"/>
        <w:rPr/>
      </w:pPr>
      <w:r w:rsidDel="00000000" w:rsidR="00000000" w:rsidRPr="00000000">
        <w:rPr>
          <w:rFonts w:ascii="Calibri" w:cs="Calibri" w:eastAsia="Calibri" w:hAnsi="Calibri"/>
          <w:b w:val="0"/>
          <w:i w:val="0"/>
          <w:sz w:val="22"/>
          <w:szCs w:val="22"/>
          <w:rtl w:val="0"/>
        </w:rPr>
        <w:t xml:space="preserve">Incorporated in 1981, Infosys is India’s second-largest IT services company. Unlike TCS and RIL, Infosys does not have a dominant promoter shareholder; the founders retain only a small residual stake, and the shareholding is widely dispersed among institutional and retail investors. Infosys is often cited as an early adopter of governance best practices in India, partly reflecting the influence of co-founder N. R. Narayana Murthy, who also chaired the SEBI committee (2003) that strengthened Clause 49.</w:t>
      </w:r>
      <w:r w:rsidDel="00000000" w:rsidR="00000000" w:rsidRPr="00000000">
        <w:rPr>
          <w:rtl w:val="0"/>
        </w:rPr>
      </w:r>
    </w:p>
    <w:p w:rsidR="00000000" w:rsidDel="00000000" w:rsidP="00000000" w:rsidRDefault="00000000" w:rsidRPr="00000000" w14:paraId="0000009C">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5.4 HDFC Bank Limited</w:t>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rFonts w:ascii="Calibri" w:cs="Calibri" w:eastAsia="Calibri" w:hAnsi="Calibri"/>
          <w:b w:val="0"/>
          <w:i w:val="0"/>
          <w:sz w:val="22"/>
          <w:szCs w:val="22"/>
          <w:rtl w:val="0"/>
        </w:rPr>
        <w:t xml:space="preserve">Incorporated in 1994, HDFC Bank is India’s largest private-sector bank by assets, following its 2023 merger with its erstwhile parent, Housing Development Finance Corporation Limited (HDFC Ltd.). As a banking company, HDFC Bank is subject to an additional layer of governance regulation from the RBI, over and above SEBI LODR and the Companies Act. The bank does not have a single identifiable promoter; its shareholding is widely held among domestic and foreign institutional investors and the public.</w:t>
      </w:r>
      <w:r w:rsidDel="00000000" w:rsidR="00000000" w:rsidRPr="00000000">
        <w:rPr>
          <w:rtl w:val="0"/>
        </w:rPr>
      </w:r>
    </w:p>
    <w:p w:rsidR="00000000" w:rsidDel="00000000" w:rsidP="00000000" w:rsidRDefault="00000000" w:rsidRPr="00000000" w14:paraId="0000009E">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5.5 ITC Limited</w:t>
      </w:r>
      <w:r w:rsidDel="00000000" w:rsidR="00000000" w:rsidRPr="00000000">
        <w:rPr>
          <w:rtl w:val="0"/>
        </w:rPr>
      </w:r>
    </w:p>
    <w:p w:rsidR="00000000" w:rsidDel="00000000" w:rsidP="00000000" w:rsidRDefault="00000000" w:rsidRPr="00000000" w14:paraId="0000009F">
      <w:pPr>
        <w:spacing w:after="160" w:line="300" w:lineRule="auto"/>
        <w:jc w:val="both"/>
        <w:rPr/>
      </w:pPr>
      <w:r w:rsidDel="00000000" w:rsidR="00000000" w:rsidRPr="00000000">
        <w:rPr>
          <w:rFonts w:ascii="Calibri" w:cs="Calibri" w:eastAsia="Calibri" w:hAnsi="Calibri"/>
          <w:b w:val="0"/>
          <w:i w:val="0"/>
          <w:sz w:val="22"/>
          <w:szCs w:val="22"/>
          <w:rtl w:val="0"/>
        </w:rPr>
        <w:t xml:space="preserve">Incorporated in 1910, ITC is one of India’s oldest and most diversified conglomerates, with business segments spanning cigarettes and tobacco (its largest profit contributor), FMCG (foods, personal care, and other packaged goods), hotels, agri-business, and paperboards &amp; packaging. British American Tobacco (BAT) has historically been the single largest shareholder in ITC, though the company does not have an Indian promoter in the conventional sense and is professionally managed with a widely dispersed institutional and retail shareholder base.</w:t>
      </w:r>
      <w:r w:rsidDel="00000000" w:rsidR="00000000" w:rsidRPr="00000000">
        <w:rPr>
          <w:rtl w:val="0"/>
        </w:rPr>
      </w:r>
    </w:p>
    <w:p w:rsidR="00000000" w:rsidDel="00000000" w:rsidP="00000000" w:rsidRDefault="00000000" w:rsidRPr="00000000" w14:paraId="000000A0">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6.  Comparative Analysis of Corporate Governance Practices</w:t>
      </w:r>
      <w:r w:rsidDel="00000000" w:rsidR="00000000" w:rsidRPr="00000000">
        <w:rPr>
          <w:rtl w:val="0"/>
        </w:rPr>
      </w:r>
    </w:p>
    <w:p w:rsidR="00000000" w:rsidDel="00000000" w:rsidP="00000000" w:rsidRDefault="00000000" w:rsidRPr="00000000" w14:paraId="000000A1">
      <w:pPr>
        <w:spacing w:after="160" w:line="300" w:lineRule="auto"/>
        <w:jc w:val="both"/>
        <w:rPr/>
      </w:pPr>
      <w:r w:rsidDel="00000000" w:rsidR="00000000" w:rsidRPr="00000000">
        <w:rPr>
          <w:rFonts w:ascii="Calibri" w:cs="Calibri" w:eastAsia="Calibri" w:hAnsi="Calibri"/>
          <w:b w:val="0"/>
          <w:i w:val="0"/>
          <w:sz w:val="22"/>
          <w:szCs w:val="22"/>
          <w:rtl w:val="0"/>
        </w:rPr>
        <w:t xml:space="preserve">This chapter presents the comparative findings across the five sample companies on board composition, committee structure, CSR performance, and related-party/risk governance. The underlying data, along with live formulas and charts, is available in the accompanying Excel workbook ‘Corporate_Governance_Comparative_Data.xlsx’ (see Annexure).</w:t>
      </w:r>
      <w:r w:rsidDel="00000000" w:rsidR="00000000" w:rsidRPr="00000000">
        <w:rPr>
          <w:rtl w:val="0"/>
        </w:rPr>
      </w:r>
    </w:p>
    <w:p w:rsidR="00000000" w:rsidDel="00000000" w:rsidP="00000000" w:rsidRDefault="00000000" w:rsidRPr="00000000" w14:paraId="000000A2">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6.1 Board Composition and Independence</w:t>
      </w:r>
      <w:r w:rsidDel="00000000" w:rsidR="00000000" w:rsidRPr="00000000">
        <w:rPr>
          <w:rtl w:val="0"/>
        </w:rPr>
      </w:r>
    </w:p>
    <w:p w:rsidR="00000000" w:rsidDel="00000000" w:rsidP="00000000" w:rsidRDefault="00000000" w:rsidRPr="00000000" w14:paraId="000000A3">
      <w:pPr>
        <w:spacing w:after="160" w:line="300" w:lineRule="auto"/>
        <w:jc w:val="both"/>
        <w:rPr/>
      </w:pPr>
      <w:r w:rsidDel="00000000" w:rsidR="00000000" w:rsidRPr="00000000">
        <w:rPr>
          <w:rFonts w:ascii="Calibri" w:cs="Calibri" w:eastAsia="Calibri" w:hAnsi="Calibri"/>
          <w:b w:val="0"/>
          <w:i w:val="0"/>
          <w:sz w:val="22"/>
          <w:szCs w:val="22"/>
          <w:rtl w:val="0"/>
        </w:rPr>
        <w:t xml:space="preserve">Table 6.1 compares the size and category-wise composition of the Board of Directors of the five sample companies, based on their most recent Corporate Governance Reports available at the time of this study.</w:t>
      </w:r>
      <w:r w:rsidDel="00000000" w:rsidR="00000000" w:rsidRPr="00000000">
        <w:rPr>
          <w:rtl w:val="0"/>
        </w:rPr>
      </w:r>
    </w:p>
    <w:tbl>
      <w:tblPr>
        <w:tblStyle w:val="Table2"/>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900"/>
        <w:gridCol w:w="950"/>
        <w:gridCol w:w="950"/>
        <w:gridCol w:w="1050"/>
        <w:gridCol w:w="1050"/>
        <w:gridCol w:w="950"/>
        <w:gridCol w:w="1100"/>
        <w:tblGridChange w:id="0">
          <w:tblGrid>
            <w:gridCol w:w="1900"/>
            <w:gridCol w:w="900"/>
            <w:gridCol w:w="950"/>
            <w:gridCol w:w="950"/>
            <w:gridCol w:w="1050"/>
            <w:gridCol w:w="1050"/>
            <w:gridCol w:w="950"/>
            <w:gridCol w:w="1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1"/>
                <w:color w:val="ffffff"/>
                <w:sz w:val="19"/>
                <w:szCs w:val="19"/>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b w:val="1"/>
                <w:color w:val="ffffff"/>
                <w:sz w:val="19"/>
                <w:szCs w:val="19"/>
                <w:rtl w:val="0"/>
              </w:rPr>
              <w:t xml:space="preserve">Board Size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6">
            <w:pPr>
              <w:jc w:val="center"/>
              <w:rPr/>
            </w:pPr>
            <w:r w:rsidDel="00000000" w:rsidR="00000000" w:rsidRPr="00000000">
              <w:rPr>
                <w:rFonts w:ascii="Calibri" w:cs="Calibri" w:eastAsia="Calibri" w:hAnsi="Calibri"/>
                <w:b w:val="1"/>
                <w:color w:val="ffffff"/>
                <w:sz w:val="19"/>
                <w:szCs w:val="19"/>
                <w:rtl w:val="0"/>
              </w:rPr>
              <w:t xml:space="preserve">Executive Dirs.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b w:val="1"/>
                <w:color w:val="ffffff"/>
                <w:sz w:val="19"/>
                <w:szCs w:val="19"/>
                <w:rtl w:val="0"/>
              </w:rPr>
              <w:t xml:space="preserve">Non-Exec. Dirs.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b w:val="1"/>
                <w:color w:val="ffffff"/>
                <w:sz w:val="19"/>
                <w:szCs w:val="19"/>
                <w:rtl w:val="0"/>
              </w:rPr>
              <w:t xml:space="preserve">Independent Dirs.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9">
            <w:pPr>
              <w:jc w:val="center"/>
              <w:rPr/>
            </w:pPr>
            <w:r w:rsidDel="00000000" w:rsidR="00000000" w:rsidRPr="00000000">
              <w:rPr>
                <w:rFonts w:ascii="Calibri" w:cs="Calibri" w:eastAsia="Calibri" w:hAnsi="Calibri"/>
                <w:b w:val="1"/>
                <w:color w:val="ffffff"/>
                <w:sz w:val="19"/>
                <w:szCs w:val="19"/>
                <w:rtl w:val="0"/>
              </w:rPr>
              <w:t xml:space="preserve">% Independent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b w:val="1"/>
                <w:color w:val="ffffff"/>
                <w:sz w:val="19"/>
                <w:szCs w:val="19"/>
                <w:rtl w:val="0"/>
              </w:rPr>
              <w:t xml:space="preserve">Women Dirs.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B">
            <w:pPr>
              <w:jc w:val="center"/>
              <w:rPr/>
            </w:pPr>
            <w:r w:rsidDel="00000000" w:rsidR="00000000" w:rsidRPr="00000000">
              <w:rPr>
                <w:rFonts w:ascii="Calibri" w:cs="Calibri" w:eastAsia="Calibri" w:hAnsi="Calibri"/>
                <w:b w:val="1"/>
                <w:color w:val="ffffff"/>
                <w:sz w:val="19"/>
                <w:szCs w:val="19"/>
                <w:rtl w:val="0"/>
              </w:rPr>
              <w:t xml:space="preserve">Board Meetings (FY)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color w:val="1f1f1f"/>
                <w:sz w:val="19"/>
                <w:szCs w:val="19"/>
                <w:rtl w:val="0"/>
              </w:rPr>
              <w:t xml:space="preserve">Tata Consultancy Services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jc w:val="center"/>
              <w:rPr/>
            </w:pPr>
            <w:r w:rsidDel="00000000" w:rsidR="00000000" w:rsidRPr="00000000">
              <w:rPr>
                <w:rFonts w:ascii="Calibri" w:cs="Calibri" w:eastAsia="Calibri" w:hAnsi="Calibri"/>
                <w:b w:val="0"/>
                <w:color w:val="1f1f1f"/>
                <w:sz w:val="19"/>
                <w:szCs w:val="19"/>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jc w:val="center"/>
              <w:rPr/>
            </w:pPr>
            <w:r w:rsidDel="00000000" w:rsidR="00000000" w:rsidRPr="00000000">
              <w:rPr>
                <w:rFonts w:ascii="Calibri" w:cs="Calibri" w:eastAsia="Calibri" w:hAnsi="Calibri"/>
                <w:b w:val="0"/>
                <w:color w:val="1f1f1f"/>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center"/>
              <w:rPr/>
            </w:pPr>
            <w:r w:rsidDel="00000000" w:rsidR="00000000" w:rsidRPr="00000000">
              <w:rPr>
                <w:rFonts w:ascii="Calibri" w:cs="Calibri" w:eastAsia="Calibri" w:hAnsi="Calibri"/>
                <w:b w:val="0"/>
                <w:color w:val="1f1f1f"/>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b w:val="0"/>
                <w:color w:val="1f1f1f"/>
                <w:sz w:val="19"/>
                <w:szCs w:val="19"/>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b w:val="0"/>
                <w:color w:val="1f1f1f"/>
                <w:sz w:val="19"/>
                <w:szCs w:val="19"/>
                <w:rtl w:val="0"/>
              </w:rPr>
              <w:t xml:space="preserve">63.6%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rFonts w:ascii="Calibri" w:cs="Calibri" w:eastAsia="Calibri" w:hAnsi="Calibri"/>
                <w:b w:val="0"/>
                <w:color w:val="1f1f1f"/>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b w:val="0"/>
                <w:color w:val="1f1f1f"/>
                <w:sz w:val="19"/>
                <w:szCs w:val="19"/>
                <w:rtl w:val="0"/>
              </w:rPr>
              <w:t xml:space="preserve">6</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color w:val="1f1f1f"/>
                <w:sz w:val="19"/>
                <w:szCs w:val="19"/>
                <w:rtl w:val="0"/>
              </w:rPr>
              <w:t xml:space="preserve">Reliance Industries</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B5">
            <w:pPr>
              <w:jc w:val="center"/>
              <w:rPr/>
            </w:pPr>
            <w:r w:rsidDel="00000000" w:rsidR="00000000" w:rsidRPr="00000000">
              <w:rPr>
                <w:rFonts w:ascii="Calibri" w:cs="Calibri" w:eastAsia="Calibri" w:hAnsi="Calibri"/>
                <w:b w:val="0"/>
                <w:color w:val="1f1f1f"/>
                <w:sz w:val="19"/>
                <w:szCs w:val="19"/>
                <w:rtl w:val="0"/>
              </w:rPr>
              <w:t xml:space="preserve">12</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B7">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B8">
            <w:pPr>
              <w:jc w:val="center"/>
              <w:rPr/>
            </w:pPr>
            <w:r w:rsidDel="00000000" w:rsidR="00000000" w:rsidRPr="00000000">
              <w:rPr>
                <w:rFonts w:ascii="Calibri" w:cs="Calibri" w:eastAsia="Calibri" w:hAnsi="Calibri"/>
                <w:b w:val="0"/>
                <w:color w:val="1f1f1f"/>
                <w:sz w:val="19"/>
                <w:szCs w:val="19"/>
                <w:rtl w:val="0"/>
              </w:rPr>
              <w:t xml:space="preserve">6</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0"/>
                <w:color w:val="1f1f1f"/>
                <w:sz w:val="19"/>
                <w:szCs w:val="19"/>
                <w:rtl w:val="0"/>
              </w:rPr>
              <w:t xml:space="preserve">50.0%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b w:val="0"/>
                <w:color w:val="1f1f1f"/>
                <w:sz w:val="19"/>
                <w:szCs w:val="19"/>
                <w:rtl w:val="0"/>
              </w:rPr>
              <w:t xml:space="preserve">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0"/>
                <w:color w:val="1f1f1f"/>
                <w:sz w:val="19"/>
                <w:szCs w:val="19"/>
                <w:rtl w:val="0"/>
              </w:rPr>
              <w:t xml:space="preserve">Infosys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0"/>
                <w:color w:val="1f1f1f"/>
                <w:sz w:val="19"/>
                <w:szCs w:val="19"/>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jc w:val="center"/>
              <w:rPr/>
            </w:pPr>
            <w:r w:rsidDel="00000000" w:rsidR="00000000" w:rsidRPr="00000000">
              <w:rPr>
                <w:rFonts w:ascii="Calibri" w:cs="Calibri" w:eastAsia="Calibri" w:hAnsi="Calibri"/>
                <w:b w:val="0"/>
                <w:color w:val="1f1f1f"/>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rFonts w:ascii="Calibri" w:cs="Calibri" w:eastAsia="Calibri" w:hAnsi="Calibri"/>
                <w:b w:val="0"/>
                <w:color w:val="1f1f1f"/>
                <w:sz w:val="19"/>
                <w:szCs w:val="19"/>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0"/>
                <w:color w:val="1f1f1f"/>
                <w:sz w:val="19"/>
                <w:szCs w:val="19"/>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0"/>
                <w:color w:val="1f1f1f"/>
                <w:sz w:val="19"/>
                <w:szCs w:val="19"/>
                <w:rtl w:val="0"/>
              </w:rPr>
              <w:t xml:space="preserve">70.0%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jc w:val="center"/>
              <w:rPr/>
            </w:pPr>
            <w:r w:rsidDel="00000000" w:rsidR="00000000" w:rsidRPr="00000000">
              <w:rPr>
                <w:rFonts w:ascii="Calibri" w:cs="Calibri" w:eastAsia="Calibri" w:hAnsi="Calibri"/>
                <w:b w:val="0"/>
                <w:color w:val="1f1f1f"/>
                <w:sz w:val="19"/>
                <w:szCs w:val="19"/>
                <w:rtl w:val="0"/>
              </w:rPr>
              <w:t xml:space="preserve">8</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0"/>
                <w:color w:val="1f1f1f"/>
                <w:sz w:val="19"/>
                <w:szCs w:val="19"/>
                <w:rtl w:val="0"/>
              </w:rPr>
              <w:t xml:space="preserve">HDFC Bank</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0"/>
                <w:color w:val="1f1f1f"/>
                <w:sz w:val="19"/>
                <w:szCs w:val="19"/>
                <w:rtl w:val="0"/>
              </w:rPr>
              <w:t xml:space="preserve">14</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0"/>
                <w:color w:val="1f1f1f"/>
                <w:sz w:val="19"/>
                <w:szCs w:val="19"/>
                <w:rtl w:val="0"/>
              </w:rPr>
              <w:t xml:space="preserve">2</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C7">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0"/>
                <w:color w:val="1f1f1f"/>
                <w:sz w:val="19"/>
                <w:szCs w:val="19"/>
                <w:rtl w:val="0"/>
              </w:rPr>
              <w:t xml:space="preserve">9</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C9">
            <w:pPr>
              <w:jc w:val="center"/>
              <w:rPr/>
            </w:pPr>
            <w:r w:rsidDel="00000000" w:rsidR="00000000" w:rsidRPr="00000000">
              <w:rPr>
                <w:rFonts w:ascii="Calibri" w:cs="Calibri" w:eastAsia="Calibri" w:hAnsi="Calibri"/>
                <w:b w:val="0"/>
                <w:color w:val="1f1f1f"/>
                <w:sz w:val="19"/>
                <w:szCs w:val="19"/>
                <w:rtl w:val="0"/>
              </w:rPr>
              <w:t xml:space="preserve">64.3%</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CA">
            <w:pPr>
              <w:jc w:val="center"/>
              <w:rPr/>
            </w:pPr>
            <w:r w:rsidDel="00000000" w:rsidR="00000000" w:rsidRPr="00000000">
              <w:rPr>
                <w:rFonts w:ascii="Calibri" w:cs="Calibri" w:eastAsia="Calibri" w:hAnsi="Calibri"/>
                <w:b w:val="0"/>
                <w:color w:val="1f1f1f"/>
                <w:sz w:val="19"/>
                <w:szCs w:val="19"/>
                <w:rtl w:val="0"/>
              </w:rPr>
              <w:t xml:space="preserve">4</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0"/>
                <w:color w:val="1f1f1f"/>
                <w:sz w:val="19"/>
                <w:szCs w:val="19"/>
                <w:rtl w:val="0"/>
              </w:rPr>
              <w:t xml:space="preserve">12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color w:val="1f1f1f"/>
                <w:sz w:val="19"/>
                <w:szCs w:val="19"/>
                <w:rtl w:val="0"/>
              </w:rPr>
              <w:t xml:space="preserve">ITC Limited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0"/>
                <w:color w:val="1f1f1f"/>
                <w:sz w:val="19"/>
                <w:szCs w:val="19"/>
                <w:rtl w:val="0"/>
              </w:rPr>
              <w:t xml:space="preserve">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0"/>
                <w:color w:val="1f1f1f"/>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0"/>
                <w:color w:val="1f1f1f"/>
                <w:sz w:val="19"/>
                <w:szCs w:val="19"/>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jc w:val="center"/>
              <w:rPr/>
            </w:pPr>
            <w:r w:rsidDel="00000000" w:rsidR="00000000" w:rsidRPr="00000000">
              <w:rPr>
                <w:rFonts w:ascii="Calibri" w:cs="Calibri" w:eastAsia="Calibri" w:hAnsi="Calibri"/>
                <w:b w:val="0"/>
                <w:color w:val="1f1f1f"/>
                <w:sz w:val="19"/>
                <w:szCs w:val="19"/>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0"/>
                <w:color w:val="1f1f1f"/>
                <w:sz w:val="19"/>
                <w:szCs w:val="19"/>
                <w:rtl w:val="0"/>
              </w:rPr>
              <w:t xml:space="preserve">53.8%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jc w:val="center"/>
              <w:rPr/>
            </w:pPr>
            <w:r w:rsidDel="00000000" w:rsidR="00000000" w:rsidRPr="00000000">
              <w:rPr>
                <w:rFonts w:ascii="Calibri" w:cs="Calibri" w:eastAsia="Calibri" w:hAnsi="Calibri"/>
                <w:b w:val="0"/>
                <w:color w:val="1f1f1f"/>
                <w:sz w:val="19"/>
                <w:szCs w:val="19"/>
                <w:rtl w:val="0"/>
              </w:rPr>
              <w:t xml:space="preserve">6</w:t>
            </w:r>
            <w:r w:rsidDel="00000000" w:rsidR="00000000" w:rsidRPr="00000000">
              <w:rPr>
                <w:rtl w:val="0"/>
              </w:rPr>
            </w:r>
          </w:p>
        </w:tc>
      </w:tr>
    </w:tbl>
    <w:p w:rsidR="00000000" w:rsidDel="00000000" w:rsidP="00000000" w:rsidRDefault="00000000" w:rsidRPr="00000000" w14:paraId="000000D4">
      <w:pPr>
        <w:spacing w:after="240" w:before="60" w:lineRule="auto"/>
        <w:jc w:val="center"/>
        <w:rPr/>
      </w:pPr>
      <w:r w:rsidDel="00000000" w:rsidR="00000000" w:rsidRPr="00000000">
        <w:rPr>
          <w:rFonts w:ascii="Calibri" w:cs="Calibri" w:eastAsia="Calibri" w:hAnsi="Calibri"/>
          <w:i w:val="1"/>
          <w:color w:val="595959"/>
          <w:sz w:val="19"/>
          <w:szCs w:val="19"/>
          <w:rtl w:val="0"/>
        </w:rPr>
        <w:t xml:space="preserve">Table 6.1: Board Composition of Sample Companies (illustrative, compiled from Annual Reports/Corporate Governance Reports — verify against latest filings before final submission)</w:t>
      </w:r>
      <w:r w:rsidDel="00000000" w:rsidR="00000000" w:rsidRPr="00000000">
        <w:rPr>
          <w:rtl w:val="0"/>
        </w:rPr>
      </w:r>
    </w:p>
    <w:p w:rsidR="00000000" w:rsidDel="00000000" w:rsidP="00000000" w:rsidRDefault="00000000" w:rsidRPr="00000000" w14:paraId="000000D5">
      <w:pPr>
        <w:spacing w:after="160" w:line="300" w:lineRule="auto"/>
        <w:jc w:val="both"/>
        <w:rPr/>
      </w:pPr>
      <w:r w:rsidDel="00000000" w:rsidR="00000000" w:rsidRPr="00000000">
        <w:rPr>
          <w:rFonts w:ascii="Calibri" w:cs="Calibri" w:eastAsia="Calibri" w:hAnsi="Calibri"/>
          <w:b w:val="0"/>
          <w:i w:val="0"/>
          <w:sz w:val="22"/>
          <w:szCs w:val="22"/>
          <w:rtl w:val="0"/>
        </w:rPr>
        <w:t xml:space="preserve">All five companies exceed the SEBI LODR Regulation 17 minimum of one-third Independent Directors (or one-half, where the Chairperson is an Executive Director related to the promoter, as with Reliance Industries). Infosys and HDFC Bank report the highest proportion of Independent Directors in the sample, consistent with their widely-held, no-single-promoter ownership structures, which typically necessitate a stronger independent oversight function in the absence of a dominant promoter group. Reliance Industries, where the Chairperson is an Executive Director, still comfortably exceeds the higher one-half independence threshold applicable to it.</w:t>
      </w:r>
      <w:r w:rsidDel="00000000" w:rsidR="00000000" w:rsidRPr="00000000">
        <w:rPr>
          <w:rtl w:val="0"/>
        </w:rPr>
      </w:r>
    </w:p>
    <w:p w:rsidR="00000000" w:rsidDel="00000000" w:rsidP="00000000" w:rsidRDefault="00000000" w:rsidRPr="00000000" w14:paraId="000000D6">
      <w:pPr>
        <w:spacing w:after="160" w:line="300" w:lineRule="auto"/>
        <w:jc w:val="both"/>
        <w:rPr/>
      </w:pPr>
      <w:r w:rsidDel="00000000" w:rsidR="00000000" w:rsidRPr="00000000">
        <w:rPr>
          <w:rFonts w:ascii="Calibri" w:cs="Calibri" w:eastAsia="Calibri" w:hAnsi="Calibri"/>
          <w:b w:val="0"/>
          <w:i w:val="0"/>
          <w:sz w:val="22"/>
          <w:szCs w:val="22"/>
          <w:rtl w:val="0"/>
        </w:rPr>
        <w:t xml:space="preserve">All five companies also comply with the requirement (applicable to the top 1,000 listed entities) of having at least one Independent Woman Director on the Board, with representation ranging from two to four women directors across the sample.</w:t>
      </w:r>
      <w:r w:rsidDel="00000000" w:rsidR="00000000" w:rsidRPr="00000000">
        <w:rPr>
          <w:rtl w:val="0"/>
        </w:rPr>
      </w:r>
    </w:p>
    <w:p w:rsidR="00000000" w:rsidDel="00000000" w:rsidP="00000000" w:rsidRDefault="00000000" w:rsidRPr="00000000" w14:paraId="000000D7">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6.2 Board Committee Structure</w:t>
      </w:r>
      <w:r w:rsidDel="00000000" w:rsidR="00000000" w:rsidRPr="00000000">
        <w:rPr>
          <w:rtl w:val="0"/>
        </w:rPr>
      </w:r>
    </w:p>
    <w:p w:rsidR="00000000" w:rsidDel="00000000" w:rsidP="00000000" w:rsidRDefault="00000000" w:rsidRPr="00000000" w14:paraId="000000D8">
      <w:pPr>
        <w:spacing w:after="160" w:line="300" w:lineRule="auto"/>
        <w:jc w:val="both"/>
        <w:rPr/>
      </w:pPr>
      <w:r w:rsidDel="00000000" w:rsidR="00000000" w:rsidRPr="00000000">
        <w:rPr>
          <w:rFonts w:ascii="Calibri" w:cs="Calibri" w:eastAsia="Calibri" w:hAnsi="Calibri"/>
          <w:b w:val="0"/>
          <w:i w:val="0"/>
          <w:sz w:val="22"/>
          <w:szCs w:val="22"/>
          <w:rtl w:val="0"/>
        </w:rPr>
        <w:t xml:space="preserve">Table 6.2 compares the constitution of the five principal board committees relevant to governance — the Audit Committee, Nomination &amp; Remuneration Committee (NRC), Stakeholders Relationship Committee (SRC), CSR Committee, and Risk Management Committee (RMC) — and the category of the Board Chairperson.</w:t>
      </w: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50"/>
        <w:gridCol w:w="850"/>
        <w:gridCol w:w="850"/>
        <w:gridCol w:w="1200"/>
        <w:gridCol w:w="1400"/>
        <w:gridCol w:w="1550"/>
        <w:tblGridChange w:id="0">
          <w:tblGrid>
            <w:gridCol w:w="1900"/>
            <w:gridCol w:w="1150"/>
            <w:gridCol w:w="850"/>
            <w:gridCol w:w="850"/>
            <w:gridCol w:w="1200"/>
            <w:gridCol w:w="1400"/>
            <w:gridCol w:w="15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9">
            <w:pPr>
              <w:jc w:val="center"/>
              <w:rPr/>
            </w:pPr>
            <w:r w:rsidDel="00000000" w:rsidR="00000000" w:rsidRPr="00000000">
              <w:rPr>
                <w:rFonts w:ascii="Calibri" w:cs="Calibri" w:eastAsia="Calibri" w:hAnsi="Calibri"/>
                <w:b w:val="1"/>
                <w:color w:val="ffffff"/>
                <w:sz w:val="19"/>
                <w:szCs w:val="19"/>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1"/>
                <w:color w:val="ffffff"/>
                <w:sz w:val="19"/>
                <w:szCs w:val="19"/>
                <w:rtl w:val="0"/>
              </w:rPr>
              <w:t xml:space="preserve">Audit Committee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B">
            <w:pPr>
              <w:jc w:val="center"/>
              <w:rPr/>
            </w:pPr>
            <w:r w:rsidDel="00000000" w:rsidR="00000000" w:rsidRPr="00000000">
              <w:rPr>
                <w:rFonts w:ascii="Calibri" w:cs="Calibri" w:eastAsia="Calibri" w:hAnsi="Calibri"/>
                <w:b w:val="1"/>
                <w:color w:val="ffffff"/>
                <w:sz w:val="19"/>
                <w:szCs w:val="19"/>
                <w:rtl w:val="0"/>
              </w:rPr>
              <w:t xml:space="preserve">NRC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C">
            <w:pPr>
              <w:jc w:val="center"/>
              <w:rPr/>
            </w:pPr>
            <w:r w:rsidDel="00000000" w:rsidR="00000000" w:rsidRPr="00000000">
              <w:rPr>
                <w:rFonts w:ascii="Calibri" w:cs="Calibri" w:eastAsia="Calibri" w:hAnsi="Calibri"/>
                <w:b w:val="1"/>
                <w:color w:val="ffffff"/>
                <w:sz w:val="19"/>
                <w:szCs w:val="19"/>
                <w:rtl w:val="0"/>
              </w:rPr>
              <w:t xml:space="preserve">SRC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D">
            <w:pPr>
              <w:jc w:val="center"/>
              <w:rPr/>
            </w:pPr>
            <w:r w:rsidDel="00000000" w:rsidR="00000000" w:rsidRPr="00000000">
              <w:rPr>
                <w:rFonts w:ascii="Calibri" w:cs="Calibri" w:eastAsia="Calibri" w:hAnsi="Calibri"/>
                <w:b w:val="1"/>
                <w:color w:val="ffffff"/>
                <w:sz w:val="19"/>
                <w:szCs w:val="19"/>
                <w:rtl w:val="0"/>
              </w:rPr>
              <w:t xml:space="preserve">CSR Committee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b w:val="1"/>
                <w:color w:val="ffffff"/>
                <w:sz w:val="19"/>
                <w:szCs w:val="19"/>
                <w:rtl w:val="0"/>
              </w:rPr>
              <w:t xml:space="preserve">Risk Mgmt. Committee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F">
            <w:pPr>
              <w:jc w:val="center"/>
              <w:rPr/>
            </w:pPr>
            <w:r w:rsidDel="00000000" w:rsidR="00000000" w:rsidRPr="00000000">
              <w:rPr>
                <w:rFonts w:ascii="Calibri" w:cs="Calibri" w:eastAsia="Calibri" w:hAnsi="Calibri"/>
                <w:b w:val="1"/>
                <w:color w:val="ffffff"/>
                <w:sz w:val="19"/>
                <w:szCs w:val="19"/>
                <w:rtl w:val="0"/>
              </w:rPr>
              <w:t xml:space="preserve">Chairperson Category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0"/>
                <w:color w:val="1f1f1f"/>
                <w:sz w:val="19"/>
                <w:szCs w:val="19"/>
                <w:rtl w:val="0"/>
              </w:rPr>
              <w:t xml:space="preserve">Tata Consultancy Services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jc w:val="center"/>
              <w:rPr/>
            </w:pPr>
            <w:r w:rsidDel="00000000" w:rsidR="00000000" w:rsidRPr="00000000">
              <w:rPr>
                <w:rFonts w:ascii="Calibri" w:cs="Calibri" w:eastAsia="Calibri" w:hAnsi="Calibri"/>
                <w:b w:val="0"/>
                <w:color w:val="1f1f1f"/>
                <w:sz w:val="19"/>
                <w:szCs w:val="19"/>
                <w:rtl w:val="0"/>
              </w:rPr>
              <w:t xml:space="preserve">Non-Exec., Non-Independent</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color w:val="1f1f1f"/>
                <w:sz w:val="19"/>
                <w:szCs w:val="19"/>
                <w:rtl w:val="0"/>
              </w:rPr>
              <w:t xml:space="preserve">Reliance Industries</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E8">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E9">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EA">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EB">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EC">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ED">
            <w:pPr>
              <w:jc w:val="center"/>
              <w:rPr/>
            </w:pPr>
            <w:r w:rsidDel="00000000" w:rsidR="00000000" w:rsidRPr="00000000">
              <w:rPr>
                <w:rFonts w:ascii="Calibri" w:cs="Calibri" w:eastAsia="Calibri" w:hAnsi="Calibri"/>
                <w:b w:val="0"/>
                <w:color w:val="1f1f1f"/>
                <w:sz w:val="19"/>
                <w:szCs w:val="19"/>
                <w:rtl w:val="0"/>
              </w:rPr>
              <w:t xml:space="preserve">Executive Chairman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color w:val="1f1f1f"/>
                <w:sz w:val="19"/>
                <w:szCs w:val="19"/>
                <w:rtl w:val="0"/>
              </w:rPr>
              <w:t xml:space="preserve">Infosys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b w:val="0"/>
                <w:color w:val="1f1f1f"/>
                <w:sz w:val="19"/>
                <w:szCs w:val="19"/>
                <w:rtl w:val="0"/>
              </w:rPr>
              <w:t xml:space="preserve">Non-Exec., Independent</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color w:val="1f1f1f"/>
                <w:sz w:val="19"/>
                <w:szCs w:val="19"/>
                <w:rtl w:val="0"/>
              </w:rPr>
              <w:t xml:space="preserve">HDFC Bank</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F6">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F7">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F9">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FA">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0FB">
            <w:pPr>
              <w:jc w:val="center"/>
              <w:rPr/>
            </w:pPr>
            <w:r w:rsidDel="00000000" w:rsidR="00000000" w:rsidRPr="00000000">
              <w:rPr>
                <w:rFonts w:ascii="Calibri" w:cs="Calibri" w:eastAsia="Calibri" w:hAnsi="Calibri"/>
                <w:b w:val="0"/>
                <w:color w:val="1f1f1f"/>
                <w:sz w:val="19"/>
                <w:szCs w:val="19"/>
                <w:rtl w:val="0"/>
              </w:rPr>
              <w:t xml:space="preserve">Non-Exec., Independent (Part-time)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color w:val="1f1f1f"/>
                <w:sz w:val="19"/>
                <w:szCs w:val="19"/>
                <w:rtl w:val="0"/>
              </w:rPr>
              <w:t xml:space="preserve">ITC Limited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jc w:val="center"/>
              <w:rPr/>
            </w:pPr>
            <w:r w:rsidDel="00000000" w:rsidR="00000000" w:rsidRPr="00000000">
              <w:rPr>
                <w:rFonts w:ascii="Calibri" w:cs="Calibri" w:eastAsia="Calibri" w:hAnsi="Calibri"/>
                <w:b w:val="0"/>
                <w:color w:val="1f1f1f"/>
                <w:sz w:val="19"/>
                <w:szCs w:val="19"/>
                <w:rtl w:val="0"/>
              </w:rPr>
              <w:t xml:space="preserv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jc w:val="center"/>
              <w:rPr/>
            </w:pPr>
            <w:r w:rsidDel="00000000" w:rsidR="00000000" w:rsidRPr="00000000">
              <w:rPr>
                <w:rFonts w:ascii="Calibri" w:cs="Calibri" w:eastAsia="Calibri" w:hAnsi="Calibri"/>
                <w:b w:val="0"/>
                <w:color w:val="1f1f1f"/>
                <w:sz w:val="19"/>
                <w:szCs w:val="19"/>
                <w:rtl w:val="0"/>
              </w:rPr>
              <w:t xml:space="preserve">Non-Exec., Independent</w:t>
            </w:r>
            <w:r w:rsidDel="00000000" w:rsidR="00000000" w:rsidRPr="00000000">
              <w:rPr>
                <w:rtl w:val="0"/>
              </w:rPr>
            </w:r>
          </w:p>
        </w:tc>
      </w:tr>
    </w:tbl>
    <w:p w:rsidR="00000000" w:rsidDel="00000000" w:rsidP="00000000" w:rsidRDefault="00000000" w:rsidRPr="00000000" w14:paraId="00000103">
      <w:pPr>
        <w:spacing w:after="240" w:before="60" w:lineRule="auto"/>
        <w:jc w:val="center"/>
        <w:rPr/>
      </w:pPr>
      <w:r w:rsidDel="00000000" w:rsidR="00000000" w:rsidRPr="00000000">
        <w:rPr>
          <w:rFonts w:ascii="Calibri" w:cs="Calibri" w:eastAsia="Calibri" w:hAnsi="Calibri"/>
          <w:i w:val="1"/>
          <w:color w:val="595959"/>
          <w:sz w:val="19"/>
          <w:szCs w:val="19"/>
          <w:rtl w:val="0"/>
        </w:rPr>
        <w:t xml:space="preserve">Table 6.2: Board Committee Structure of Sample Companies</w:t>
      </w:r>
      <w:r w:rsidDel="00000000" w:rsidR="00000000" w:rsidRPr="00000000">
        <w:rPr>
          <w:rtl w:val="0"/>
        </w:rPr>
      </w:r>
    </w:p>
    <w:p w:rsidR="00000000" w:rsidDel="00000000" w:rsidP="00000000" w:rsidRDefault="00000000" w:rsidRPr="00000000" w14:paraId="00000104">
      <w:pPr>
        <w:spacing w:after="160" w:line="300" w:lineRule="auto"/>
        <w:jc w:val="both"/>
        <w:rPr/>
      </w:pPr>
      <w:r w:rsidDel="00000000" w:rsidR="00000000" w:rsidRPr="00000000">
        <w:rPr>
          <w:rFonts w:ascii="Calibri" w:cs="Calibri" w:eastAsia="Calibri" w:hAnsi="Calibri"/>
          <w:b w:val="0"/>
          <w:i w:val="0"/>
          <w:sz w:val="22"/>
          <w:szCs w:val="22"/>
          <w:rtl w:val="0"/>
        </w:rPr>
        <w:t xml:space="preserve">All five companies have constituted the full set of committees mandated by the Companies Act, 2013 and SEBI LODR. The key point of differentiation lies in the category of the Board Chairperson: TCS has a Non-Executive, Non-Independent Chairperson (N. Chandrasekaran, who also chairs Tata Sons); Reliance Industries has an Executive Chairman (combining the roles of Chairman and Managing Director); while Infosys, HDFC Bank, and ITC have Non-Executive, Independent Chairpersons — a structure that the Kotak Committee (2017) had recommended (though it was ultimately not made mandatory for most companies) as a governance best practice, since it reduces the concentration of power in a single individual and strengthens the Board’s ability to independently monitor management.</w:t>
      </w:r>
      <w:r w:rsidDel="00000000" w:rsidR="00000000" w:rsidRPr="00000000">
        <w:rPr>
          <w:rtl w:val="0"/>
        </w:rPr>
      </w:r>
    </w:p>
    <w:p w:rsidR="00000000" w:rsidDel="00000000" w:rsidP="00000000" w:rsidRDefault="00000000" w:rsidRPr="00000000" w14:paraId="00000105">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6.3 CSR Obligation and Actual Spend</w:t>
      </w:r>
      <w:r w:rsidDel="00000000" w:rsidR="00000000" w:rsidRPr="00000000">
        <w:rPr>
          <w:rtl w:val="0"/>
        </w:rPr>
      </w:r>
    </w:p>
    <w:p w:rsidR="00000000" w:rsidDel="00000000" w:rsidP="00000000" w:rsidRDefault="00000000" w:rsidRPr="00000000" w14:paraId="00000106">
      <w:pPr>
        <w:spacing w:after="160" w:line="300" w:lineRule="auto"/>
        <w:jc w:val="both"/>
        <w:rPr/>
      </w:pPr>
      <w:r w:rsidDel="00000000" w:rsidR="00000000" w:rsidRPr="00000000">
        <w:rPr>
          <w:rFonts w:ascii="Calibri" w:cs="Calibri" w:eastAsia="Calibri" w:hAnsi="Calibri"/>
          <w:b w:val="0"/>
          <w:i w:val="0"/>
          <w:sz w:val="22"/>
          <w:szCs w:val="22"/>
          <w:rtl w:val="0"/>
        </w:rPr>
        <w:t xml:space="preserve">Table 6.3 compares the CSR obligation of each company (calculated as 2% of average net profit for the preceding three financial years, under Section 135 of the Companies Act, 2013) against its actual disclosed CSR spend.</w:t>
      </w:r>
      <w:r w:rsidDel="00000000" w:rsidR="00000000" w:rsidRPr="00000000">
        <w:rPr>
          <w:rtl w:val="0"/>
        </w:rPr>
      </w:r>
    </w:p>
    <w:tbl>
      <w:tblPr>
        <w:tblStyle w:val="Table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750"/>
        <w:gridCol w:w="1750"/>
        <w:gridCol w:w="1900"/>
        <w:gridCol w:w="1600"/>
        <w:tblGridChange w:id="0">
          <w:tblGrid>
            <w:gridCol w:w="2100"/>
            <w:gridCol w:w="1750"/>
            <w:gridCol w:w="1750"/>
            <w:gridCol w:w="1900"/>
            <w:gridCol w:w="1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07">
            <w:pPr>
              <w:jc w:val="center"/>
              <w:rPr/>
            </w:pPr>
            <w:r w:rsidDel="00000000" w:rsidR="00000000" w:rsidRPr="00000000">
              <w:rPr>
                <w:rFonts w:ascii="Calibri" w:cs="Calibri" w:eastAsia="Calibri" w:hAnsi="Calibri"/>
                <w:b w:val="1"/>
                <w:color w:val="ffffff"/>
                <w:sz w:val="19"/>
                <w:szCs w:val="19"/>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8">
            <w:pPr>
              <w:jc w:val="center"/>
              <w:rPr/>
            </w:pPr>
            <w:r w:rsidDel="00000000" w:rsidR="00000000" w:rsidRPr="00000000">
              <w:rPr>
                <w:rFonts w:ascii="Calibri" w:cs="Calibri" w:eastAsia="Calibri" w:hAnsi="Calibri"/>
                <w:b w:val="1"/>
                <w:color w:val="ffffff"/>
                <w:sz w:val="19"/>
                <w:szCs w:val="19"/>
                <w:rtl w:val="0"/>
              </w:rPr>
              <w:t xml:space="preserve">Avg. Net Profit (₹ Cr)*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9">
            <w:pPr>
              <w:jc w:val="center"/>
              <w:rPr/>
            </w:pPr>
            <w:r w:rsidDel="00000000" w:rsidR="00000000" w:rsidRPr="00000000">
              <w:rPr>
                <w:rFonts w:ascii="Calibri" w:cs="Calibri" w:eastAsia="Calibri" w:hAnsi="Calibri"/>
                <w:b w:val="1"/>
                <w:color w:val="ffffff"/>
                <w:sz w:val="19"/>
                <w:szCs w:val="19"/>
                <w:rtl w:val="0"/>
              </w:rPr>
              <w:t xml:space="preserve">Prescribed CSR (₹ Cr)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1"/>
                <w:color w:val="ffffff"/>
                <w:sz w:val="19"/>
                <w:szCs w:val="19"/>
                <w:rtl w:val="0"/>
              </w:rPr>
              <w:t xml:space="preserve">Actual CSR Spend (₹ Cr)*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1"/>
                <w:color w:val="ffffff"/>
                <w:sz w:val="19"/>
                <w:szCs w:val="19"/>
                <w:rtl w:val="0"/>
              </w:rPr>
              <w:t xml:space="preserve">Spend as % of Prescribed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color w:val="1f1f1f"/>
                <w:sz w:val="19"/>
                <w:szCs w:val="19"/>
                <w:rtl w:val="0"/>
              </w:rPr>
              <w:t xml:space="preserve">Tata Consultancy Services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b w:val="0"/>
                <w:color w:val="1f1f1f"/>
                <w:sz w:val="19"/>
                <w:szCs w:val="19"/>
                <w:rtl w:val="0"/>
              </w:rPr>
              <w:t xml:space="preserve">45,000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jc w:val="center"/>
              <w:rPr/>
            </w:pPr>
            <w:r w:rsidDel="00000000" w:rsidR="00000000" w:rsidRPr="00000000">
              <w:rPr>
                <w:rFonts w:ascii="Calibri" w:cs="Calibri" w:eastAsia="Calibri" w:hAnsi="Calibri"/>
                <w:b w:val="0"/>
                <w:color w:val="1f1f1f"/>
                <w:sz w:val="19"/>
                <w:szCs w:val="19"/>
                <w:rtl w:val="0"/>
              </w:rPr>
              <w:t xml:space="preserve">900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jc w:val="center"/>
              <w:rPr/>
            </w:pPr>
            <w:r w:rsidDel="00000000" w:rsidR="00000000" w:rsidRPr="00000000">
              <w:rPr>
                <w:rFonts w:ascii="Calibri" w:cs="Calibri" w:eastAsia="Calibri" w:hAnsi="Calibri"/>
                <w:b w:val="0"/>
                <w:color w:val="1f1f1f"/>
                <w:sz w:val="19"/>
                <w:szCs w:val="19"/>
                <w:rtl w:val="0"/>
              </w:rPr>
              <w:t xml:space="preserve">750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jc w:val="center"/>
              <w:rPr/>
            </w:pPr>
            <w:r w:rsidDel="00000000" w:rsidR="00000000" w:rsidRPr="00000000">
              <w:rPr>
                <w:rFonts w:ascii="Calibri" w:cs="Calibri" w:eastAsia="Calibri" w:hAnsi="Calibri"/>
                <w:b w:val="0"/>
                <w:color w:val="1f1f1f"/>
                <w:sz w:val="19"/>
                <w:szCs w:val="19"/>
                <w:rtl w:val="0"/>
              </w:rPr>
              <w:t xml:space="preserve">83.3%</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rFonts w:ascii="Calibri" w:cs="Calibri" w:eastAsia="Calibri" w:hAnsi="Calibri"/>
                <w:b w:val="0"/>
                <w:color w:val="1f1f1f"/>
                <w:sz w:val="19"/>
                <w:szCs w:val="19"/>
                <w:rtl w:val="0"/>
              </w:rPr>
              <w:t xml:space="preserve">Reliance Industries</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2">
            <w:pPr>
              <w:jc w:val="center"/>
              <w:rPr/>
            </w:pPr>
            <w:r w:rsidDel="00000000" w:rsidR="00000000" w:rsidRPr="00000000">
              <w:rPr>
                <w:rFonts w:ascii="Calibri" w:cs="Calibri" w:eastAsia="Calibri" w:hAnsi="Calibri"/>
                <w:b w:val="0"/>
                <w:color w:val="1f1f1f"/>
                <w:sz w:val="19"/>
                <w:szCs w:val="19"/>
                <w:rtl w:val="0"/>
              </w:rPr>
              <w:t xml:space="preserve">68,000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3">
            <w:pPr>
              <w:jc w:val="center"/>
              <w:rPr/>
            </w:pPr>
            <w:r w:rsidDel="00000000" w:rsidR="00000000" w:rsidRPr="00000000">
              <w:rPr>
                <w:rFonts w:ascii="Calibri" w:cs="Calibri" w:eastAsia="Calibri" w:hAnsi="Calibri"/>
                <w:b w:val="0"/>
                <w:color w:val="1f1f1f"/>
                <w:sz w:val="19"/>
                <w:szCs w:val="19"/>
                <w:rtl w:val="0"/>
              </w:rPr>
              <w:t xml:space="preserve">1,360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4">
            <w:pPr>
              <w:jc w:val="center"/>
              <w:rPr/>
            </w:pPr>
            <w:r w:rsidDel="00000000" w:rsidR="00000000" w:rsidRPr="00000000">
              <w:rPr>
                <w:rFonts w:ascii="Calibri" w:cs="Calibri" w:eastAsia="Calibri" w:hAnsi="Calibri"/>
                <w:b w:val="0"/>
                <w:color w:val="1f1f1f"/>
                <w:sz w:val="19"/>
                <w:szCs w:val="19"/>
                <w:rtl w:val="0"/>
              </w:rPr>
              <w:t xml:space="preserve">1,200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5">
            <w:pPr>
              <w:jc w:val="center"/>
              <w:rPr/>
            </w:pPr>
            <w:r w:rsidDel="00000000" w:rsidR="00000000" w:rsidRPr="00000000">
              <w:rPr>
                <w:rFonts w:ascii="Calibri" w:cs="Calibri" w:eastAsia="Calibri" w:hAnsi="Calibri"/>
                <w:b w:val="0"/>
                <w:color w:val="1f1f1f"/>
                <w:sz w:val="19"/>
                <w:szCs w:val="19"/>
                <w:rtl w:val="0"/>
              </w:rPr>
              <w:t xml:space="preserve">88.2%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0"/>
                <w:color w:val="1f1f1f"/>
                <w:sz w:val="19"/>
                <w:szCs w:val="19"/>
                <w:rtl w:val="0"/>
              </w:rPr>
              <w:t xml:space="preserve">Infosys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jc w:val="center"/>
              <w:rPr/>
            </w:pPr>
            <w:r w:rsidDel="00000000" w:rsidR="00000000" w:rsidRPr="00000000">
              <w:rPr>
                <w:rFonts w:ascii="Calibri" w:cs="Calibri" w:eastAsia="Calibri" w:hAnsi="Calibri"/>
                <w:b w:val="0"/>
                <w:color w:val="1f1f1f"/>
                <w:sz w:val="19"/>
                <w:szCs w:val="19"/>
                <w:rtl w:val="0"/>
              </w:rPr>
              <w:t xml:space="preserve">26,000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jc w:val="center"/>
              <w:rPr/>
            </w:pPr>
            <w:r w:rsidDel="00000000" w:rsidR="00000000" w:rsidRPr="00000000">
              <w:rPr>
                <w:rFonts w:ascii="Calibri" w:cs="Calibri" w:eastAsia="Calibri" w:hAnsi="Calibri"/>
                <w:b w:val="0"/>
                <w:color w:val="1f1f1f"/>
                <w:sz w:val="19"/>
                <w:szCs w:val="19"/>
                <w:rtl w:val="0"/>
              </w:rPr>
              <w:t xml:space="preserve">520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jc w:val="center"/>
              <w:rPr/>
            </w:pPr>
            <w:r w:rsidDel="00000000" w:rsidR="00000000" w:rsidRPr="00000000">
              <w:rPr>
                <w:rFonts w:ascii="Calibri" w:cs="Calibri" w:eastAsia="Calibri" w:hAnsi="Calibri"/>
                <w:b w:val="0"/>
                <w:color w:val="1f1f1f"/>
                <w:sz w:val="19"/>
                <w:szCs w:val="19"/>
                <w:rtl w:val="0"/>
              </w:rPr>
              <w:t xml:space="preserve">400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jc w:val="center"/>
              <w:rPr/>
            </w:pPr>
            <w:r w:rsidDel="00000000" w:rsidR="00000000" w:rsidRPr="00000000">
              <w:rPr>
                <w:rFonts w:ascii="Calibri" w:cs="Calibri" w:eastAsia="Calibri" w:hAnsi="Calibri"/>
                <w:b w:val="0"/>
                <w:color w:val="1f1f1f"/>
                <w:sz w:val="19"/>
                <w:szCs w:val="19"/>
                <w:rtl w:val="0"/>
              </w:rPr>
              <w:t xml:space="preserve">76.9%</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0"/>
                <w:color w:val="1f1f1f"/>
                <w:sz w:val="19"/>
                <w:szCs w:val="19"/>
                <w:rtl w:val="0"/>
              </w:rPr>
              <w:t xml:space="preserve">HDFC Bank</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C">
            <w:pPr>
              <w:jc w:val="center"/>
              <w:rPr/>
            </w:pPr>
            <w:r w:rsidDel="00000000" w:rsidR="00000000" w:rsidRPr="00000000">
              <w:rPr>
                <w:rFonts w:ascii="Calibri" w:cs="Calibri" w:eastAsia="Calibri" w:hAnsi="Calibri"/>
                <w:b w:val="0"/>
                <w:color w:val="1f1f1f"/>
                <w:sz w:val="19"/>
                <w:szCs w:val="19"/>
                <w:rtl w:val="0"/>
              </w:rPr>
              <w:t xml:space="preserve">52,000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D">
            <w:pPr>
              <w:jc w:val="center"/>
              <w:rPr/>
            </w:pPr>
            <w:r w:rsidDel="00000000" w:rsidR="00000000" w:rsidRPr="00000000">
              <w:rPr>
                <w:rFonts w:ascii="Calibri" w:cs="Calibri" w:eastAsia="Calibri" w:hAnsi="Calibri"/>
                <w:b w:val="0"/>
                <w:color w:val="1f1f1f"/>
                <w:sz w:val="19"/>
                <w:szCs w:val="19"/>
                <w:rtl w:val="0"/>
              </w:rPr>
              <w:t xml:space="preserve">1,040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E">
            <w:pPr>
              <w:jc w:val="center"/>
              <w:rPr/>
            </w:pPr>
            <w:r w:rsidDel="00000000" w:rsidR="00000000" w:rsidRPr="00000000">
              <w:rPr>
                <w:rFonts w:ascii="Calibri" w:cs="Calibri" w:eastAsia="Calibri" w:hAnsi="Calibri"/>
                <w:b w:val="0"/>
                <w:color w:val="1f1f1f"/>
                <w:sz w:val="19"/>
                <w:szCs w:val="19"/>
                <w:rtl w:val="0"/>
              </w:rPr>
              <w:t xml:space="preserve">900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1F">
            <w:pPr>
              <w:jc w:val="center"/>
              <w:rPr/>
            </w:pPr>
            <w:r w:rsidDel="00000000" w:rsidR="00000000" w:rsidRPr="00000000">
              <w:rPr>
                <w:rFonts w:ascii="Calibri" w:cs="Calibri" w:eastAsia="Calibri" w:hAnsi="Calibri"/>
                <w:b w:val="0"/>
                <w:color w:val="1f1f1f"/>
                <w:sz w:val="19"/>
                <w:szCs w:val="19"/>
                <w:rtl w:val="0"/>
              </w:rPr>
              <w:t xml:space="preserve">86.5%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0"/>
                <w:color w:val="1f1f1f"/>
                <w:sz w:val="19"/>
                <w:szCs w:val="19"/>
                <w:rtl w:val="0"/>
              </w:rPr>
              <w:t xml:space="preserve">ITC Limited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jc w:val="center"/>
              <w:rPr/>
            </w:pPr>
            <w:r w:rsidDel="00000000" w:rsidR="00000000" w:rsidRPr="00000000">
              <w:rPr>
                <w:rFonts w:ascii="Calibri" w:cs="Calibri" w:eastAsia="Calibri" w:hAnsi="Calibri"/>
                <w:b w:val="0"/>
                <w:color w:val="1f1f1f"/>
                <w:sz w:val="19"/>
                <w:szCs w:val="19"/>
                <w:rtl w:val="0"/>
              </w:rPr>
              <w:t xml:space="preserve">19,500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jc w:val="center"/>
              <w:rPr/>
            </w:pPr>
            <w:r w:rsidDel="00000000" w:rsidR="00000000" w:rsidRPr="00000000">
              <w:rPr>
                <w:rFonts w:ascii="Calibri" w:cs="Calibri" w:eastAsia="Calibri" w:hAnsi="Calibri"/>
                <w:b w:val="0"/>
                <w:color w:val="1f1f1f"/>
                <w:sz w:val="19"/>
                <w:szCs w:val="19"/>
                <w:rtl w:val="0"/>
              </w:rPr>
              <w:t xml:space="preserve">390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jc w:val="center"/>
              <w:rPr/>
            </w:pPr>
            <w:r w:rsidDel="00000000" w:rsidR="00000000" w:rsidRPr="00000000">
              <w:rPr>
                <w:rFonts w:ascii="Calibri" w:cs="Calibri" w:eastAsia="Calibri" w:hAnsi="Calibri"/>
                <w:b w:val="0"/>
                <w:color w:val="1f1f1f"/>
                <w:sz w:val="19"/>
                <w:szCs w:val="19"/>
                <w:rtl w:val="0"/>
              </w:rPr>
              <w:t xml:space="preserve">350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jc w:val="center"/>
              <w:rPr/>
            </w:pPr>
            <w:r w:rsidDel="00000000" w:rsidR="00000000" w:rsidRPr="00000000">
              <w:rPr>
                <w:rFonts w:ascii="Calibri" w:cs="Calibri" w:eastAsia="Calibri" w:hAnsi="Calibri"/>
                <w:b w:val="0"/>
                <w:color w:val="1f1f1f"/>
                <w:sz w:val="19"/>
                <w:szCs w:val="19"/>
                <w:rtl w:val="0"/>
              </w:rPr>
              <w:t xml:space="preserve">89.7%</w:t>
            </w:r>
            <w:r w:rsidDel="00000000" w:rsidR="00000000" w:rsidRPr="00000000">
              <w:rPr>
                <w:rtl w:val="0"/>
              </w:rPr>
            </w:r>
          </w:p>
        </w:tc>
      </w:tr>
    </w:tbl>
    <w:p w:rsidR="00000000" w:rsidDel="00000000" w:rsidP="00000000" w:rsidRDefault="00000000" w:rsidRPr="00000000" w14:paraId="00000125">
      <w:pPr>
        <w:spacing w:after="240" w:before="60" w:lineRule="auto"/>
        <w:jc w:val="center"/>
        <w:rPr/>
      </w:pPr>
      <w:r w:rsidDel="00000000" w:rsidR="00000000" w:rsidRPr="00000000">
        <w:rPr>
          <w:rFonts w:ascii="Calibri" w:cs="Calibri" w:eastAsia="Calibri" w:hAnsi="Calibri"/>
          <w:i w:val="1"/>
          <w:color w:val="595959"/>
          <w:sz w:val="19"/>
          <w:szCs w:val="19"/>
          <w:rtl w:val="0"/>
        </w:rPr>
        <w:t xml:space="preserve">Table 6.3: CSR Obligation vs. Actual Spend (₹ Crore) — *illustrative figures rounded for academic comparison; verify exact figures from each company’s CSR disclosure (MCA Form CSR-2) before final submission</w:t>
      </w:r>
      <w:r w:rsidDel="00000000" w:rsidR="00000000" w:rsidRPr="00000000">
        <w:rPr>
          <w:rtl w:val="0"/>
        </w:rPr>
      </w:r>
    </w:p>
    <w:p w:rsidR="00000000" w:rsidDel="00000000" w:rsidP="00000000" w:rsidRDefault="00000000" w:rsidRPr="00000000" w14:paraId="00000126">
      <w:pPr>
        <w:spacing w:after="160" w:line="300" w:lineRule="auto"/>
        <w:jc w:val="both"/>
        <w:rPr/>
      </w:pPr>
      <w:r w:rsidDel="00000000" w:rsidR="00000000" w:rsidRPr="00000000">
        <w:rPr>
          <w:rFonts w:ascii="Calibri" w:cs="Calibri" w:eastAsia="Calibri" w:hAnsi="Calibri"/>
          <w:b w:val="0"/>
          <w:i w:val="0"/>
          <w:sz w:val="22"/>
          <w:szCs w:val="22"/>
          <w:rtl w:val="0"/>
        </w:rPr>
        <w:t xml:space="preserve">The comparison shows that CSR spend as a percentage of the prescribed amount varies across the sample, ranging from roughly the high seventies to the high eighties (percentage terms). Under Section 135(5) of the Companies Act, 2013, any shortfall against the prescribed CSR amount must be explained in the Board’s Report and, in most circumstances, transferred to a specified fund (such as the PM CARES Fund or a fund specified in Schedule VII) or to the company’s ‘Unspent CSR Account’ for ongoing projects, within prescribed timelines. None of the sample companies show a CSR shortfall so large as to suggest a governance concern; the observed variance is more consistent with the CSR-3 provision allowing unspent amounts earmarked for ongoing multi-year projects to be carried forward rather than spent within a single financial year.</w:t>
      </w:r>
      <w:r w:rsidDel="00000000" w:rsidR="00000000" w:rsidRPr="00000000">
        <w:rPr>
          <w:rtl w:val="0"/>
        </w:rPr>
      </w:r>
    </w:p>
    <w:p w:rsidR="00000000" w:rsidDel="00000000" w:rsidP="00000000" w:rsidRDefault="00000000" w:rsidRPr="00000000" w14:paraId="00000127">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6.4 Related-Party Transactions and Risk Governance</w:t>
      </w:r>
      <w:r w:rsidDel="00000000" w:rsidR="00000000" w:rsidRPr="00000000">
        <w:rPr>
          <w:rtl w:val="0"/>
        </w:rPr>
      </w:r>
    </w:p>
    <w:p w:rsidR="00000000" w:rsidDel="00000000" w:rsidP="00000000" w:rsidRDefault="00000000" w:rsidRPr="00000000" w14:paraId="00000128">
      <w:pPr>
        <w:spacing w:after="160" w:line="300" w:lineRule="auto"/>
        <w:jc w:val="both"/>
        <w:rPr/>
      </w:pPr>
      <w:r w:rsidDel="00000000" w:rsidR="00000000" w:rsidRPr="00000000">
        <w:rPr>
          <w:rFonts w:ascii="Calibri" w:cs="Calibri" w:eastAsia="Calibri" w:hAnsi="Calibri"/>
          <w:b w:val="0"/>
          <w:i w:val="0"/>
          <w:sz w:val="22"/>
          <w:szCs w:val="22"/>
          <w:rtl w:val="0"/>
        </w:rPr>
        <w:t xml:space="preserve">All five sample companies disclose a written Related Party Transaction (RPT) Policy as required under Regulation 23, SEBI (LODR) Regulations, 2015, and Section 188 of the Companies Act, 2013, and each obtains omnibus approval from its Audit Committee for repetitive RPTs in the ordinary course of business at arm’s length. Given the presence of numerous group/subsidiary entities in the case of Reliance Industries and the Tata Group (relevant to TCS), related-party transaction governance is a particularly material area of scrutiny for these two companies; both disclose transaction-level RPT details in their respective Annual Reports and Corporate Governance Reports, consistent with the enhanced disclosure norms introduced following the Kotak Committee recommendations.</w:t>
      </w:r>
      <w:r w:rsidDel="00000000" w:rsidR="00000000" w:rsidRPr="00000000">
        <w:rPr>
          <w:rtl w:val="0"/>
        </w:rPr>
      </w:r>
    </w:p>
    <w:p w:rsidR="00000000" w:rsidDel="00000000" w:rsidP="00000000" w:rsidRDefault="00000000" w:rsidRPr="00000000" w14:paraId="00000129">
      <w:pPr>
        <w:spacing w:after="160" w:line="300" w:lineRule="auto"/>
        <w:jc w:val="both"/>
        <w:rPr/>
      </w:pPr>
      <w:r w:rsidDel="00000000" w:rsidR="00000000" w:rsidRPr="00000000">
        <w:rPr>
          <w:rFonts w:ascii="Calibri" w:cs="Calibri" w:eastAsia="Calibri" w:hAnsi="Calibri"/>
          <w:b w:val="0"/>
          <w:i w:val="0"/>
          <w:sz w:val="22"/>
          <w:szCs w:val="22"/>
          <w:rtl w:val="0"/>
        </w:rPr>
        <w:t xml:space="preserve">On risk governance, all five companies have constituted a Risk Management Committee (mandatory for the top 1,000 listed entities under Regulation 21, SEBI LODR) and disclose a Board-approved Risk Management Policy. HDFC Bank, being a systemically important bank, is additionally subject to RBI’s more granular risk-governance framework, including a dedicated Chief Risk Officer reporting structure and the Reserve Bank’s stress-testing and capital-adequacy oversight, which goes materially beyond what is required of the four non-banking companies in the sample.</w:t>
      </w:r>
      <w:r w:rsidDel="00000000" w:rsidR="00000000" w:rsidRPr="00000000">
        <w:rPr>
          <w:rtl w:val="0"/>
        </w:rPr>
      </w:r>
    </w:p>
    <w:p w:rsidR="00000000" w:rsidDel="00000000" w:rsidP="00000000" w:rsidRDefault="00000000" w:rsidRPr="00000000" w14:paraId="0000012A">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6.5 CSR and ESG / BRSR Disclosure</w:t>
      </w:r>
      <w:r w:rsidDel="00000000" w:rsidR="00000000" w:rsidRPr="00000000">
        <w:rPr>
          <w:rtl w:val="0"/>
        </w:rPr>
      </w:r>
    </w:p>
    <w:p w:rsidR="00000000" w:rsidDel="00000000" w:rsidP="00000000" w:rsidRDefault="00000000" w:rsidRPr="00000000" w14:paraId="0000012B">
      <w:pPr>
        <w:spacing w:after="160" w:line="300" w:lineRule="auto"/>
        <w:jc w:val="both"/>
        <w:rPr/>
      </w:pPr>
      <w:r w:rsidDel="00000000" w:rsidR="00000000" w:rsidRPr="00000000">
        <w:rPr>
          <w:rFonts w:ascii="Calibri" w:cs="Calibri" w:eastAsia="Calibri" w:hAnsi="Calibri"/>
          <w:b w:val="0"/>
          <w:i w:val="0"/>
          <w:sz w:val="22"/>
          <w:szCs w:val="22"/>
          <w:rtl w:val="0"/>
        </w:rPr>
        <w:t xml:space="preserve">All five companies fall within the top 1,000 listed entities by market capitalisation and are accordingly required to, and do, file a Business Responsibility and Sustainability Report (BRSR) as part of their Annual Report, covering environmental, social, and governance (ESG) performance across nine defined principles under the National Guidelines on Responsible Business Conduct (NGRBC). Each company has also constituted (or designated an existing committee for) ESG/sustainability oversight at the Board or management level, reflecting the increasing convergence between traditional governance metrics and broader ESG accountability in India’s regulatory framework.</w:t>
      </w:r>
      <w:r w:rsidDel="00000000" w:rsidR="00000000" w:rsidRPr="00000000">
        <w:rPr>
          <w:rtl w:val="0"/>
        </w:rPr>
      </w:r>
    </w:p>
    <w:p w:rsidR="00000000" w:rsidDel="00000000" w:rsidP="00000000" w:rsidRDefault="00000000" w:rsidRPr="00000000" w14:paraId="0000012C">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7.  Data Analysis and Interpretation</w:t>
      </w:r>
      <w:r w:rsidDel="00000000" w:rsidR="00000000" w:rsidRPr="00000000">
        <w:rPr>
          <w:rtl w:val="0"/>
        </w:rPr>
      </w:r>
    </w:p>
    <w:p w:rsidR="00000000" w:rsidDel="00000000" w:rsidP="00000000" w:rsidRDefault="00000000" w:rsidRPr="00000000" w14:paraId="0000012D">
      <w:pPr>
        <w:spacing w:after="160" w:line="300" w:lineRule="auto"/>
        <w:jc w:val="both"/>
        <w:rPr/>
      </w:pPr>
      <w:r w:rsidDel="00000000" w:rsidR="00000000" w:rsidRPr="00000000">
        <w:rPr>
          <w:rFonts w:ascii="Calibri" w:cs="Calibri" w:eastAsia="Calibri" w:hAnsi="Calibri"/>
          <w:b w:val="0"/>
          <w:i w:val="0"/>
          <w:sz w:val="22"/>
          <w:szCs w:val="22"/>
          <w:rtl w:val="0"/>
        </w:rPr>
        <w:t xml:space="preserve">To move from a purely descriptive comparison to an analytical one, this chapter builds a weighted ‘Composite Governance Index’ (CGI) for each sample company, based on six parameters identified in Chapter 6, each weighted according to its relative importance to overall governance quality. The full live model — in which scores can be revised and the index recalculates automatically — is provided in Sheet ‘6. Governance Scorecard’ of the accompanying Excel workbook.</w:t>
      </w:r>
      <w:r w:rsidDel="00000000" w:rsidR="00000000" w:rsidRPr="00000000">
        <w:rPr>
          <w:rtl w:val="0"/>
        </w:rPr>
      </w:r>
    </w:p>
    <w:p w:rsidR="00000000" w:rsidDel="00000000" w:rsidP="00000000" w:rsidRDefault="00000000" w:rsidRPr="00000000" w14:paraId="0000012E">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7.1 Scoring Methodology</w:t>
      </w:r>
      <w:r w:rsidDel="00000000" w:rsidR="00000000" w:rsidRPr="00000000">
        <w:rPr>
          <w:rtl w:val="0"/>
        </w:rPr>
      </w:r>
    </w:p>
    <w:p w:rsidR="00000000" w:rsidDel="00000000" w:rsidP="00000000" w:rsidRDefault="00000000" w:rsidRPr="00000000" w14:paraId="0000012F">
      <w:pPr>
        <w:spacing w:after="160" w:line="300" w:lineRule="auto"/>
        <w:jc w:val="both"/>
        <w:rPr/>
      </w:pPr>
      <w:r w:rsidDel="00000000" w:rsidR="00000000" w:rsidRPr="00000000">
        <w:rPr>
          <w:rFonts w:ascii="Calibri" w:cs="Calibri" w:eastAsia="Calibri" w:hAnsi="Calibri"/>
          <w:b w:val="0"/>
          <w:i w:val="0"/>
          <w:sz w:val="22"/>
          <w:szCs w:val="22"/>
          <w:rtl w:val="0"/>
        </w:rPr>
        <w:t xml:space="preserve">Each parameter is scored by the researcher on a 0–5 scale (0 = poor/no disclosure, 5 = fully compliant with best practice), based on the evidence gathered in Chapter 6. The Composite Governance Index for each company is then computed as the weighted average of its six parameter scores, using the formula:</w:t>
      </w:r>
      <w:r w:rsidDel="00000000" w:rsidR="00000000" w:rsidRPr="00000000">
        <w:rPr>
          <w:rtl w:val="0"/>
        </w:rPr>
      </w:r>
    </w:p>
    <w:p w:rsidR="00000000" w:rsidDel="00000000" w:rsidP="00000000" w:rsidRDefault="00000000" w:rsidRPr="00000000" w14:paraId="00000130">
      <w:pPr>
        <w:spacing w:after="160" w:line="300" w:lineRule="auto"/>
        <w:jc w:val="center"/>
        <w:rPr/>
      </w:pPr>
      <w:r w:rsidDel="00000000" w:rsidR="00000000" w:rsidRPr="00000000">
        <w:rPr>
          <w:rFonts w:ascii="Calibri" w:cs="Calibri" w:eastAsia="Calibri" w:hAnsi="Calibri"/>
          <w:b w:val="1"/>
          <w:i w:val="1"/>
          <w:sz w:val="22"/>
          <w:szCs w:val="22"/>
          <w:rtl w:val="0"/>
        </w:rPr>
        <w:t xml:space="preserve">Composite Governance Index = Σ (Parameter Weight × Parameter Score) ÷ Σ (Parameter Weights)</w:t>
      </w:r>
      <w:r w:rsidDel="00000000" w:rsidR="00000000" w:rsidRPr="00000000">
        <w:rPr>
          <w:rtl w:val="0"/>
        </w:rPr>
      </w:r>
    </w:p>
    <w:p w:rsidR="00000000" w:rsidDel="00000000" w:rsidP="00000000" w:rsidRDefault="00000000" w:rsidRPr="00000000" w14:paraId="00000131">
      <w:pPr>
        <w:spacing w:after="160" w:line="300" w:lineRule="auto"/>
        <w:jc w:val="both"/>
        <w:rPr/>
      </w:pPr>
      <w:r w:rsidDel="00000000" w:rsidR="00000000" w:rsidRPr="00000000">
        <w:rPr>
          <w:rFonts w:ascii="Calibri" w:cs="Calibri" w:eastAsia="Calibri" w:hAnsi="Calibri"/>
          <w:b w:val="0"/>
          <w:i w:val="0"/>
          <w:sz w:val="22"/>
          <w:szCs w:val="22"/>
          <w:rtl w:val="0"/>
        </w:rPr>
        <w:t xml:space="preserve">In the Excel workbook, this is implemented using the SUMPRODUCT function, so that if any score is revised (for example, after reviewing an updated Annual Report), the Composite Governance Index and the resulting rank recalculate automatically without manual re-entry.</w:t>
      </w:r>
      <w:r w:rsidDel="00000000" w:rsidR="00000000" w:rsidRPr="00000000">
        <w:rPr>
          <w:rtl w:val="0"/>
        </w:rPr>
      </w:r>
    </w:p>
    <w:p w:rsidR="00000000" w:rsidDel="00000000" w:rsidP="00000000" w:rsidRDefault="00000000" w:rsidRPr="00000000" w14:paraId="00000132">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7.2 Weighted Scores by Parameter</w:t>
      </w:r>
      <w:r w:rsidDel="00000000" w:rsidR="00000000" w:rsidRPr="00000000">
        <w:rPr>
          <w:rtl w:val="0"/>
        </w:rPr>
      </w:r>
    </w:p>
    <w:tbl>
      <w:tblPr>
        <w:tblStyle w:val="Table5"/>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950"/>
        <w:gridCol w:w="750"/>
        <w:gridCol w:w="750"/>
        <w:gridCol w:w="850"/>
        <w:gridCol w:w="950"/>
        <w:gridCol w:w="750"/>
        <w:tblGridChange w:id="0">
          <w:tblGrid>
            <w:gridCol w:w="2900"/>
            <w:gridCol w:w="950"/>
            <w:gridCol w:w="750"/>
            <w:gridCol w:w="750"/>
            <w:gridCol w:w="850"/>
            <w:gridCol w:w="950"/>
            <w:gridCol w:w="7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33">
            <w:pPr>
              <w:jc w:val="center"/>
              <w:rPr/>
            </w:pPr>
            <w:r w:rsidDel="00000000" w:rsidR="00000000" w:rsidRPr="00000000">
              <w:rPr>
                <w:rFonts w:ascii="Calibri" w:cs="Calibri" w:eastAsia="Calibri" w:hAnsi="Calibri"/>
                <w:b w:val="1"/>
                <w:color w:val="ffffff"/>
                <w:sz w:val="19"/>
                <w:szCs w:val="19"/>
                <w:rtl w:val="0"/>
              </w:rPr>
              <w:t xml:space="preserve">Parameter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4">
            <w:pPr>
              <w:jc w:val="center"/>
              <w:rPr/>
            </w:pPr>
            <w:r w:rsidDel="00000000" w:rsidR="00000000" w:rsidRPr="00000000">
              <w:rPr>
                <w:rFonts w:ascii="Calibri" w:cs="Calibri" w:eastAsia="Calibri" w:hAnsi="Calibri"/>
                <w:b w:val="1"/>
                <w:color w:val="ffffff"/>
                <w:sz w:val="19"/>
                <w:szCs w:val="19"/>
                <w:rtl w:val="0"/>
              </w:rPr>
              <w:t xml:space="preserve">Weight (%)</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5">
            <w:pPr>
              <w:jc w:val="center"/>
              <w:rPr/>
            </w:pPr>
            <w:r w:rsidDel="00000000" w:rsidR="00000000" w:rsidRPr="00000000">
              <w:rPr>
                <w:rFonts w:ascii="Calibri" w:cs="Calibri" w:eastAsia="Calibri" w:hAnsi="Calibri"/>
                <w:b w:val="1"/>
                <w:color w:val="ffffff"/>
                <w:sz w:val="19"/>
                <w:szCs w:val="19"/>
                <w:rtl w:val="0"/>
              </w:rPr>
              <w:t xml:space="preserve">TCS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6">
            <w:pPr>
              <w:jc w:val="center"/>
              <w:rPr/>
            </w:pPr>
            <w:r w:rsidDel="00000000" w:rsidR="00000000" w:rsidRPr="00000000">
              <w:rPr>
                <w:rFonts w:ascii="Calibri" w:cs="Calibri" w:eastAsia="Calibri" w:hAnsi="Calibri"/>
                <w:b w:val="1"/>
                <w:color w:val="ffffff"/>
                <w:sz w:val="19"/>
                <w:szCs w:val="19"/>
                <w:rtl w:val="0"/>
              </w:rPr>
              <w:t xml:space="preserve">RIL</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7">
            <w:pPr>
              <w:jc w:val="center"/>
              <w:rPr/>
            </w:pPr>
            <w:r w:rsidDel="00000000" w:rsidR="00000000" w:rsidRPr="00000000">
              <w:rPr>
                <w:rFonts w:ascii="Calibri" w:cs="Calibri" w:eastAsia="Calibri" w:hAnsi="Calibri"/>
                <w:b w:val="1"/>
                <w:color w:val="ffffff"/>
                <w:sz w:val="19"/>
                <w:szCs w:val="19"/>
                <w:rtl w:val="0"/>
              </w:rPr>
              <w:t xml:space="preserve">Infosys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8">
            <w:pPr>
              <w:jc w:val="center"/>
              <w:rPr/>
            </w:pPr>
            <w:r w:rsidDel="00000000" w:rsidR="00000000" w:rsidRPr="00000000">
              <w:rPr>
                <w:rFonts w:ascii="Calibri" w:cs="Calibri" w:eastAsia="Calibri" w:hAnsi="Calibri"/>
                <w:b w:val="1"/>
                <w:color w:val="ffffff"/>
                <w:sz w:val="19"/>
                <w:szCs w:val="19"/>
                <w:rtl w:val="0"/>
              </w:rPr>
              <w:t xml:space="preserve">HDFC Bank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9">
            <w:pPr>
              <w:jc w:val="center"/>
              <w:rPr/>
            </w:pPr>
            <w:r w:rsidDel="00000000" w:rsidR="00000000" w:rsidRPr="00000000">
              <w:rPr>
                <w:rFonts w:ascii="Calibri" w:cs="Calibri" w:eastAsia="Calibri" w:hAnsi="Calibri"/>
                <w:b w:val="1"/>
                <w:color w:val="ffffff"/>
                <w:sz w:val="19"/>
                <w:szCs w:val="19"/>
                <w:rtl w:val="0"/>
              </w:rPr>
              <w:t xml:space="preserve">ITC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0"/>
                <w:color w:val="1f1f1f"/>
                <w:sz w:val="19"/>
                <w:szCs w:val="19"/>
                <w:rtl w:val="0"/>
              </w:rPr>
              <w:t xml:space="preserve">Board Independence &amp; Diversity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jc w:val="center"/>
              <w:rPr/>
            </w:pPr>
            <w:r w:rsidDel="00000000" w:rsidR="00000000" w:rsidRPr="00000000">
              <w:rPr>
                <w:rFonts w:ascii="Calibri" w:cs="Calibri" w:eastAsia="Calibri" w:hAnsi="Calibri"/>
                <w:b w:val="0"/>
                <w:color w:val="1f1f1f"/>
                <w:sz w:val="19"/>
                <w:szCs w:val="19"/>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b w:val="0"/>
                <w:color w:val="1f1f1f"/>
                <w:sz w:val="19"/>
                <w:szCs w:val="19"/>
                <w:rtl w:val="0"/>
              </w:rPr>
              <w:t xml:space="preserve">Committee Structure &amp; Coverage</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42">
            <w:pPr>
              <w:jc w:val="center"/>
              <w:rPr/>
            </w:pPr>
            <w:r w:rsidDel="00000000" w:rsidR="00000000" w:rsidRPr="00000000">
              <w:rPr>
                <w:rFonts w:ascii="Calibri" w:cs="Calibri" w:eastAsia="Calibri" w:hAnsi="Calibri"/>
                <w:b w:val="0"/>
                <w:color w:val="1f1f1f"/>
                <w:sz w:val="19"/>
                <w:szCs w:val="19"/>
                <w:rtl w:val="0"/>
              </w:rPr>
              <w:t xml:space="preserve">15</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43">
            <w:pPr>
              <w:jc w:val="center"/>
              <w:rPr/>
            </w:pPr>
            <w:r w:rsidDel="00000000" w:rsidR="00000000" w:rsidRPr="00000000">
              <w:rPr>
                <w:rFonts w:ascii="Calibri" w:cs="Calibri" w:eastAsia="Calibri" w:hAnsi="Calibri"/>
                <w:b w:val="0"/>
                <w:color w:val="1f1f1f"/>
                <w:sz w:val="19"/>
                <w:szCs w:val="19"/>
                <w:rtl w:val="0"/>
              </w:rPr>
              <w:t xml:space="preserve">5.0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44">
            <w:pPr>
              <w:jc w:val="center"/>
              <w:rPr/>
            </w:pPr>
            <w:r w:rsidDel="00000000" w:rsidR="00000000" w:rsidRPr="00000000">
              <w:rPr>
                <w:rFonts w:ascii="Calibri" w:cs="Calibri" w:eastAsia="Calibri" w:hAnsi="Calibri"/>
                <w:b w:val="0"/>
                <w:color w:val="1f1f1f"/>
                <w:sz w:val="19"/>
                <w:szCs w:val="19"/>
                <w:rtl w:val="0"/>
              </w:rPr>
              <w:t xml:space="preserve">5.0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45">
            <w:pPr>
              <w:jc w:val="center"/>
              <w:rPr/>
            </w:pPr>
            <w:r w:rsidDel="00000000" w:rsidR="00000000" w:rsidRPr="00000000">
              <w:rPr>
                <w:rFonts w:ascii="Calibri" w:cs="Calibri" w:eastAsia="Calibri" w:hAnsi="Calibri"/>
                <w:b w:val="0"/>
                <w:color w:val="1f1f1f"/>
                <w:sz w:val="19"/>
                <w:szCs w:val="19"/>
                <w:rtl w:val="0"/>
              </w:rPr>
              <w:t xml:space="preserve">5.0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46">
            <w:pPr>
              <w:jc w:val="center"/>
              <w:rPr/>
            </w:pPr>
            <w:r w:rsidDel="00000000" w:rsidR="00000000" w:rsidRPr="00000000">
              <w:rPr>
                <w:rFonts w:ascii="Calibri" w:cs="Calibri" w:eastAsia="Calibri" w:hAnsi="Calibri"/>
                <w:b w:val="0"/>
                <w:color w:val="1f1f1f"/>
                <w:sz w:val="19"/>
                <w:szCs w:val="19"/>
                <w:rtl w:val="0"/>
              </w:rPr>
              <w:t xml:space="preserve">5.0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47">
            <w:pPr>
              <w:jc w:val="center"/>
              <w:rPr/>
            </w:pPr>
            <w:r w:rsidDel="00000000" w:rsidR="00000000" w:rsidRPr="00000000">
              <w:rPr>
                <w:rFonts w:ascii="Calibri" w:cs="Calibri" w:eastAsia="Calibri" w:hAnsi="Calibri"/>
                <w:b w:val="0"/>
                <w:color w:val="1f1f1f"/>
                <w:sz w:val="19"/>
                <w:szCs w:val="19"/>
                <w:rtl w:val="0"/>
              </w:rPr>
              <w:t xml:space="preserve">5.0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0"/>
                <w:color w:val="1f1f1f"/>
                <w:sz w:val="19"/>
                <w:szCs w:val="19"/>
                <w:rtl w:val="0"/>
              </w:rPr>
              <w:t xml:space="preserve">Disclosure &amp; Transparency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jc w:val="center"/>
              <w:rPr/>
            </w:pPr>
            <w:r w:rsidDel="00000000" w:rsidR="00000000" w:rsidRPr="00000000">
              <w:rPr>
                <w:rFonts w:ascii="Calibri" w:cs="Calibri" w:eastAsia="Calibri" w:hAnsi="Calibri"/>
                <w:b w:val="0"/>
                <w:color w:val="1f1f1f"/>
                <w:sz w:val="19"/>
                <w:szCs w:val="19"/>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A">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E">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0"/>
                <w:color w:val="1f1f1f"/>
                <w:sz w:val="19"/>
                <w:szCs w:val="19"/>
                <w:rtl w:val="0"/>
              </w:rPr>
              <w:t xml:space="preserve">CSR &amp; Sustainability Performance</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0">
            <w:pPr>
              <w:jc w:val="center"/>
              <w:rPr/>
            </w:pPr>
            <w:r w:rsidDel="00000000" w:rsidR="00000000" w:rsidRPr="00000000">
              <w:rPr>
                <w:rFonts w:ascii="Calibri" w:cs="Calibri" w:eastAsia="Calibri" w:hAnsi="Calibri"/>
                <w:b w:val="0"/>
                <w:color w:val="1f1f1f"/>
                <w:sz w:val="19"/>
                <w:szCs w:val="19"/>
                <w:rtl w:val="0"/>
              </w:rPr>
              <w:t xml:space="preserve">15</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1">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2">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3">
            <w:pPr>
              <w:jc w:val="center"/>
              <w:rPr/>
            </w:pPr>
            <w:r w:rsidDel="00000000" w:rsidR="00000000" w:rsidRPr="00000000">
              <w:rPr>
                <w:rFonts w:ascii="Calibri" w:cs="Calibri" w:eastAsia="Calibri" w:hAnsi="Calibri"/>
                <w:b w:val="0"/>
                <w:color w:val="1f1f1f"/>
                <w:sz w:val="19"/>
                <w:szCs w:val="19"/>
                <w:rtl w:val="0"/>
              </w:rPr>
              <w:t xml:space="preserve">3.5</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4">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5">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0"/>
                <w:color w:val="1f1f1f"/>
                <w:sz w:val="19"/>
                <w:szCs w:val="19"/>
                <w:rtl w:val="0"/>
              </w:rPr>
              <w:t xml:space="preserve">Related Party Transaction Governance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jc w:val="center"/>
              <w:rPr/>
            </w:pPr>
            <w:r w:rsidDel="00000000" w:rsidR="00000000" w:rsidRPr="00000000">
              <w:rPr>
                <w:rFonts w:ascii="Calibri" w:cs="Calibri" w:eastAsia="Calibri" w:hAnsi="Calibri"/>
                <w:b w:val="0"/>
                <w:color w:val="1f1f1f"/>
                <w:sz w:val="19"/>
                <w:szCs w:val="19"/>
                <w:rtl w:val="0"/>
              </w:rPr>
              <w:t xml:space="preserve">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jc w:val="center"/>
              <w:rPr/>
            </w:pPr>
            <w:r w:rsidDel="00000000" w:rsidR="00000000" w:rsidRPr="00000000">
              <w:rPr>
                <w:rFonts w:ascii="Calibri" w:cs="Calibri" w:eastAsia="Calibri" w:hAnsi="Calibri"/>
                <w:b w:val="0"/>
                <w:color w:val="1f1f1f"/>
                <w:sz w:val="19"/>
                <w:szCs w:val="19"/>
                <w:rtl w:val="0"/>
              </w:rPr>
              <w:t xml:space="preserve">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A">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0"/>
                <w:color w:val="1f1f1f"/>
                <w:sz w:val="19"/>
                <w:szCs w:val="19"/>
                <w:rtl w:val="0"/>
              </w:rPr>
              <w:t xml:space="preserve">Shareholder Rights &amp; Grievance Redressal</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E">
            <w:pPr>
              <w:jc w:val="center"/>
              <w:rPr/>
            </w:pPr>
            <w:r w:rsidDel="00000000" w:rsidR="00000000" w:rsidRPr="00000000">
              <w:rPr>
                <w:rFonts w:ascii="Calibri" w:cs="Calibri" w:eastAsia="Calibri" w:hAnsi="Calibri"/>
                <w:b w:val="0"/>
                <w:color w:val="1f1f1f"/>
                <w:sz w:val="19"/>
                <w:szCs w:val="19"/>
                <w:rtl w:val="0"/>
              </w:rPr>
              <w:t xml:space="preserve">15</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5F">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60">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61">
            <w:pPr>
              <w:jc w:val="center"/>
              <w:rPr/>
            </w:pPr>
            <w:r w:rsidDel="00000000" w:rsidR="00000000" w:rsidRPr="00000000">
              <w:rPr>
                <w:rFonts w:ascii="Calibri" w:cs="Calibri" w:eastAsia="Calibri" w:hAnsi="Calibri"/>
                <w:b w:val="0"/>
                <w:color w:val="1f1f1f"/>
                <w:sz w:val="19"/>
                <w:szCs w:val="19"/>
                <w:rtl w:val="0"/>
              </w:rPr>
              <w:t xml:space="preserve">4.5</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62">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63">
            <w:pPr>
              <w:jc w:val="center"/>
              <w:rPr/>
            </w:pPr>
            <w:r w:rsidDel="00000000" w:rsidR="00000000" w:rsidRPr="00000000">
              <w:rPr>
                <w:rFonts w:ascii="Calibri" w:cs="Calibri" w:eastAsia="Calibri" w:hAnsi="Calibri"/>
                <w:b w:val="0"/>
                <w:color w:val="1f1f1f"/>
                <w:sz w:val="19"/>
                <w:szCs w:val="19"/>
                <w:rtl w:val="0"/>
              </w:rPr>
              <w:t xml:space="preserve">4.0</w:t>
            </w:r>
            <w:r w:rsidDel="00000000" w:rsidR="00000000" w:rsidRPr="00000000">
              <w:rPr>
                <w:rtl w:val="0"/>
              </w:rPr>
            </w:r>
          </w:p>
        </w:tc>
      </w:tr>
    </w:tbl>
    <w:p w:rsidR="00000000" w:rsidDel="00000000" w:rsidP="00000000" w:rsidRDefault="00000000" w:rsidRPr="00000000" w14:paraId="00000164">
      <w:pPr>
        <w:spacing w:after="240" w:before="60" w:lineRule="auto"/>
        <w:jc w:val="center"/>
        <w:rPr/>
      </w:pPr>
      <w:r w:rsidDel="00000000" w:rsidR="00000000" w:rsidRPr="00000000">
        <w:rPr>
          <w:rFonts w:ascii="Calibri" w:cs="Calibri" w:eastAsia="Calibri" w:hAnsi="Calibri"/>
          <w:i w:val="1"/>
          <w:color w:val="595959"/>
          <w:sz w:val="19"/>
          <w:szCs w:val="19"/>
          <w:rtl w:val="0"/>
        </w:rPr>
        <w:t xml:space="preserve">Table 7.1: Governance Parameter Scores (0–5 scale) — see Sheet 6 of the Excel workbook for the live, editable version</w:t>
      </w:r>
      <w:r w:rsidDel="00000000" w:rsidR="00000000" w:rsidRPr="00000000">
        <w:rPr>
          <w:rtl w:val="0"/>
        </w:rPr>
      </w:r>
    </w:p>
    <w:p w:rsidR="00000000" w:rsidDel="00000000" w:rsidP="00000000" w:rsidRDefault="00000000" w:rsidRPr="00000000" w14:paraId="00000165">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7.3 Composite Governance Index and Ranking</w:t>
      </w:r>
      <w:r w:rsidDel="00000000" w:rsidR="00000000" w:rsidRPr="00000000">
        <w:rPr>
          <w:rtl w:val="0"/>
        </w:rPr>
      </w:r>
    </w:p>
    <w:tbl>
      <w:tblPr>
        <w:tblStyle w:val="Table6"/>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1400"/>
        <w:tblGridChange w:id="0">
          <w:tblGrid>
            <w:gridCol w:w="3400"/>
            <w:gridCol w:w="3400"/>
            <w:gridCol w:w="1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66">
            <w:pPr>
              <w:jc w:val="center"/>
              <w:rPr/>
            </w:pPr>
            <w:r w:rsidDel="00000000" w:rsidR="00000000" w:rsidRPr="00000000">
              <w:rPr>
                <w:rFonts w:ascii="Calibri" w:cs="Calibri" w:eastAsia="Calibri" w:hAnsi="Calibri"/>
                <w:b w:val="1"/>
                <w:color w:val="ffffff"/>
                <w:sz w:val="19"/>
                <w:szCs w:val="19"/>
                <w:rtl w:val="0"/>
              </w:rPr>
              <w:t xml:space="preserve">Company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7">
            <w:pPr>
              <w:jc w:val="center"/>
              <w:rPr/>
            </w:pPr>
            <w:r w:rsidDel="00000000" w:rsidR="00000000" w:rsidRPr="00000000">
              <w:rPr>
                <w:rFonts w:ascii="Calibri" w:cs="Calibri" w:eastAsia="Calibri" w:hAnsi="Calibri"/>
                <w:b w:val="1"/>
                <w:color w:val="ffffff"/>
                <w:sz w:val="19"/>
                <w:szCs w:val="19"/>
                <w:rtl w:val="0"/>
              </w:rPr>
              <w:t xml:space="preserve">Composite Governance Index (/5)</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8">
            <w:pPr>
              <w:jc w:val="center"/>
              <w:rPr/>
            </w:pPr>
            <w:r w:rsidDel="00000000" w:rsidR="00000000" w:rsidRPr="00000000">
              <w:rPr>
                <w:rFonts w:ascii="Calibri" w:cs="Calibri" w:eastAsia="Calibri" w:hAnsi="Calibri"/>
                <w:b w:val="1"/>
                <w:color w:val="ffffff"/>
                <w:sz w:val="19"/>
                <w:szCs w:val="19"/>
                <w:rtl w:val="0"/>
              </w:rPr>
              <w:t xml:space="preserve">Rank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b w:val="0"/>
                <w:color w:val="1f1f1f"/>
                <w:sz w:val="19"/>
                <w:szCs w:val="19"/>
                <w:rtl w:val="0"/>
              </w:rPr>
              <w:t xml:space="preserve">Tata Consultancy Services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jc w:val="center"/>
              <w:rPr/>
            </w:pPr>
            <w:r w:rsidDel="00000000" w:rsidR="00000000" w:rsidRPr="00000000">
              <w:rPr>
                <w:rFonts w:ascii="Calibri" w:cs="Calibri" w:eastAsia="Calibri" w:hAnsi="Calibri"/>
                <w:b w:val="0"/>
                <w:color w:val="1f1f1f"/>
                <w:sz w:val="19"/>
                <w:szCs w:val="19"/>
                <w:rtl w:val="0"/>
              </w:rPr>
              <w:t xml:space="preserve">4.50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jc w:val="center"/>
              <w:rPr/>
            </w:pPr>
            <w:r w:rsidDel="00000000" w:rsidR="00000000" w:rsidRPr="00000000">
              <w:rPr>
                <w:rFonts w:ascii="Calibri" w:cs="Calibri" w:eastAsia="Calibri" w:hAnsi="Calibri"/>
                <w:b w:val="0"/>
                <w:color w:val="1f1f1f"/>
                <w:sz w:val="19"/>
                <w:szCs w:val="19"/>
                <w:rtl w:val="0"/>
              </w:rPr>
              <w:t xml:space="preserve">1</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0"/>
                <w:color w:val="1f1f1f"/>
                <w:sz w:val="19"/>
                <w:szCs w:val="19"/>
                <w:rtl w:val="0"/>
              </w:rPr>
              <w:t xml:space="preserve">Infosys</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6D">
            <w:pPr>
              <w:jc w:val="center"/>
              <w:rPr/>
            </w:pPr>
            <w:r w:rsidDel="00000000" w:rsidR="00000000" w:rsidRPr="00000000">
              <w:rPr>
                <w:rFonts w:ascii="Calibri" w:cs="Calibri" w:eastAsia="Calibri" w:hAnsi="Calibri"/>
                <w:b w:val="0"/>
                <w:color w:val="1f1f1f"/>
                <w:sz w:val="19"/>
                <w:szCs w:val="19"/>
                <w:rtl w:val="0"/>
              </w:rPr>
              <w:t xml:space="preserve">4.43</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6E">
            <w:pPr>
              <w:jc w:val="center"/>
              <w:rPr/>
            </w:pPr>
            <w:r w:rsidDel="00000000" w:rsidR="00000000" w:rsidRPr="00000000">
              <w:rPr>
                <w:rFonts w:ascii="Calibri" w:cs="Calibri" w:eastAsia="Calibri" w:hAnsi="Calibri"/>
                <w:b w:val="0"/>
                <w:color w:val="1f1f1f"/>
                <w:sz w:val="19"/>
                <w:szCs w:val="19"/>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b w:val="0"/>
                <w:color w:val="1f1f1f"/>
                <w:sz w:val="19"/>
                <w:szCs w:val="19"/>
                <w:rtl w:val="0"/>
              </w:rPr>
              <w:t xml:space="preserve">HDFC Bank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jc w:val="center"/>
              <w:rPr/>
            </w:pPr>
            <w:r w:rsidDel="00000000" w:rsidR="00000000" w:rsidRPr="00000000">
              <w:rPr>
                <w:rFonts w:ascii="Calibri" w:cs="Calibri" w:eastAsia="Calibri" w:hAnsi="Calibri"/>
                <w:b w:val="0"/>
                <w:color w:val="1f1f1f"/>
                <w:sz w:val="19"/>
                <w:szCs w:val="19"/>
                <w:rtl w:val="0"/>
              </w:rPr>
              <w:t xml:space="preserve">4.15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r>
      <w:tr>
        <w:trPr>
          <w:cantSplit w:val="0"/>
          <w:tblHeader w:val="0"/>
        </w:trPr>
        <w:tc>
          <w:tcPr>
            <w:shd w:fill="d9e1f2" w:val="clear"/>
            <w:tcMar>
              <w:top w:w="80.0" w:type="dxa"/>
              <w:left w:w="100.0" w:type="dxa"/>
              <w:bottom w:w="80.0" w:type="dxa"/>
              <w:right w:w="10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0"/>
                <w:color w:val="1f1f1f"/>
                <w:sz w:val="19"/>
                <w:szCs w:val="19"/>
                <w:rtl w:val="0"/>
              </w:rPr>
              <w:t xml:space="preserve">ITC Limited</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0"/>
                <w:color w:val="1f1f1f"/>
                <w:sz w:val="19"/>
                <w:szCs w:val="19"/>
                <w:rtl w:val="0"/>
              </w:rPr>
              <w:t xml:space="preserve">4.15</w:t>
            </w:r>
            <w:r w:rsidDel="00000000" w:rsidR="00000000" w:rsidRPr="00000000">
              <w:rPr>
                <w:rtl w:val="0"/>
              </w:rPr>
            </w:r>
          </w:p>
        </w:tc>
        <w:tc>
          <w:tcPr>
            <w:shd w:fill="d9e1f2" w:val="clear"/>
            <w:tcMar>
              <w:top w:w="80.0" w:type="dxa"/>
              <w:left w:w="100.0" w:type="dxa"/>
              <w:bottom w:w="80.0" w:type="dxa"/>
              <w:right w:w="100.0" w:type="dxa"/>
            </w:tcMar>
            <w:vAlign w:val="center"/>
          </w:tcPr>
          <w:p w:rsidR="00000000" w:rsidDel="00000000" w:rsidP="00000000" w:rsidRDefault="00000000" w:rsidRPr="00000000" w14:paraId="00000174">
            <w:pPr>
              <w:jc w:val="center"/>
              <w:rPr/>
            </w:pPr>
            <w:r w:rsidDel="00000000" w:rsidR="00000000" w:rsidRPr="00000000">
              <w:rPr>
                <w:rFonts w:ascii="Calibri" w:cs="Calibri" w:eastAsia="Calibri" w:hAnsi="Calibri"/>
                <w:b w:val="0"/>
                <w:color w:val="1f1f1f"/>
                <w:sz w:val="19"/>
                <w:szCs w:val="19"/>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b w:val="0"/>
                <w:color w:val="1f1f1f"/>
                <w:sz w:val="19"/>
                <w:szCs w:val="19"/>
                <w:rtl w:val="0"/>
              </w:rPr>
              <w:t xml:space="preserve">Reliance Industries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jc w:val="center"/>
              <w:rPr/>
            </w:pPr>
            <w:r w:rsidDel="00000000" w:rsidR="00000000" w:rsidRPr="00000000">
              <w:rPr>
                <w:rFonts w:ascii="Calibri" w:cs="Calibri" w:eastAsia="Calibri" w:hAnsi="Calibri"/>
                <w:b w:val="0"/>
                <w:color w:val="1f1f1f"/>
                <w:sz w:val="19"/>
                <w:szCs w:val="19"/>
                <w:rtl w:val="0"/>
              </w:rPr>
              <w:t xml:space="preserve">4.08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jc w:val="center"/>
              <w:rPr/>
            </w:pPr>
            <w:r w:rsidDel="00000000" w:rsidR="00000000" w:rsidRPr="00000000">
              <w:rPr>
                <w:rFonts w:ascii="Calibri" w:cs="Calibri" w:eastAsia="Calibri" w:hAnsi="Calibri"/>
                <w:b w:val="0"/>
                <w:color w:val="1f1f1f"/>
                <w:sz w:val="19"/>
                <w:szCs w:val="19"/>
                <w:rtl w:val="0"/>
              </w:rPr>
              <w:t xml:space="preserve">5</w:t>
            </w:r>
            <w:r w:rsidDel="00000000" w:rsidR="00000000" w:rsidRPr="00000000">
              <w:rPr>
                <w:rtl w:val="0"/>
              </w:rPr>
            </w:r>
          </w:p>
        </w:tc>
      </w:tr>
    </w:tbl>
    <w:p w:rsidR="00000000" w:rsidDel="00000000" w:rsidP="00000000" w:rsidRDefault="00000000" w:rsidRPr="00000000" w14:paraId="00000178">
      <w:pPr>
        <w:spacing w:after="240" w:before="60" w:lineRule="auto"/>
        <w:jc w:val="center"/>
        <w:rPr/>
      </w:pPr>
      <w:r w:rsidDel="00000000" w:rsidR="00000000" w:rsidRPr="00000000">
        <w:rPr>
          <w:rFonts w:ascii="Calibri" w:cs="Calibri" w:eastAsia="Calibri" w:hAnsi="Calibri"/>
          <w:i w:val="1"/>
          <w:color w:val="595959"/>
          <w:sz w:val="19"/>
          <w:szCs w:val="19"/>
          <w:rtl w:val="0"/>
        </w:rPr>
        <w:t xml:space="preserve">Table 7.2: Composite Governance Index and Rank (computed via SUMPRODUCT in the Excel workbook, Sheet 6)</w:t>
      </w:r>
      <w:r w:rsidDel="00000000" w:rsidR="00000000" w:rsidRPr="00000000">
        <w:rPr>
          <w:rtl w:val="0"/>
        </w:rPr>
      </w:r>
    </w:p>
    <w:p w:rsidR="00000000" w:rsidDel="00000000" w:rsidP="00000000" w:rsidRDefault="00000000" w:rsidRPr="00000000" w14:paraId="00000179">
      <w:pPr>
        <w:spacing w:after="160" w:line="300" w:lineRule="auto"/>
        <w:jc w:val="both"/>
        <w:rPr/>
      </w:pPr>
      <w:r w:rsidDel="00000000" w:rsidR="00000000" w:rsidRPr="00000000">
        <w:rPr>
          <w:rFonts w:ascii="Calibri" w:cs="Calibri" w:eastAsia="Calibri" w:hAnsi="Calibri"/>
          <w:b w:val="0"/>
          <w:i w:val="0"/>
          <w:sz w:val="22"/>
          <w:szCs w:val="22"/>
          <w:rtl w:val="0"/>
        </w:rPr>
        <w:t xml:space="preserve">On this weighted model, Tata Consultancy Services records the highest Composite Governance Index in the sample, driven primarily by its high scores on board independence and disclosure quality. Infosys follows closely, benefiting from its widely-held ownership structure and independent Chairpersonship. HDFC Bank and ITC Limited are closely tied, reflecting strong committee structures offset by marginally lower scores on related-party transaction governance and CSR performance respectively. Reliance Industries records the lowest composite score in this sample, primarily due to the combined Chairman-Managing Director role, though it should be emphasised that this reflects the researcher’s qualitative scoring on a specific, limited set of parameters rather than a comprehensive, all-factors assessment of the company’s overall governance quality.</w:t>
      </w:r>
      <w:r w:rsidDel="00000000" w:rsidR="00000000" w:rsidRPr="00000000">
        <w:rPr>
          <w:rtl w:val="0"/>
        </w:rPr>
      </w:r>
    </w:p>
    <w:p w:rsidR="00000000" w:rsidDel="00000000" w:rsidP="00000000" w:rsidRDefault="00000000" w:rsidRPr="00000000" w14:paraId="0000017A">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7.4 Sensitivity Observation</w:t>
      </w:r>
      <w:r w:rsidDel="00000000" w:rsidR="00000000" w:rsidRPr="00000000">
        <w:rPr>
          <w:rtl w:val="0"/>
        </w:rPr>
      </w:r>
    </w:p>
    <w:p w:rsidR="00000000" w:rsidDel="00000000" w:rsidP="00000000" w:rsidRDefault="00000000" w:rsidRPr="00000000" w14:paraId="0000017B">
      <w:pPr>
        <w:spacing w:after="160" w:line="300" w:lineRule="auto"/>
        <w:jc w:val="both"/>
        <w:rPr/>
      </w:pPr>
      <w:r w:rsidDel="00000000" w:rsidR="00000000" w:rsidRPr="00000000">
        <w:rPr>
          <w:rFonts w:ascii="Calibri" w:cs="Calibri" w:eastAsia="Calibri" w:hAnsi="Calibri"/>
          <w:b w:val="0"/>
          <w:i w:val="0"/>
          <w:sz w:val="22"/>
          <w:szCs w:val="22"/>
          <w:rtl w:val="0"/>
        </w:rPr>
        <w:t xml:space="preserve">Because the model is built on live formulas, a brief sensitivity check was performed by re-weighting ‘Board Independence &amp; Diversity’ and ‘Disclosure &amp; Transparency’ more heavily (raising each from 20% to 25%, offset by reducing ‘CSR &amp; Sustainability Performance’ and ‘Related Party Transaction Governance’ to 12.5% each). Under this alternative weighting, the relative ranking of the five companies did not change materially, suggesting that the overall ordering is reasonably robust to moderate changes in how the parameters are weighted — though readers are encouraged to experiment with the weights in the Excel model to test their own view of what matters most in governance evaluation.</w:t>
      </w:r>
      <w:r w:rsidDel="00000000" w:rsidR="00000000" w:rsidRPr="00000000">
        <w:rPr>
          <w:rtl w:val="0"/>
        </w:rPr>
      </w:r>
    </w:p>
    <w:p w:rsidR="00000000" w:rsidDel="00000000" w:rsidP="00000000" w:rsidRDefault="00000000" w:rsidRPr="00000000" w14:paraId="0000017C">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8.  Findings of the Study</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five sample companies comply with, and in most cases exceed, the minimum board-independence requirements prescribed under Regulation 17 of SEBI (LODR) Regulations, 2015, with independent-director representation ranging from 50% to 70% of total board strength in the sample.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Companies with no single dominant promoter (Infosys, HDFC Bank, ITC Limited) tend to have a higher proportion of independent directors and, more frequently, a Non-Executive Independent Chairperson, compared to promoter-driven companies in the sample (Reliance Industries).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five companies have constituted the full set of committees mandated under the Companies Act, 2013 and SEBI LODR — Audit Committee, Nomination &amp; Remuneration Committee, Stakeholders Relationship Committee, CSR Committee, and Risk Management Committee — indicating uniform statutory compliance at the level of committee constitution, though the depth of each committee’s functioning is harder to assess from public disclosures alone.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CSR spend as a percentage of the prescribed 2% obligation varies across the sample; no company in the sample shows a material, unexplained shortfall, and most variance appears attributable to multi-year project carry-forwards permitted under the CSR rules rather than non-compliance.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five companies, being within the top 1,000 listed entities by market capitalisation, file a BRSR and have some form of Board or management-level ESG oversight, indicating that ESG/sustainability governance has become a standard, rather than exceptional, practice among India’s large-cap companies.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HDFC Bank, as a banking company, is subject to an additional layer of RBI governance requirements not applicable to the other four companies, resulting in a comparatively more elaborate risk-governance architecture.</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weighted Composite Governance Index constructed for this study, Tata Consultancy Services and Infosys score highest, while Reliance Industries scores relatively lower, primarily on account of the combined Chairman-Managing Director role — a structure permitted under Indian law but flagged by the Kotak Committee (2017) as a potential governance risk factor.</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differences observed across the sample are, on the whole, differences of degree rather than kind — all five companies operate within, and substantially exceed, the statutory governance floor prescribed by Indian law; the comparative differences relate mainly to the extent of voluntary, above-minimum governance practices adopted.</w:t>
      </w:r>
      <w:r w:rsidDel="00000000" w:rsidR="00000000" w:rsidRPr="00000000">
        <w:rPr>
          <w:rtl w:val="0"/>
        </w:rPr>
      </w:r>
    </w:p>
    <w:p w:rsidR="00000000" w:rsidDel="00000000" w:rsidP="00000000" w:rsidRDefault="00000000" w:rsidRPr="00000000" w14:paraId="00000185">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9.  Suggestions and Recommendations</w:t>
      </w:r>
      <w:r w:rsidDel="00000000" w:rsidR="00000000" w:rsidRPr="00000000">
        <w:rPr>
          <w:rtl w:val="0"/>
        </w:rPr>
      </w:r>
    </w:p>
    <w:p w:rsidR="00000000" w:rsidDel="00000000" w:rsidP="00000000" w:rsidRDefault="00000000" w:rsidRPr="00000000" w14:paraId="00000186">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9.1 For the Sample Companies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Companies with a combined Chairman-Managing Director structure (such as Reliance Industries in this sample) may consider a phased separation of the Chairperson and Managing Director/CEO roles, consistent with the Kotak Committee’s recommendation, to further strengthen the independence of Board oversight over management, even though this is not currently mandatory for most companies.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Companies could enhance voluntary disclosure of related-party transactions by providing more granular, transaction-level detail (values, counterparties, and rationale) in the Annual Report itself, rather than requiring shareholders to separately access exchange filings.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Boards could consider periodic (e.g., annual) externally facilitated Board evaluation, going beyond the internally conducted self-evaluation currently practised by most companies, to obtain a more independent view of Board effectiveness.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Companies with CSR spend below 100% of the prescribed amount in a given year should ensure clear, specific (rather than generic) disclosure of the reasons for the shortfall and the timeline for utilising any unspent amount, as required under Section 135(5) of the Companies Act, 2013.</w:t>
      </w:r>
      <w:r w:rsidDel="00000000" w:rsidR="00000000" w:rsidRPr="00000000">
        <w:rPr>
          <w:rtl w:val="0"/>
        </w:rPr>
      </w:r>
    </w:p>
    <w:p w:rsidR="00000000" w:rsidDel="00000000" w:rsidP="00000000" w:rsidRDefault="00000000" w:rsidRPr="00000000" w14:paraId="0000018B">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9.2 For Regulators (SEBI / MCA)</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mandating (rather than merely recommending) separation of the Chairperson and Managing Director/CEO roles for a wider category of listed companies, subject to an appropriate transition period, building on the partial reforms introduced after the Kotak Committee Report.</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Standardise the format of Corporate Governance Reports and BRSR filings further to improve comparability across companies and reduce the time and effort required for stakeholders (including students and researchers) to compile comparative data, as was required for this project.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Strengthen disclosure requirements around related-party transactions with unlisted group/subsidiary entities, where current disclosure, while compliant, can still make it difficult for an outside reader to fully assess the commercial rationale and pricing of such transactions.</w:t>
      </w:r>
      <w:r w:rsidDel="00000000" w:rsidR="00000000" w:rsidRPr="00000000">
        <w:rPr>
          <w:rtl w:val="0"/>
        </w:rPr>
      </w:r>
    </w:p>
    <w:p w:rsidR="00000000" w:rsidDel="00000000" w:rsidP="00000000" w:rsidRDefault="00000000" w:rsidRPr="00000000" w14:paraId="0000018F">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9.3 For Investors and Other Stakeholders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Investors, particularly retail investors, should be encouraged (through investor-education initiatives by SEBI, NSE, and BSE) to review the Corporate Governance Report and BRSR of companies they invest in, and not rely solely on financial performance metrics.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Proxy advisory firms and institutional investors should continue to play an active role in voting on governance-related resolutions (such as related-party transactions and director appointments/re-appointments) at Annual General Meetings, as an external check on Board and management conduct.</w:t>
      </w:r>
      <w:r w:rsidDel="00000000" w:rsidR="00000000" w:rsidRPr="00000000">
        <w:rPr>
          <w:rtl w:val="0"/>
        </w:rPr>
      </w:r>
    </w:p>
    <w:p w:rsidR="00000000" w:rsidDel="00000000" w:rsidP="00000000" w:rsidRDefault="00000000" w:rsidRPr="00000000" w14:paraId="00000192">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10.  Conclusion</w:t>
      </w:r>
      <w:r w:rsidDel="00000000" w:rsidR="00000000" w:rsidRPr="00000000">
        <w:rPr>
          <w:rtl w:val="0"/>
        </w:rPr>
      </w:r>
    </w:p>
    <w:p w:rsidR="00000000" w:rsidDel="00000000" w:rsidP="00000000" w:rsidRDefault="00000000" w:rsidRPr="00000000" w14:paraId="00000193">
      <w:pPr>
        <w:spacing w:after="160" w:line="300" w:lineRule="auto"/>
        <w:jc w:val="both"/>
        <w:rPr/>
      </w:pPr>
      <w:r w:rsidDel="00000000" w:rsidR="00000000" w:rsidRPr="00000000">
        <w:rPr>
          <w:rFonts w:ascii="Calibri" w:cs="Calibri" w:eastAsia="Calibri" w:hAnsi="Calibri"/>
          <w:b w:val="0"/>
          <w:i w:val="0"/>
          <w:sz w:val="22"/>
          <w:szCs w:val="22"/>
          <w:rtl w:val="0"/>
        </w:rPr>
        <w:t xml:space="preserve">This project set out to compare the corporate governance practices of five large, well-known Indian companies — Tata Consultancy Services, Reliance Industries, Infosys, HDFC Bank, and ITC Limited — across board composition, committee structure, CSR performance, related-party transaction governance, and risk management. The comparative study confirms that Indian corporate governance regulation, particularly following the reforms introduced by the Companies Act, 2013, SEBI LODR Regulations, 2015, and the Kotak Committee amendments of 2018, has matured into a comprehensive framework that large listed companies substantially comply with as a baseline.</w:t>
      </w:r>
      <w:r w:rsidDel="00000000" w:rsidR="00000000" w:rsidRPr="00000000">
        <w:rPr>
          <w:rtl w:val="0"/>
        </w:rPr>
      </w:r>
    </w:p>
    <w:p w:rsidR="00000000" w:rsidDel="00000000" w:rsidP="00000000" w:rsidRDefault="00000000" w:rsidRPr="00000000" w14:paraId="00000194">
      <w:pPr>
        <w:spacing w:after="160" w:line="300" w:lineRule="auto"/>
        <w:jc w:val="both"/>
        <w:rPr/>
      </w:pPr>
      <w:r w:rsidDel="00000000" w:rsidR="00000000" w:rsidRPr="00000000">
        <w:rPr>
          <w:rFonts w:ascii="Calibri" w:cs="Calibri" w:eastAsia="Calibri" w:hAnsi="Calibri"/>
          <w:b w:val="0"/>
          <w:i w:val="0"/>
          <w:sz w:val="22"/>
          <w:szCs w:val="22"/>
          <w:rtl w:val="0"/>
        </w:rPr>
        <w:t xml:space="preserve">At the same time, the study finds meaningful variation in the extent to which companies go beyond this statutory floor — in board independence levels, the separation (or otherwise) of the Chairperson and Managing Director roles, and the depth and granularity of voluntary disclosure. The weighted Composite Governance Index constructed in this project, while necessarily involving an element of the researcher’s own judgement on qualitative parameters, offers one structured way of synthesising these differences into a single comparative measure, and the accompanying Excel model allows that judgement to be revisited and re-weighted by any reader who wishes to apply their own view of what matters most.</w:t>
      </w:r>
      <w:r w:rsidDel="00000000" w:rsidR="00000000" w:rsidRPr="00000000">
        <w:rPr>
          <w:rtl w:val="0"/>
        </w:rPr>
      </w:r>
    </w:p>
    <w:p w:rsidR="00000000" w:rsidDel="00000000" w:rsidP="00000000" w:rsidRDefault="00000000" w:rsidRPr="00000000" w14:paraId="00000195">
      <w:pPr>
        <w:spacing w:after="160" w:line="300" w:lineRule="auto"/>
        <w:jc w:val="both"/>
        <w:rPr/>
      </w:pPr>
      <w:r w:rsidDel="00000000" w:rsidR="00000000" w:rsidRPr="00000000">
        <w:rPr>
          <w:rFonts w:ascii="Calibri" w:cs="Calibri" w:eastAsia="Calibri" w:hAnsi="Calibri"/>
          <w:b w:val="0"/>
          <w:i w:val="0"/>
          <w:sz w:val="22"/>
          <w:szCs w:val="22"/>
          <w:rtl w:val="0"/>
        </w:rPr>
        <w:t xml:space="preserve">Overall, the study reinforces the view, well established in governance literature, that corporate governance is not a static, one-time compliance exercise but a continuing discipline that companies, regulators, and investors must all actively sustain. As India’s capital markets continue to deepen and attract greater domestic and foreign institutional participation, the quality of corporate governance at India’s large listed companies is likely to remain a key determinant of investor confidence and, ultimately, of the companies’ own long-term value creation.</w:t>
      </w:r>
      <w:r w:rsidDel="00000000" w:rsidR="00000000" w:rsidRPr="00000000">
        <w:rPr>
          <w:rtl w:val="0"/>
        </w:rPr>
      </w:r>
    </w:p>
    <w:p w:rsidR="00000000" w:rsidDel="00000000" w:rsidP="00000000" w:rsidRDefault="00000000" w:rsidRPr="00000000" w14:paraId="00000196">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Bibliography / Webliography</w:t>
      </w:r>
      <w:r w:rsidDel="00000000" w:rsidR="00000000" w:rsidRPr="00000000">
        <w:rPr>
          <w:rtl w:val="0"/>
        </w:rPr>
      </w:r>
    </w:p>
    <w:p w:rsidR="00000000" w:rsidDel="00000000" w:rsidP="00000000" w:rsidRDefault="00000000" w:rsidRPr="00000000" w14:paraId="00000197">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Statutes and Regulations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Companies Act, 2013 (Act No. 18 of 2013), Government of India.</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Securities and Exchange Board of India (Listing Obligations and Disclosure Requirements) Regulations, 2015.</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Securities and Exchange Board of India (BRSR) framework and related circulars, 2021.</w:t>
      </w:r>
      <w:r w:rsidDel="00000000" w:rsidR="00000000" w:rsidRPr="00000000">
        <w:rPr>
          <w:rtl w:val="0"/>
        </w:rPr>
      </w:r>
    </w:p>
    <w:p w:rsidR="00000000" w:rsidDel="00000000" w:rsidP="00000000" w:rsidRDefault="00000000" w:rsidRPr="00000000" w14:paraId="0000019B">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Committee Reports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of the Cadbury Committee on the Financial Aspects of Corporate Governance, UK, 1992.</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Confederation of Indian Industry, “Desirable Corporate Governance: A Code,” 1998.</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of the Kumar Mangalam Birla Committee on Corporate Governance, SEBI, 2000.</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of the Naresh Chandra Committee on Corporate Audit and Governance, 2002.</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of the N. R. Narayana Murthy Committee on Corporate Governance, SEBI, 2003.</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of the Uday Kotak Committee on Corporate Governance, SEBI, 2017.</w:t>
      </w:r>
      <w:r w:rsidDel="00000000" w:rsidR="00000000" w:rsidRPr="00000000">
        <w:rPr>
          <w:rtl w:val="0"/>
        </w:rPr>
      </w:r>
    </w:p>
    <w:p w:rsidR="00000000" w:rsidDel="00000000" w:rsidP="00000000" w:rsidRDefault="00000000" w:rsidRPr="00000000" w14:paraId="000001A2">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Company Disclosures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Tata Consultancy Services Limited — Integrated Annual Report and Corporate Governance Report (latest available financial year), www.tcs.com.</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Reliance Industries Limited — Integrated Annual Report and Corporate Governance Report (latest available financial year), www.ril.com.</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Infosys Limited — Annual Report and Corporate Governance Report (latest available financial year), www.infosys.com.</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HDFC Bank Limited — Annual Report and Corporate Governance Report (latest available financial year), www.hdfcbank.com.</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ITC Limited — Annual Report and Corporate Governance Report (latest available financial year), www.itcportal.com.</w:t>
      </w:r>
      <w:r w:rsidDel="00000000" w:rsidR="00000000" w:rsidRPr="00000000">
        <w:rPr>
          <w:rtl w:val="0"/>
        </w:rPr>
      </w:r>
    </w:p>
    <w:p w:rsidR="00000000" w:rsidDel="00000000" w:rsidP="00000000" w:rsidRDefault="00000000" w:rsidRPr="00000000" w14:paraId="000001A8">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Websites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Ministry of Corporate Affairs — www.mca.gov.in</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Securities and Exchange Board of India — www.sebi.gov.in</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National Stock Exchange of India — www.nseindia.com</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BSE Limited — www.bseindia.com</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Institutional Investor Advisory Services (IiAS) — www.iias.in</w:t>
      </w:r>
      <w:r w:rsidDel="00000000" w:rsidR="00000000" w:rsidRPr="00000000">
        <w:rPr>
          <w:rtl w:val="0"/>
        </w:rPr>
      </w:r>
    </w:p>
    <w:p w:rsidR="00000000" w:rsidDel="00000000" w:rsidP="00000000" w:rsidRDefault="00000000" w:rsidRPr="00000000" w14:paraId="000001AE">
      <w:pPr>
        <w:pStyle w:val="Heading2"/>
        <w:spacing w:after="150" w:before="300" w:lineRule="auto"/>
        <w:rPr/>
      </w:pPr>
      <w:r w:rsidDel="00000000" w:rsidR="00000000" w:rsidRPr="00000000">
        <w:rPr>
          <w:rFonts w:ascii="Calibri" w:cs="Calibri" w:eastAsia="Calibri" w:hAnsi="Calibri"/>
          <w:b w:val="1"/>
          <w:color w:val="2e74b5"/>
          <w:sz w:val="25"/>
          <w:szCs w:val="25"/>
          <w:rtl w:val="0"/>
        </w:rPr>
        <w:t xml:space="preserve">Note on Referencing</w:t>
      </w:r>
      <w:r w:rsidDel="00000000" w:rsidR="00000000" w:rsidRPr="00000000">
        <w:rPr>
          <w:rtl w:val="0"/>
        </w:rPr>
      </w:r>
    </w:p>
    <w:p w:rsidR="00000000" w:rsidDel="00000000" w:rsidP="00000000" w:rsidRDefault="00000000" w:rsidRPr="00000000" w14:paraId="000001AF">
      <w:pPr>
        <w:spacing w:after="160" w:line="300" w:lineRule="auto"/>
        <w:jc w:val="both"/>
        <w:rPr/>
      </w:pPr>
      <w:r w:rsidDel="00000000" w:rsidR="00000000" w:rsidRPr="00000000">
        <w:rPr>
          <w:rFonts w:ascii="Calibri" w:cs="Calibri" w:eastAsia="Calibri" w:hAnsi="Calibri"/>
          <w:b w:val="0"/>
          <w:i w:val="0"/>
          <w:sz w:val="22"/>
          <w:szCs w:val="22"/>
          <w:rtl w:val="0"/>
        </w:rPr>
        <w:t xml:space="preserve">This bibliography lists the categories and primary sources relied upon. As the specific Annual Reports and Corporate Governance Reports used will depend on the exact financial year selected at the time of final data verification (see the note on data currency in Chapter 3 and in the accompanying Excel workbook), the student should insert the precise report titles, financial years, and page/section references for each company once the final figures have been cross-checked, and format all entries consistently in APA, MLA, or the citation style prescribed by the college/university.</w:t>
      </w:r>
      <w:r w:rsidDel="00000000" w:rsidR="00000000" w:rsidRPr="00000000">
        <w:rPr>
          <w:rtl w:val="0"/>
        </w:rPr>
      </w:r>
    </w:p>
    <w:p w:rsidR="00000000" w:rsidDel="00000000" w:rsidP="00000000" w:rsidRDefault="00000000" w:rsidRPr="00000000" w14:paraId="000001B0">
      <w:pPr>
        <w:pStyle w:val="Heading1"/>
        <w:pageBreakBefore w:val="1"/>
        <w:spacing w:after="200" w:before="400" w:lineRule="auto"/>
        <w:rPr/>
      </w:pPr>
      <w:r w:rsidDel="00000000" w:rsidR="00000000" w:rsidRPr="00000000">
        <w:rPr>
          <w:rFonts w:ascii="Calibri" w:cs="Calibri" w:eastAsia="Calibri" w:hAnsi="Calibri"/>
          <w:b w:val="1"/>
          <w:color w:val="1f3864"/>
          <w:sz w:val="30"/>
          <w:szCs w:val="30"/>
          <w:rtl w:val="0"/>
        </w:rPr>
        <w:t xml:space="preserve">Annexure — Note on the Accompanying Excel Workbook</w:t>
      </w:r>
      <w:r w:rsidDel="00000000" w:rsidR="00000000" w:rsidRPr="00000000">
        <w:rPr>
          <w:rtl w:val="0"/>
        </w:rPr>
      </w:r>
    </w:p>
    <w:p w:rsidR="00000000" w:rsidDel="00000000" w:rsidP="00000000" w:rsidRDefault="00000000" w:rsidRPr="00000000" w14:paraId="000001B1">
      <w:pPr>
        <w:spacing w:after="160" w:line="300" w:lineRule="auto"/>
        <w:jc w:val="both"/>
        <w:rPr/>
      </w:pPr>
      <w:r w:rsidDel="00000000" w:rsidR="00000000" w:rsidRPr="00000000">
        <w:rPr>
          <w:rFonts w:ascii="Calibri" w:cs="Calibri" w:eastAsia="Calibri" w:hAnsi="Calibri"/>
          <w:b w:val="0"/>
          <w:i w:val="0"/>
          <w:sz w:val="22"/>
          <w:szCs w:val="22"/>
          <w:rtl w:val="0"/>
        </w:rPr>
        <w:t xml:space="preserve">This project report is accompanied by a separate Excel workbook, ‘Corporate_Governance_Comparative_Data.xlsx’, which contains the underlying comparative data, live formulas, and charts referenced throughout this report. The workbook contains the following sheets: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 — project title, student details, and an index of the workbook’s contents, along with an important note on data currency.</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Company Profile — basic incorporation, listing, and sector information for the five sample companies.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Board Composition — board size and category-wise composition, with a live formula computing the percentage of Independent Directors and a chart comparing board independence across companies.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Committee Structure — a checklist of the five principal board committees for each company, with a formula counting the number of committees constituted.</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CSR &amp; ESG — CSR obligation (computed via formula as 2% of average net profit) versus actual spend, with a chart comparing prescribed and actual CSR spend.</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Related Party &amp; Risk — a qualitative checklist of related-party transaction and risk-governance disclosure practices.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Governance Scorecard — the weighted scoring model described in Chapter 7, with yellow-shaded input cells for parameter scores, and live SUMPRODUCT and RANK formulas computing the Composite Governance Index and rank for each company, along with supporting charts.</w:t>
      </w:r>
      <w:r w:rsidDel="00000000" w:rsidR="00000000" w:rsidRPr="00000000">
        <w:rPr>
          <w:rtl w:val="0"/>
        </w:rPr>
      </w:r>
    </w:p>
    <w:p w:rsidR="00000000" w:rsidDel="00000000" w:rsidP="00000000" w:rsidRDefault="00000000" w:rsidRPr="00000000" w14:paraId="000001B9">
      <w:pPr>
        <w:spacing w:after="160" w:line="300" w:lineRule="auto"/>
        <w:jc w:val="both"/>
        <w:rPr/>
      </w:pPr>
      <w:r w:rsidDel="00000000" w:rsidR="00000000" w:rsidRPr="00000000">
        <w:rPr>
          <w:rFonts w:ascii="Calibri" w:cs="Calibri" w:eastAsia="Calibri" w:hAnsi="Calibri"/>
          <w:b w:val="0"/>
          <w:i w:val="0"/>
          <w:sz w:val="22"/>
          <w:szCs w:val="22"/>
          <w:rtl w:val="0"/>
        </w:rPr>
        <w:t xml:space="preserve">Cells shaded yellow in Sheet 6 are the only cells intended to be edited by the student; all other cells contain formulas or reference data and will recalculate automatically when inputs are changed. Before final submission, the student is strongly advised to verify all illustrative figures (particularly board composition, committee membership, and CSR spend) against the latest Annual Reports and Corporate Governance Reports of each company, as these change from year to year and, in the case of board composition, can change even within a single financial year.</w:t>
      </w: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BC">
    <w:pP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BD">
    <w:pP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BA">
    <w:pPr>
      <w:jc w:val="right"/>
      <w:rPr/>
    </w:pPr>
    <w:r w:rsidDel="00000000" w:rsidR="00000000" w:rsidRPr="00000000">
      <w:rPr>
        <w:rFonts w:ascii="Calibri" w:cs="Calibri" w:eastAsia="Calibri" w:hAnsi="Calibri"/>
        <w:i w:val="1"/>
        <w:color w:val="595959"/>
        <w:sz w:val="16"/>
        <w:szCs w:val="16"/>
        <w:rtl w:val="0"/>
      </w:rPr>
      <w:t xml:space="preserve">Corporate Governance — Comparative Study | Yashraj Tomar (2024/0016)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BB">
    <w:pPr>
      <w:jc w:val="right"/>
      <w:rPr/>
    </w:pPr>
    <w:r w:rsidDel="00000000" w:rsidR="00000000" w:rsidRPr="00000000">
      <w:rPr>
        <w:rFonts w:ascii="Calibri" w:cs="Calibri" w:eastAsia="Calibri" w:hAnsi="Calibri"/>
        <w:i w:val="1"/>
        <w:color w:val="595959"/>
        <w:sz w:val="16"/>
        <w:szCs w:val="16"/>
        <w:rtl w:val="0"/>
      </w:rPr>
      <w:t xml:space="preserve">Corporate Governance — Comparative Study | Yashraj Tomar (2024/0016)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