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Analysis of Trading Psychology, Neurobiology, and Smart Money Concepts in XAUUSD Markets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Psychological Pattern Analysis and Interventions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psychological landscape of high-frequency and intraday trading is dominated by deeply ingrained cognitive biases and neurobiological reward loops. To successfully navigate these patterns, an individual operating a rule-based Smart Money Concepts (SMC) framework must move beyond abstract awareness and implement structural, rules-based interventions. The following analysis dissects nine specific psychological patterns, identifying their clinical roots and providing concrete, mechanically enforceable solutions.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Bias Lock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 Scientific/Clinical Name:</w:t>
      </w:r>
      <w:r w:rsidDel="00000000" w:rsidR="00000000" w:rsidRPr="00000000">
        <w:rPr>
          <w:rFonts w:ascii="Google Sans" w:cs="Google Sans" w:eastAsia="Google Sans" w:hAnsi="Google Sans"/>
          <w:color w:val="1f1f1f"/>
          <w:rtl w:val="0"/>
        </w:rPr>
        <w:t xml:space="preserve"> Confirmation Bias and Belief Perseverance.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 Core Insight:</w:t>
      </w:r>
      <w:r w:rsidDel="00000000" w:rsidR="00000000" w:rsidRPr="00000000">
        <w:rPr>
          <w:rFonts w:ascii="Google Sans" w:cs="Google Sans" w:eastAsia="Google Sans" w:hAnsi="Google Sans"/>
          <w:color w:val="1f1f1f"/>
          <w:rtl w:val="0"/>
        </w:rPr>
        <w:t xml:space="preserve"> In </w:t>
      </w:r>
      <w:r w:rsidDel="00000000" w:rsidR="00000000" w:rsidRPr="00000000">
        <w:rPr>
          <w:rFonts w:ascii="Google Sans" w:cs="Google Sans" w:eastAsia="Google Sans" w:hAnsi="Google Sans"/>
          <w:i w:val="1"/>
          <w:iCs w:val="1"/>
          <w:color w:val="1f1f1f"/>
          <w:rtl w:val="0"/>
        </w:rPr>
        <w:t xml:space="preserve">Thinking, Fast and Slow</w:t>
      </w:r>
      <w:r w:rsidDel="00000000" w:rsidR="00000000" w:rsidRPr="00000000">
        <w:rPr>
          <w:rFonts w:ascii="Google Sans" w:cs="Google Sans" w:eastAsia="Google Sans" w:hAnsi="Google Sans"/>
          <w:color w:val="1f1f1f"/>
          <w:rtl w:val="0"/>
        </w:rPr>
        <w:t xml:space="preserve">, Daniel Kahneman demonstrates that the human brain inherently seeks information validating a preexisting thesis while systematically blinding itself to contradictory data. Once a directional bias is internally declared, the cognitive load required to dismantle that belief is significantly higher than the load required to rationalize conflicting market data.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 Concrete Intervention:</w:t>
      </w:r>
      <w:r w:rsidDel="00000000" w:rsidR="00000000" w:rsidRPr="00000000">
        <w:rPr>
          <w:rFonts w:ascii="Google Sans" w:cs="Google Sans" w:eastAsia="Google Sans" w:hAnsi="Google Sans"/>
          <w:color w:val="1f1f1f"/>
          <w:rtl w:val="0"/>
        </w:rPr>
        <w:t xml:space="preserve"> Implement a "Premortem and Invalidation Trigger" protocol. Before executing the 6-step framework (DIRECTION → LOCATION → SWEEP → BOS → RETEST → ENTER), the exact technical conditions that mathematically invalidate the directional bias must be documented. If the market triggers these conditions (e.g., three consecutive sweeps failing to result in a Change of Character), a macro script must invert the Y-axis on the charting platform. Forcing the brain to process price action from the opposite visual perspective instantly breaks the neuro-visual pattern recognition loop anchoring the bias.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Loss-Day Aversion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 Scientific/Clinical Name:</w:t>
      </w:r>
      <w:r w:rsidDel="00000000" w:rsidR="00000000" w:rsidRPr="00000000">
        <w:rPr>
          <w:rFonts w:ascii="Google Sans" w:cs="Google Sans" w:eastAsia="Google Sans" w:hAnsi="Google Sans"/>
          <w:color w:val="1f1f1f"/>
          <w:rtl w:val="0"/>
        </w:rPr>
        <w:t xml:space="preserve"> Myopic Loss Aversion. </w:t>
      </w:r>
      <w:r w:rsidDel="00000000" w:rsidR="00000000" w:rsidRPr="00000000">
        <w:rPr>
          <w:rFonts w:ascii="Google Sans" w:cs="Google Sans" w:eastAsia="Google Sans" w:hAnsi="Google Sans"/>
          <w:b w:val="1"/>
          <w:bCs w:val="1"/>
          <w:color w:val="1f1f1f"/>
          <w:rtl w:val="0"/>
        </w:rPr>
        <w:t xml:space="preserve">b) Core Insight:</w:t>
      </w:r>
      <w:r w:rsidDel="00000000" w:rsidR="00000000" w:rsidRPr="00000000">
        <w:rPr>
          <w:rFonts w:ascii="Google Sans" w:cs="Google Sans" w:eastAsia="Google Sans" w:hAnsi="Google Sans"/>
          <w:color w:val="1f1f1f"/>
          <w:rtl w:val="0"/>
        </w:rPr>
        <w:t xml:space="preserve"> Benartzi and Thaler (1995) in </w:t>
      </w:r>
      <w:r w:rsidDel="00000000" w:rsidR="00000000" w:rsidRPr="00000000">
        <w:rPr>
          <w:rFonts w:ascii="Google Sans" w:cs="Google Sans" w:eastAsia="Google Sans" w:hAnsi="Google Sans"/>
          <w:i w:val="1"/>
          <w:iCs w:val="1"/>
          <w:color w:val="1f1f1f"/>
          <w:rtl w:val="0"/>
        </w:rPr>
        <w:t xml:space="preserve">Myopic Loss Aversion and the Equity Premium Puzzle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establish that individuals evaluate their portfolios too frequently, combining a hypersensitivity to losses with short-term evaluation horizons. The psychological pain of a loss is evaluated daily rather than over a statistically significant sample size, driving irrational risk-taking to avoid a negative daily close. </w:t>
      </w:r>
      <w:r w:rsidDel="00000000" w:rsidR="00000000" w:rsidRPr="00000000">
        <w:rPr>
          <w:rFonts w:ascii="Google Sans" w:cs="Google Sans" w:eastAsia="Google Sans" w:hAnsi="Google Sans"/>
          <w:b w:val="1"/>
          <w:bCs w:val="1"/>
          <w:color w:val="1f1f1f"/>
          <w:rtl w:val="0"/>
        </w:rPr>
        <w:t xml:space="preserve">c) Concrete Intervention:</w:t>
      </w:r>
      <w:r w:rsidDel="00000000" w:rsidR="00000000" w:rsidRPr="00000000">
        <w:rPr>
          <w:rFonts w:ascii="Google Sans" w:cs="Google Sans" w:eastAsia="Google Sans" w:hAnsi="Google Sans"/>
          <w:color w:val="1f1f1f"/>
          <w:rtl w:val="0"/>
        </w:rPr>
        <w:t xml:space="preserve"> Mask intraday and daily P&amp;L. Trading platforms must be configured to display risk exclusively in R-multiples rather than fiat currency. Furthermore, the evaluation horizon must be forcibly extended: daily P&amp;L tracking must be entirely abandoned in favor of a 20-trade rolling window review, mathematically removing the psychological weight of the "red day."</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Catastrophizing Perception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 Scientific/Clinical Name:</w:t>
      </w:r>
      <w:r w:rsidDel="00000000" w:rsidR="00000000" w:rsidRPr="00000000">
        <w:rPr>
          <w:rFonts w:ascii="Google Sans" w:cs="Google Sans" w:eastAsia="Google Sans" w:hAnsi="Google Sans"/>
          <w:color w:val="1f1f1f"/>
          <w:rtl w:val="0"/>
        </w:rPr>
        <w:t xml:space="preserve"> Prospect Theory (Loss Aversion Coefficient).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 Core Insight:</w:t>
      </w:r>
      <w:r w:rsidDel="00000000" w:rsidR="00000000" w:rsidRPr="00000000">
        <w:rPr>
          <w:rFonts w:ascii="Google Sans" w:cs="Google Sans" w:eastAsia="Google Sans" w:hAnsi="Google Sans"/>
          <w:color w:val="1f1f1f"/>
          <w:rtl w:val="0"/>
        </w:rPr>
        <w:t xml:space="preserve"> In </w:t>
      </w:r>
      <w:r w:rsidDel="00000000" w:rsidR="00000000" w:rsidRPr="00000000">
        <w:rPr>
          <w:rFonts w:ascii="Google Sans" w:cs="Google Sans" w:eastAsia="Google Sans" w:hAnsi="Google Sans"/>
          <w:i w:val="1"/>
          <w:iCs w:val="1"/>
          <w:color w:val="1f1f1f"/>
          <w:rtl w:val="0"/>
        </w:rPr>
        <w:t xml:space="preserve">Prospect Theory: An Analysis of Decision under Risk</w:t>
      </w:r>
      <w:r w:rsidDel="00000000" w:rsidR="00000000" w:rsidRPr="00000000">
        <w:rPr>
          <w:rFonts w:ascii="Google Sans" w:cs="Google Sans" w:eastAsia="Google Sans" w:hAnsi="Google Sans"/>
          <w:color w:val="1f1f1f"/>
          <w:rtl w:val="0"/>
        </w:rPr>
        <w:t xml:space="preserve"> by Kahneman and Tversky, research establishes that losses loom psychologically larger than gains, typically by a ratio of 2.25 to 1. Consequently, a minor fractional loss (e.g., -0.45R) triggers the identical physiological stress response as a full -1R loss, generating phantom pain that initiates retaliatory, out-of-system trading.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 Concrete Intervention:</w:t>
      </w:r>
      <w:r w:rsidDel="00000000" w:rsidR="00000000" w:rsidRPr="00000000">
        <w:rPr>
          <w:rFonts w:ascii="Google Sans" w:cs="Google Sans" w:eastAsia="Google Sans" w:hAnsi="Google Sans"/>
          <w:color w:val="1f1f1f"/>
          <w:rtl w:val="0"/>
        </w:rPr>
        <w:t xml:space="preserve"> Establish an automated risk-management script (via third-party API tools) that physically halts trading operations for a mandatory 60-minute cooling period following any loss, regardless of its fractional size. During this forced lockout, a cognitive reappraisal exercise must be completed, calculating the fractional loss against the established maximum drawdown parameter to objectively contextualize the event.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Revenge Sizing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 Scientific/Clinical Name:</w:t>
      </w:r>
      <w:r w:rsidDel="00000000" w:rsidR="00000000" w:rsidRPr="00000000">
        <w:rPr>
          <w:rFonts w:ascii="Google Sans" w:cs="Google Sans" w:eastAsia="Google Sans" w:hAnsi="Google Sans"/>
          <w:color w:val="1f1f1f"/>
          <w:rtl w:val="0"/>
        </w:rPr>
        <w:t xml:space="preserve"> Action Bias and the Break-Even Effect. </w:t>
      </w:r>
      <w:r w:rsidDel="00000000" w:rsidR="00000000" w:rsidRPr="00000000">
        <w:rPr>
          <w:rFonts w:ascii="Google Sans" w:cs="Google Sans" w:eastAsia="Google Sans" w:hAnsi="Google Sans"/>
          <w:b w:val="1"/>
          <w:bCs w:val="1"/>
          <w:color w:val="1f1f1f"/>
          <w:rtl w:val="0"/>
        </w:rPr>
        <w:t xml:space="preserve">b) Core Insight:</w:t>
      </w:r>
      <w:r w:rsidDel="00000000" w:rsidR="00000000" w:rsidRPr="00000000">
        <w:rPr>
          <w:rFonts w:ascii="Google Sans" w:cs="Google Sans" w:eastAsia="Google Sans" w:hAnsi="Google Sans"/>
          <w:color w:val="1f1f1f"/>
          <w:rtl w:val="0"/>
        </w:rPr>
        <w:t xml:space="preserve"> Bar-Eli et al. (2007) in </w:t>
      </w:r>
      <w:r w:rsidDel="00000000" w:rsidR="00000000" w:rsidRPr="00000000">
        <w:rPr>
          <w:rFonts w:ascii="Google Sans" w:cs="Google Sans" w:eastAsia="Google Sans" w:hAnsi="Google Sans"/>
          <w:i w:val="1"/>
          <w:iCs w:val="1"/>
          <w:color w:val="1f1f1f"/>
          <w:rtl w:val="0"/>
        </w:rPr>
        <w:t xml:space="preserve">Action Bias among Elite Soccer Goalkeepers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highlight that in high-stress scenarios, individuals feel a strong compulsion to "do something" (action bias) rather than wait optimally. When compounded with the break-even effect, traders manipulate lot sizes under tighter stop-losses to create the illusion of rule compliance (maintaining 0.5% risk) while effectively gambling on market noise. </w:t>
      </w:r>
      <w:r w:rsidDel="00000000" w:rsidR="00000000" w:rsidRPr="00000000">
        <w:rPr>
          <w:rFonts w:ascii="Google Sans" w:cs="Google Sans" w:eastAsia="Google Sans" w:hAnsi="Google Sans"/>
          <w:b w:val="1"/>
          <w:bCs w:val="1"/>
          <w:color w:val="1f1f1f"/>
          <w:rtl w:val="0"/>
        </w:rPr>
        <w:t xml:space="preserve">c) Concrete Intervention:</w:t>
      </w:r>
      <w:r w:rsidDel="00000000" w:rsidR="00000000" w:rsidRPr="00000000">
        <w:rPr>
          <w:rFonts w:ascii="Google Sans" w:cs="Google Sans" w:eastAsia="Google Sans" w:hAnsi="Google Sans"/>
          <w:color w:val="1f1f1f"/>
          <w:rtl w:val="0"/>
        </w:rPr>
        <w:t xml:space="preserve"> Implement an external, broker-side maximum lot size restriction that scales inversely with consecutive losses. If a trade is lost, the maximum allowable lot size for the subsequent trade must be programmatically capped, preventing the mathematical possibility of a single-trade break-even attempt via leverage manipulation.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Shame Lying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 Scientific/Clinical Name:</w:t>
      </w:r>
      <w:r w:rsidDel="00000000" w:rsidR="00000000" w:rsidRPr="00000000">
        <w:rPr>
          <w:rFonts w:ascii="Google Sans" w:cs="Google Sans" w:eastAsia="Google Sans" w:hAnsi="Google Sans"/>
          <w:color w:val="1f1f1f"/>
          <w:rtl w:val="0"/>
        </w:rPr>
        <w:t xml:space="preserve"> Cognitive Dissonance and Ego-Defense Mechanisms.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 Core Insight:</w:t>
      </w:r>
      <w:r w:rsidDel="00000000" w:rsidR="00000000" w:rsidRPr="00000000">
        <w:rPr>
          <w:rFonts w:ascii="Google Sans" w:cs="Google Sans" w:eastAsia="Google Sans" w:hAnsi="Google Sans"/>
          <w:color w:val="1f1f1f"/>
          <w:rtl w:val="0"/>
        </w:rPr>
        <w:t xml:space="preserve"> In </w:t>
      </w:r>
      <w:r w:rsidDel="00000000" w:rsidR="00000000" w:rsidRPr="00000000">
        <w:rPr>
          <w:rFonts w:ascii="Google Sans" w:cs="Google Sans" w:eastAsia="Google Sans" w:hAnsi="Google Sans"/>
          <w:i w:val="1"/>
          <w:iCs w:val="1"/>
          <w:color w:val="1f1f1f"/>
          <w:rtl w:val="0"/>
        </w:rPr>
        <w:t xml:space="preserve">A Theory of Cognitive Dissonance</w:t>
      </w:r>
      <w:r w:rsidDel="00000000" w:rsidR="00000000" w:rsidRPr="00000000">
        <w:rPr>
          <w:rFonts w:ascii="Google Sans" w:cs="Google Sans" w:eastAsia="Google Sans" w:hAnsi="Google Sans"/>
          <w:color w:val="1f1f1f"/>
          <w:rtl w:val="0"/>
        </w:rPr>
        <w:t xml:space="preserve"> by Leon Festinger, research shows that when an individual's actions (rule-breaking) conflict with their identity (disciplined professional), acute psychological distress occurs. The immediate ego-defense mechanism is to conceal or alter the narrative to resolve the dissonance without addressing the underlying behavior.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 Concrete Intervention:</w:t>
      </w:r>
      <w:r w:rsidDel="00000000" w:rsidR="00000000" w:rsidRPr="00000000">
        <w:rPr>
          <w:rFonts w:ascii="Google Sans" w:cs="Google Sans" w:eastAsia="Google Sans" w:hAnsi="Google Sans"/>
          <w:color w:val="1f1f1f"/>
          <w:rtl w:val="0"/>
        </w:rPr>
        <w:t xml:space="preserve"> Utilize automated trade-journaling software (e.g., TradeZella, TraderSync) that directly imports execution data via API without manual input or editing capabilities. By granting read-only access directly to the mentor, the psychological barrier of manually confessing is removed, as objective data is transmitted autonomously.</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Compulsive Continuation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 Scientific/Clinical Name:</w:t>
      </w:r>
      <w:r w:rsidDel="00000000" w:rsidR="00000000" w:rsidRPr="00000000">
        <w:rPr>
          <w:rFonts w:ascii="Google Sans" w:cs="Google Sans" w:eastAsia="Google Sans" w:hAnsi="Google Sans"/>
          <w:color w:val="1f1f1f"/>
          <w:rtl w:val="0"/>
        </w:rPr>
        <w:t xml:space="preserve"> Dopamine Reward Prediction Error and Problematic Trading. </w:t>
      </w:r>
      <w:r w:rsidDel="00000000" w:rsidR="00000000" w:rsidRPr="00000000">
        <w:rPr>
          <w:rFonts w:ascii="Google Sans" w:cs="Google Sans" w:eastAsia="Google Sans" w:hAnsi="Google Sans"/>
          <w:b w:val="1"/>
          <w:bCs w:val="1"/>
          <w:color w:val="1f1f1f"/>
          <w:rtl w:val="0"/>
        </w:rPr>
        <w:t xml:space="preserve">b) Core Insight:</w:t>
      </w:r>
      <w:r w:rsidDel="00000000" w:rsidR="00000000" w:rsidRPr="00000000">
        <w:rPr>
          <w:rFonts w:ascii="Google Sans" w:cs="Google Sans" w:eastAsia="Google Sans" w:hAnsi="Google Sans"/>
          <w:color w:val="1f1f1f"/>
          <w:rtl w:val="0"/>
        </w:rPr>
        <w:t xml:space="preserve"> Research by Lee et al. and Håkansson et al. (2021)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documents that short-term, speculative trading induces a neurochemical rush indistinguishable from pathological gambling. The brain becomes addicted not to the profit, but to the anticipation of the outcome, driving a compulsive need for continued market engagement. </w:t>
      </w:r>
      <w:r w:rsidDel="00000000" w:rsidR="00000000" w:rsidRPr="00000000">
        <w:rPr>
          <w:rFonts w:ascii="Google Sans" w:cs="Google Sans" w:eastAsia="Google Sans" w:hAnsi="Google Sans"/>
          <w:b w:val="1"/>
          <w:bCs w:val="1"/>
          <w:color w:val="1f1f1f"/>
          <w:rtl w:val="0"/>
        </w:rPr>
        <w:t xml:space="preserve">c) Concrete Intervention:</w:t>
      </w:r>
      <w:r w:rsidDel="00000000" w:rsidR="00000000" w:rsidRPr="00000000">
        <w:rPr>
          <w:rFonts w:ascii="Google Sans" w:cs="Google Sans" w:eastAsia="Google Sans" w:hAnsi="Google Sans"/>
          <w:color w:val="1f1f1f"/>
          <w:rtl w:val="0"/>
        </w:rPr>
        <w:t xml:space="preserve"> Enforce a hard "daily execution limit." Once two live trades are executed—regardless of outcome—the trading terminal must automatically lock access to the live account until the next daily session reset. This severs the behavioral loop at its neurological origin.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Mid-Trade Conviction Loss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 Scientific/Clinical Name:</w:t>
      </w:r>
      <w:r w:rsidDel="00000000" w:rsidR="00000000" w:rsidRPr="00000000">
        <w:rPr>
          <w:rFonts w:ascii="Google Sans" w:cs="Google Sans" w:eastAsia="Google Sans" w:hAnsi="Google Sans"/>
          <w:color w:val="1f1f1f"/>
          <w:rtl w:val="0"/>
        </w:rPr>
        <w:t xml:space="preserve"> The Ambiguity Effect and Distress Intolerance.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 Core Insight:</w:t>
      </w:r>
      <w:r w:rsidDel="00000000" w:rsidR="00000000" w:rsidRPr="00000000">
        <w:rPr>
          <w:rFonts w:ascii="Google Sans" w:cs="Google Sans" w:eastAsia="Google Sans" w:hAnsi="Google Sans"/>
          <w:color w:val="1f1f1f"/>
          <w:rtl w:val="0"/>
        </w:rPr>
        <w:t xml:space="preserve"> In </w:t>
      </w:r>
      <w:r w:rsidDel="00000000" w:rsidR="00000000" w:rsidRPr="00000000">
        <w:rPr>
          <w:rFonts w:ascii="Google Sans" w:cs="Google Sans" w:eastAsia="Google Sans" w:hAnsi="Google Sans"/>
          <w:i w:val="1"/>
          <w:iCs w:val="1"/>
          <w:color w:val="1f1f1f"/>
          <w:rtl w:val="0"/>
        </w:rPr>
        <w:t xml:space="preserve">Risk, Ambiguity, and the Savage Axioms</w:t>
      </w:r>
      <w:r w:rsidDel="00000000" w:rsidR="00000000" w:rsidRPr="00000000">
        <w:rPr>
          <w:rFonts w:ascii="Google Sans" w:cs="Google Sans" w:eastAsia="Google Sans" w:hAnsi="Google Sans"/>
          <w:color w:val="1f1f1f"/>
          <w:rtl w:val="0"/>
        </w:rPr>
        <w:t xml:space="preserve"> by Daniel Ellsberg, research proves that humans exhibit an extreme aversion to ambiguity. The moment a trade enters drawdown, the probabilistic certainty of the setup becomes highly ambiguous, causing the trader to abandon a statistically valid thesis to escape immediate psychological discomfort.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 Concrete Intervention:</w:t>
      </w:r>
      <w:r w:rsidDel="00000000" w:rsidR="00000000" w:rsidRPr="00000000">
        <w:rPr>
          <w:rFonts w:ascii="Google Sans" w:cs="Google Sans" w:eastAsia="Google Sans" w:hAnsi="Google Sans"/>
          <w:color w:val="1f1f1f"/>
          <w:rtl w:val="0"/>
        </w:rPr>
        <w:t xml:space="preserve"> The "Execution-to-Lock" rule. Once the entry limit order is triggered and the stop-loss and take-profit parameters are mechanically set, the charting software must be minimized. The trade must be managed exclusively via alert notifications at structural targets, removing intra-candle micro-fluctuations from visual processing.</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Chart Addiction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 Scientific/Clinical Name:</w:t>
      </w:r>
      <w:r w:rsidDel="00000000" w:rsidR="00000000" w:rsidRPr="00000000">
        <w:rPr>
          <w:rFonts w:ascii="Google Sans" w:cs="Google Sans" w:eastAsia="Google Sans" w:hAnsi="Google Sans"/>
          <w:color w:val="1f1f1f"/>
          <w:rtl w:val="0"/>
        </w:rPr>
        <w:t xml:space="preserve"> Variable Ratio Reinforcement and Behavioral Addiction. </w:t>
      </w:r>
      <w:r w:rsidDel="00000000" w:rsidR="00000000" w:rsidRPr="00000000">
        <w:rPr>
          <w:rFonts w:ascii="Google Sans" w:cs="Google Sans" w:eastAsia="Google Sans" w:hAnsi="Google Sans"/>
          <w:b w:val="1"/>
          <w:bCs w:val="1"/>
          <w:color w:val="1f1f1f"/>
          <w:rtl w:val="0"/>
        </w:rPr>
        <w:t xml:space="preserve">b) Core Insight:</w:t>
      </w:r>
      <w:r w:rsidDel="00000000" w:rsidR="00000000" w:rsidRPr="00000000">
        <w:rPr>
          <w:rFonts w:ascii="Google Sans" w:cs="Google Sans" w:eastAsia="Google Sans" w:hAnsi="Google Sans"/>
          <w:color w:val="1f1f1f"/>
          <w:rtl w:val="0"/>
        </w:rPr>
        <w:t xml:space="preserve"> B.F. Skinner's research on operant conditioning demonstrates that behaviors rewarded on an unpredictable, variable ratio schedule (exactly like market setups) are the most addictive and hardest to extinguish. Demo gambling after limits are reached is a symptom of this deep operant conditioning.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Concrete Intervention:</w:t>
      </w:r>
      <w:r w:rsidDel="00000000" w:rsidR="00000000" w:rsidRPr="00000000">
        <w:rPr>
          <w:rFonts w:ascii="Google Sans" w:cs="Google Sans" w:eastAsia="Google Sans" w:hAnsi="Google Sans"/>
          <w:color w:val="1f1f1f"/>
          <w:rtl w:val="0"/>
        </w:rPr>
        <w:t xml:space="preserve"> Implement a systematic physical environment shift. Once the daily limit is reached, the workstation must be physically powered down, and a transition protocol initiated (e.g., leaving the physical room to engage in a mutually exclusive activity), leveraging environmental cues to break the reinforcement schedule.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Anticipation over Reaction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 Scientific/Clinical Name:</w:t>
      </w:r>
      <w:r w:rsidDel="00000000" w:rsidR="00000000" w:rsidRPr="00000000">
        <w:rPr>
          <w:rFonts w:ascii="Google Sans" w:cs="Google Sans" w:eastAsia="Google Sans" w:hAnsi="Google Sans"/>
          <w:color w:val="1f1f1f"/>
          <w:rtl w:val="0"/>
        </w:rPr>
        <w:t xml:space="preserve"> Illusion of Control.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 Core Insight:</w:t>
      </w:r>
      <w:r w:rsidDel="00000000" w:rsidR="00000000" w:rsidRPr="00000000">
        <w:rPr>
          <w:rFonts w:ascii="Google Sans" w:cs="Google Sans" w:eastAsia="Google Sans" w:hAnsi="Google Sans"/>
          <w:color w:val="1f1f1f"/>
          <w:rtl w:val="0"/>
        </w:rPr>
        <w:t xml:space="preserve"> In </w:t>
      </w:r>
      <w:r w:rsidDel="00000000" w:rsidR="00000000" w:rsidRPr="00000000">
        <w:rPr>
          <w:rFonts w:ascii="Google Sans" w:cs="Google Sans" w:eastAsia="Google Sans" w:hAnsi="Google Sans"/>
          <w:i w:val="1"/>
          <w:iCs w:val="1"/>
          <w:color w:val="1f1f1f"/>
          <w:rtl w:val="0"/>
        </w:rPr>
        <w:t xml:space="preserve">The Illusion of Control</w:t>
      </w:r>
      <w:r w:rsidDel="00000000" w:rsidR="00000000" w:rsidRPr="00000000">
        <w:rPr>
          <w:rFonts w:ascii="Google Sans" w:cs="Google Sans" w:eastAsia="Google Sans" w:hAnsi="Google Sans"/>
          <w:color w:val="1f1f1f"/>
          <w:rtl w:val="0"/>
        </w:rPr>
        <w:t xml:space="preserve"> by Ellen Langer, research reveals that individuals routinely act as if they can influence or predict outcomes in systems governed heavily by chance and complex variables. Predicting price action is an ego-driven attempt to exert control over an inherently uncontrollable stochastic environment.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 Concrete Intervention:</w:t>
      </w:r>
      <w:r w:rsidDel="00000000" w:rsidR="00000000" w:rsidRPr="00000000">
        <w:rPr>
          <w:rFonts w:ascii="Google Sans" w:cs="Google Sans" w:eastAsia="Google Sans" w:hAnsi="Google Sans"/>
          <w:color w:val="1f1f1f"/>
          <w:rtl w:val="0"/>
        </w:rPr>
        <w:t xml:space="preserve"> Adopt an "If-Then" structural syntax for all market commentary and journaling. The trader must not be permitted to state what the market </w:t>
      </w:r>
      <w:r w:rsidDel="00000000" w:rsidR="00000000" w:rsidRPr="00000000">
        <w:rPr>
          <w:rFonts w:ascii="Google Sans" w:cs="Google Sans" w:eastAsia="Google Sans" w:hAnsi="Google Sans"/>
          <w:i w:val="1"/>
          <w:iCs w:val="1"/>
          <w:color w:val="1f1f1f"/>
          <w:rtl w:val="0"/>
        </w:rPr>
        <w:t xml:space="preserve">will</w:t>
      </w:r>
      <w:r w:rsidDel="00000000" w:rsidR="00000000" w:rsidRPr="00000000">
        <w:rPr>
          <w:rFonts w:ascii="Google Sans" w:cs="Google Sans" w:eastAsia="Google Sans" w:hAnsi="Google Sans"/>
          <w:color w:val="1f1f1f"/>
          <w:rtl w:val="0"/>
        </w:rPr>
        <w:t xml:space="preserve"> do. All market analysis must be written strictly as conditional logic: "If X sweeps Y and forms Z, then execution is valid."</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The Intersection of Mental Health and Trading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Trading is an intensely demanding cognitive endeavor. When interacting with complex neurobiological conditions, particularly during recovery from a psychosis episode, the pharmacological and physiological variables must be rigorously managed to maintain a statistical edge.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Pharmacological Impacts on Decision-Making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Antipsychotics and Selective Serotonin Reuptake Inhibitors (SSRIs) exert profound effects on the specific cognitive domains required for high-performance trading. Studies consistently demonstrate that antipsychotics significantly impact memory, executive function, attention, and processing speed.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modulation of dopamine and serotonin systems by these medications can lead to reduced neuroplasticity and generalized cognitive slowing.</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Specifically, atypical antipsychotics (such as quetiapine and olanzapine) possess complex pharmacology including 5-HT2A and D2 receptor antagonism.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Research indicates that such medications alter how individuals process reinforcement cues (gains and losses). In clinical trials, subjects on atypical antipsychotics demonstrated marked shifts in risky decision-making tasks, frequently leading to choices with negative expected values compared to placebo groups.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SSRIs (such as escitalopram) are strongly associated with emotional blunting—affecting 40% to 60% of users.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While this might theoretically seem advantageous for a trader seeking to eliminate fear, studies from the University of Cambridge demonstrate that SSRI-induced emotional blunting significantly impairs reinforcement learning.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Traders rely on trial-and-error reinforcement to unconsciously process market patterns; blunting this mechanism severely compromises intuitive decision-making and pattern recognition.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Routine assessment of these cognitive side effects is essential, and trading models must rely heavily on mechanical checklists to bypass compromised intuitive processing.</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Dopamine Cycles and Compulsive Engagement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Recovery from psychosis involves stabilizing highly sensitive dopamine pathways. Day trading activates the brain's reward system, which is powered by dopamine, in a manner cognitively identical to addictive substances like cocaine and behavioral addictions like pathological gambling.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an individual with vulnerabilities in dopamine regulation, exposure to the intermittent rewards of financial markets can trigger sudden peaks in craving, leading to compulsive trading behaviors, overtrading, and cognitive distortions (e.g., the belief that persistent gambling will guarantee a win).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Strict structural barriers, such as the aforementioned daily lockout limits, are mandatory to prevent relapse into compulsive neuro-loops.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Impact of Sleep Deprivation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Sleep architecture is a critical vulnerability. Research on the impact of sleep on financial risk-taking (the "DEEP sleep" hypothesis) confirms that sleep deprivation directly lowers cognitive ability, clouds judgment, and significantly distorts the perception of probability.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Twenty-four hours of sleep deprivation heavily modulates the neural systems associated with decision-making even before behavioral changes are fully manifest, predisposing individuals to take substantially greater financial risks.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For a trader recovering from a neurochemical imbalance, establishing rigid sleep hygiene is not merely a health recommendation; it is a vital risk-management parameter. Trading is strictly contraindicated following any night of significant sleep disruption.</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 Separation and Self-Complexity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individuals in high-stress, high-risk professions, fusing one's identity with daily performance is a primary catalyst for psychological distress and burnout. Patricia Linville’s Self-Complexity Theory (1987) posits that having multiple, distinct aspects of the self buffers against the impact of stress.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When trading performance is tied directly to identity, a loss is processed not as a statistical event, but as an ego threat. Maintaining clear separation—where freelance income provides survival security and trading is viewed strictly as a distinct, mechanical skill-building activity—is neurologically protective and essential for long-term sustainability.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3: Technical Deep Dive: XAUUSD (Gold)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Gold (XAUUSD) exhibits highly specific macroeconomic, technical, and volatility profiles that separate it fundamentally from standard fiat currency pairs. A trader operating an SMC system strictly on Gold must adapt their framework to the metal's unique idiosyncrasies.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Volatility Characteristics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Gold is an exceptionally volatile asset. Its 14-period Daily Average True Range (ATR) fluctuates significantly depending on the macroeconomic regime, frequently operating between $15 to $35 per day during standard conditions, but expanding dramatically during periods of global distress.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In high-volatility regimes, intra-candle wicks routinely hunt standard stop-losses before reversing, requiring an adaptation of risk parameters to accommodate the expanded true range.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 Behavior and Killzones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Gold respects the institutional "Power of 3" (Accumulation, Manipulation, Distribution) highly consistently:</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Asian Session:</w:t>
      </w:r>
      <w:r w:rsidDel="00000000" w:rsidR="00000000" w:rsidRPr="00000000">
        <w:rPr>
          <w:rFonts w:ascii="Google Sans" w:cs="Google Sans" w:eastAsia="Google Sans" w:hAnsi="Google Sans"/>
          <w:color w:val="1f1f1f"/>
          <w:rtl w:val="0"/>
        </w:rPr>
        <w:t xml:space="preserve"> Typically characterized by tight consolidation and range-bound mechanics. It serves to build internal liquidity pools and establish the daily baseline.</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London Session (12:30–5:30 PM IST):</w:t>
      </w:r>
      <w:r w:rsidDel="00000000" w:rsidR="00000000" w:rsidRPr="00000000">
        <w:rPr>
          <w:rFonts w:ascii="Google Sans" w:cs="Google Sans" w:eastAsia="Google Sans" w:hAnsi="Google Sans"/>
          <w:color w:val="1f1f1f"/>
          <w:rtl w:val="0"/>
        </w:rPr>
        <w:t xml:space="preserve"> The primary zone for manipulation. Gold routinely engineers "fakeouts," sweeping the Asian session highs or lows to trap early breakout traders before reversing direction. This aligns perfectly with a liquidity sweep entry model.</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London Killzone is the optimal window to hunt for the SWEEP → BOS mechanic.</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New York Session (6:30–11:30 PM IST):</w:t>
      </w:r>
      <w:r w:rsidDel="00000000" w:rsidR="00000000" w:rsidRPr="00000000">
        <w:rPr>
          <w:rFonts w:ascii="Google Sans" w:cs="Google Sans" w:eastAsia="Google Sans" w:hAnsi="Google Sans"/>
          <w:color w:val="1f1f1f"/>
          <w:rtl w:val="0"/>
        </w:rPr>
        <w:t xml:space="preserve"> The highest volume period, especially during US economic data releases (CPI, NFP, FOMC). This session provides the true directional expansion and often sees the most violent displacements.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Correlations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Gold maintains inverse correlations to risk assets and yield-bearing instruments. However, analyzing current data reveals profound structural shifts.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Asset / 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Historical Correlation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Current Regime Correlation (2025/2026)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Implication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DXY (US Dollar)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Strong Inverse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Inverse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strength remains a headwind, but Gold has proven resilient against dollar rallies due to global de-dollarization.</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 10Y Real Yields (TIPS)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Strong Inverse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Decoupling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Rising real yields historically crush Gold, but massive central bank buying has overridden this correlation.</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Bitcoin (BTC)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Positive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Negative (-0.17)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BTC now trades as a high-beta risk asset (like the Nasdaq), while Gold absorbs genuine defensive safe-haven flows during geopolitical stress.</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S&amp;P 500 (SPX)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Weak Inverse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Elevated Divergence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Gold is acting as a primary portfolio diversifier amid mounting stagflation risks and elevated stock/bond correlations.</w:t>
            </w:r>
            <w:r w:rsidDel="00000000" w:rsidR="00000000" w:rsidRPr="00000000">
              <w:rPr>
                <w:rFonts w:ascii="Google Sans" w:cs="Google Sans" w:eastAsia="Google Sans" w:hAnsi="Google Sans"/>
                <w:color w:val="444746"/>
                <w:sz w:val="24"/>
                <w:szCs w:val="24"/>
                <w:vertAlign w:val="superscript"/>
                <w:rtl w:val="0"/>
              </w:rPr>
              <w:t xml:space="preserve">39</w:t>
            </w:r>
          </w:p>
        </w:tc>
      </w:tr>
    </w:tbl>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Fundamental Drivers and Trap Patterns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Gold is structurally supported by unprecedented emerging market central bank buying (establishing a high price floor), inflation hedging, ETF restocking cycles, and fears regarding fiscal debt traps.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Retail traders must navigate the realities of broker spreads, which routinely widen massively during NY session data releases (e.g., NFP, CPI), causing severe slippage. Technical analysis completely breaks down during these high-impact news events.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Furthermore, Gold is notorious for building obvious Equal Highs (EQH) and Equal Lows (EQL).</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These form massive liquidity pools heavily targeted by institutional algorithms.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 classic trap is the "NY Open Reversal," where the initial surge at 8:30 AM EST sweeps London liquidity before aggressively reversing into the true daily trend.</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4: Technical Framework for 5-Minute (M5) Zones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M5 timeframe is highly susceptible to algorithmic noise; therefore, identifying valid structural zones requires stringent criteria, filtering out low-probability environments to execute the RETEST → ENTER phases of the framework.</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High-Probability Zone Mechanics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valid supply or demand zone on the M5 is not merely the last opposing candle. To be classified as a high-probability institutional Order Block (OB), it must possess three non-negotiable characteristics:</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Displacement:</w:t>
      </w:r>
      <w:r w:rsidDel="00000000" w:rsidR="00000000" w:rsidRPr="00000000">
        <w:rPr>
          <w:rFonts w:ascii="Google Sans" w:cs="Google Sans" w:eastAsia="Google Sans" w:hAnsi="Google Sans"/>
          <w:color w:val="1f1f1f"/>
          <w:rtl w:val="0"/>
        </w:rPr>
        <w:t xml:space="preserve"> The move originating from the zone must be violent, creating large-bodied directional candles indicating urgent institutional participation.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Weak, grinding moves invalidate the origin zone.</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Imbalance (FVG):</w:t>
      </w:r>
      <w:r w:rsidDel="00000000" w:rsidR="00000000" w:rsidRPr="00000000">
        <w:rPr>
          <w:rFonts w:ascii="Google Sans" w:cs="Google Sans" w:eastAsia="Google Sans" w:hAnsi="Google Sans"/>
          <w:color w:val="1f1f1f"/>
          <w:rtl w:val="0"/>
        </w:rPr>
        <w:t xml:space="preserve"> The displacement must leave a Fair Value Gap.</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An FVG is an area where price moved so rapidly that counterparties were bypassed, creating a pricing inefficiency. The market is magnetically drawn back to fill this gap.</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Break of Structure (BOS):</w:t>
      </w:r>
      <w:r w:rsidDel="00000000" w:rsidR="00000000" w:rsidRPr="00000000">
        <w:rPr>
          <w:rFonts w:ascii="Google Sans" w:cs="Google Sans" w:eastAsia="Google Sans" w:hAnsi="Google Sans"/>
          <w:color w:val="1f1f1f"/>
          <w:rtl w:val="0"/>
        </w:rPr>
        <w:t xml:space="preserve"> The aggressive move must shatter previous structural swing points, proving a transfer of control.</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OB lacking an associated FVG or failing to break structure is categorized as low-probability and should be discarded.</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 Blocks, FVGs, and Breaker Blocks</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Order Blocks:</w:t>
      </w:r>
      <w:r w:rsidDel="00000000" w:rsidR="00000000" w:rsidRPr="00000000">
        <w:rPr>
          <w:rFonts w:ascii="Google Sans" w:cs="Google Sans" w:eastAsia="Google Sans" w:hAnsi="Google Sans"/>
          <w:color w:val="1f1f1f"/>
          <w:rtl w:val="0"/>
        </w:rPr>
        <w:t xml:space="preserve"> Bullish OBs are the last bearish candle before a bullish displacement; Bearish OBs are the last bullish candle before a bearish displacement.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Once an OB is mitigated (tested by price), the institutional orders are largely consumed, drastically lowering the expectancy of subsequent reactions.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High-probability setups exclusively target "fresh" (untested) zones.</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Breaker Blocks:</w:t>
      </w:r>
      <w:r w:rsidDel="00000000" w:rsidR="00000000" w:rsidRPr="00000000">
        <w:rPr>
          <w:rFonts w:ascii="Google Sans" w:cs="Google Sans" w:eastAsia="Google Sans" w:hAnsi="Google Sans"/>
          <w:color w:val="1f1f1f"/>
          <w:rtl w:val="0"/>
        </w:rPr>
        <w:t xml:space="preserve"> These are failed Order Blocks. When an OB fails </w:t>
      </w:r>
      <w:r w:rsidDel="00000000" w:rsidR="00000000" w:rsidRPr="00000000">
        <w:rPr>
          <w:rFonts w:ascii="Google Sans" w:cs="Google Sans" w:eastAsia="Google Sans" w:hAnsi="Google Sans"/>
          <w:i w:val="1"/>
          <w:iCs w:val="1"/>
          <w:color w:val="1f1f1f"/>
          <w:rtl w:val="0"/>
        </w:rPr>
        <w:t xml:space="preserve">after</w:t>
      </w:r>
      <w:r w:rsidDel="00000000" w:rsidR="00000000" w:rsidRPr="00000000">
        <w:rPr>
          <w:rFonts w:ascii="Google Sans" w:cs="Google Sans" w:eastAsia="Google Sans" w:hAnsi="Google Sans"/>
          <w:color w:val="1f1f1f"/>
          <w:rtl w:val="0"/>
        </w:rPr>
        <w:t xml:space="preserve"> price has swept external liquidity, it converts into a Breaker Block. Upon retest, the former support turns into resistance (or vice versa), fueled by trapped traders liquidating at break-even.</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Mitigation Blocks:</w:t>
      </w:r>
      <w:r w:rsidDel="00000000" w:rsidR="00000000" w:rsidRPr="00000000">
        <w:rPr>
          <w:rFonts w:ascii="Google Sans" w:cs="Google Sans" w:eastAsia="Google Sans" w:hAnsi="Google Sans"/>
          <w:color w:val="1f1f1f"/>
          <w:rtl w:val="0"/>
        </w:rPr>
        <w:t xml:space="preserve"> Similar to Breakers, but they form when the OB fails </w:t>
      </w:r>
      <w:r w:rsidDel="00000000" w:rsidR="00000000" w:rsidRPr="00000000">
        <w:rPr>
          <w:rFonts w:ascii="Google Sans" w:cs="Google Sans" w:eastAsia="Google Sans" w:hAnsi="Google Sans"/>
          <w:i w:val="1"/>
          <w:iCs w:val="1"/>
          <w:color w:val="1f1f1f"/>
          <w:rtl w:val="0"/>
        </w:rPr>
        <w:t xml:space="preserve">without</w:t>
      </w:r>
      <w:r w:rsidDel="00000000" w:rsidR="00000000" w:rsidRPr="00000000">
        <w:rPr>
          <w:rFonts w:ascii="Google Sans" w:cs="Google Sans" w:eastAsia="Google Sans" w:hAnsi="Google Sans"/>
          <w:color w:val="1f1f1f"/>
          <w:rtl w:val="0"/>
        </w:rPr>
        <w:t xml:space="preserve"> an initial liquidity sweep (a failure swing). The reaction upon return is designed to mitigate losses of institutions caught on the wrong side of the initial move.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Liquidity Dynamics and Refinement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Understanding the flow between External Range Liquidity (ERL) and Internal Range Liquidity (IRL) is the cornerstone of the SMC methodology. Price seeks ERL (sweeping historical highs/lows) and then retraces to mitigate IRL (tapping FVGs or OBs) before targeting the next ERL.</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refining a wide M5 zone to minimize stop-loss width, dropping to the M1 timeframe is utilized strictly to locate the specific origin candle or inner FVG, not to alter the overarching structural thesis.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Time-based zones are equally critical: the intersections of the London Open, NY Midnight Open, and Previous Day High/Low (PDH/PDL) provide temporal confluences that exponentially increase a zone's probability.</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M5 zones fail (price slices through a valid OB/FVG without reaction), it signals that order flow has overridden structural technical analysis. The continuation must be read by waiting for the formation of a Breaker Block on the opposite side.</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5: Structure — BOS vs. CHoCH</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Misinterpreting market structure is the primary failure point for intraday traders.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Proper structural mapping relies on distinguishing between trend continuations and initial reversals to correctly establish the DIRECTION parameter.</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BOS vs. CHoCH Definitions</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Break of Structure (BOS):</w:t>
      </w:r>
      <w:r w:rsidDel="00000000" w:rsidR="00000000" w:rsidRPr="00000000">
        <w:rPr>
          <w:rFonts w:ascii="Google Sans" w:cs="Google Sans" w:eastAsia="Google Sans" w:hAnsi="Google Sans"/>
          <w:color w:val="1f1f1f"/>
          <w:rtl w:val="0"/>
        </w:rPr>
        <w:t xml:space="preserve"> A BOS occurs when price breaks a major external swing high (in an uptrend) or swing low (in a downtrend) in the direction of the prevailing trend. It is the definitive confirmation of trend continuation.</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Change of Character (CHoCH):</w:t>
      </w:r>
      <w:r w:rsidDel="00000000" w:rsidR="00000000" w:rsidRPr="00000000">
        <w:rPr>
          <w:rFonts w:ascii="Google Sans" w:cs="Google Sans" w:eastAsia="Google Sans" w:hAnsi="Google Sans"/>
          <w:color w:val="1f1f1f"/>
          <w:rtl w:val="0"/>
        </w:rPr>
        <w:t xml:space="preserve"> A CHoCH is the very first break of an opposing structural level, serving as an early-warning signal of a potential reversal.</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vs. External Structure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 structure comprises the major swing points (Higher Highs, Higher Lows) that define the macroeconomic trend on the higher timeframe (e.g., H1 or H4).</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Internal structure constitutes the minor fluctuations occurring between the external swings.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Trading internal structure breaks (minor CHoCHs) while ignoring the external BOS is mathematically disastrous.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rule is absolute: define trend from external structure; use internal structure only to time entry.</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Decision Tree for Entry Alignment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CHoCH alone is rarely sufficient for a high-probability entry unless it occurs precisely after a major external liquidity sweep at a higher timeframe Point of Interest (POI).</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The exact decision tree for multi-timeframe alignment is:</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H4 Bias (DIRECTION):</w:t>
      </w:r>
      <w:r w:rsidDel="00000000" w:rsidR="00000000" w:rsidRPr="00000000">
        <w:rPr>
          <w:rFonts w:ascii="Google Sans" w:cs="Google Sans" w:eastAsia="Google Sans" w:hAnsi="Google Sans"/>
          <w:color w:val="1f1f1f"/>
          <w:rtl w:val="0"/>
        </w:rPr>
        <w:t xml:space="preserve"> Determine overall directional intent (e.g., Bullish).</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H1 Confirmation (LOCATION):</w:t>
      </w:r>
      <w:r w:rsidDel="00000000" w:rsidR="00000000" w:rsidRPr="00000000">
        <w:rPr>
          <w:rFonts w:ascii="Google Sans" w:cs="Google Sans" w:eastAsia="Google Sans" w:hAnsi="Google Sans"/>
          <w:color w:val="1f1f1f"/>
          <w:rtl w:val="0"/>
        </w:rPr>
        <w:t xml:space="preserve"> Wait for price to retrace into an H1 discount array (OB/FVG).</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M15 Trigger (SWEEP):</w:t>
      </w:r>
      <w:r w:rsidDel="00000000" w:rsidR="00000000" w:rsidRPr="00000000">
        <w:rPr>
          <w:rFonts w:ascii="Google Sans" w:cs="Google Sans" w:eastAsia="Google Sans" w:hAnsi="Google Sans"/>
          <w:color w:val="1f1f1f"/>
          <w:rtl w:val="0"/>
        </w:rPr>
        <w:t xml:space="preserve"> Price sweeps an M15 low into the H1 POI.</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M5 Entry (BOS &amp; RETEST):</w:t>
      </w:r>
      <w:r w:rsidDel="00000000" w:rsidR="00000000" w:rsidRPr="00000000">
        <w:rPr>
          <w:rFonts w:ascii="Google Sans" w:cs="Google Sans" w:eastAsia="Google Sans" w:hAnsi="Google Sans"/>
          <w:color w:val="1f1f1f"/>
          <w:rtl w:val="0"/>
        </w:rPr>
        <w:t xml:space="preserve"> Price produces an M5 CHoCH with violent displacement leaving an FVG. A subsequent BOS confirms the reversal. Entry is placed on the retest of the new M5 OB/FVG complex.</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liquidity sweep that immediately reverses </w:t>
      </w:r>
      <w:r w:rsidDel="00000000" w:rsidR="00000000" w:rsidRPr="00000000">
        <w:rPr>
          <w:rFonts w:ascii="Google Sans" w:cs="Google Sans" w:eastAsia="Google Sans" w:hAnsi="Google Sans"/>
          <w:i w:val="1"/>
          <w:iCs w:val="1"/>
          <w:color w:val="1f1f1f"/>
          <w:rtl w:val="0"/>
        </w:rPr>
        <w:t xml:space="preserve">without</w:t>
      </w:r>
      <w:r w:rsidDel="00000000" w:rsidR="00000000" w:rsidRPr="00000000">
        <w:rPr>
          <w:rFonts w:ascii="Google Sans" w:cs="Google Sans" w:eastAsia="Google Sans" w:hAnsi="Google Sans"/>
          <w:color w:val="1f1f1f"/>
          <w:rtl w:val="0"/>
        </w:rPr>
        <w:t xml:space="preserve"> generating a subsequent BOS indicates pure manipulation, where algorithms spoof the book to trigger retail stops but lack the fundamental backing to displace price.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In such cases, the setup must be skipped. Conversely, an LTF structure can override an HTF bias only during major macroeconomic news injections, where the fundamental regime instantaneously shifts.</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6: Navigating Evolving Markets and Regime Changes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Systems fail not because the statistical edge vanishes permanently, but because the underlying market regime shifts while the trader's operational parameters remain static.</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Detection of Regime Changes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Regime changes manifest through measurable shifts in volatility and structural cadence. A trending market morphs into a ranging market when price repeatedly fails to generate a valid continuation BOS following a CHoCH, resulting in overlapping price action and bidirectional liquidity sweeps. To quantify these shifts in Gold, the Cboe Gold ETF Volatility Index (GVZ) serves as an indispensable barometer.</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Spikes in the GVZ denote transitions into high-volatility, distress regimes, while contractions signal a return to algorithmic ranging.</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ATR expansion and contraction provide localized data.</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When ATR expands dramatically, standard stop-loss parameters will be routinely hunted by market noise.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Cluster Pattern of Failures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cluster of three consecutive failed, high-quality setups is a premier heuristic indicating a regime shift. When mathematically valid Order Blocks and FVGs are repeatedly sliced through with no reaction, order flow has overridden structural technical analysis.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This signifies that the current move is driven by news or massive institutional repositioning rather than algorithmic structure. At this juncture, the appropriate action is to </w:t>
      </w:r>
      <w:r w:rsidDel="00000000" w:rsidR="00000000" w:rsidRPr="00000000">
        <w:rPr>
          <w:rFonts w:ascii="Google Sans" w:cs="Google Sans" w:eastAsia="Google Sans" w:hAnsi="Google Sans"/>
          <w:b w:val="1"/>
          <w:bCs w:val="1"/>
          <w:color w:val="1f1f1f"/>
          <w:rtl w:val="0"/>
        </w:rPr>
        <w:t xml:space="preserve">tighten</w:t>
      </w:r>
      <w:r w:rsidDel="00000000" w:rsidR="00000000" w:rsidRPr="00000000">
        <w:rPr>
          <w:rFonts w:ascii="Google Sans" w:cs="Google Sans" w:eastAsia="Google Sans" w:hAnsi="Google Sans"/>
          <w:color w:val="1f1f1f"/>
          <w:rtl w:val="0"/>
        </w:rPr>
        <w:t xml:space="preserve"> rules (e.g., requiring higher timeframe confirmations) and reduce position sizing, rather than loosening parameters to force entries.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Distinguishing a post-impulse retracement from a new trend formation relies on the depth of the pullback and the reaction at the 50% equilibrium line. Retracements respect the Optimal Trade Entry (OTE) levels (62%-79%) and resume the BOS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 violation of the origin OB signals a new trend. Historical data shows SMC traders who survived the 2020 and 2025 Gold volatility spikes did so by widening stops via ATR multiples and reducing lot sizes proportionately.</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7: Trade Management Dynamics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Optimal trade management bridges the gap between a theoretical edge and realized profitability.</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Stop Loss Placement and Break-Even Psychology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Stop-loss placement must be rigorously structural. Placing a stop purely based on arbitrary pip counts or fixed percentages ignores market mechanics. A high-probability stop is positioned strictly beyond the structural sweep or the distal line of the origin Order Block, plus a fractional ATR buffer to account for spread widening.</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industry standard of moving a stop loss to Break-Even (BE) at +1R is mathematically flawed. Moving to BE is primarily a psychological defense mechanism driven by the fear of turning a winner into a loser.</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Structurally, the market requires room to breathe, retest, and accumulate.</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A premature BE stop frequently results in the trader being removed from the market on a natural internal retracement just before the true expansion phase begins.</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Partial Profits vs. Expectancy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on partial profit-taking (scaling out) demonstrates a complex tradeoff.</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While taking partials at logical resistance nodes reduces emotional pressure and guarantees a baseline return, it systematically degrades the mathematical expectancy (R:R ratio) of the system over a large sample size.</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Letting winners run to major external liquidity targets maximizes total return but introduces higher variance.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Trailing stops—whether manual or automated—offer a compromise, but must be trailed strictly behind valid structural swing points (Higher Lows in an uptrend) rather than tight pip intervals. A "no-touch" rule post-entry enforces mechanical discipline, protecting the system from emotional tampering during minor drawdowns. Holding intraday M5 trades through high-impact news is contraindicated due to massive spread slippage and order-flow vacuums.</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8: Statistical Edge and Risk Management Math</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statistical edge is defined as a positive expected value over a sample size large enough to eliminate the variance of random distribution. A minimum sample size of </w:t>
      </w:r>
      <w:r w:rsidDel="00000000" w:rsidR="00000000" w:rsidRPr="00000000">
        <w:rPr>
          <w:rFonts w:ascii="Google Sans" w:cs="Google Sans" w:eastAsia="Google Sans" w:hAnsi="Google Sans"/>
          <w:color w:val="1f1f1f"/>
        </w:rPr>
        <w:drawing>
          <wp:inline distB="19050" distT="19050" distL="19050" distR="19050">
            <wp:extent cx="733872" cy="247801"/>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733872" cy="2478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trades is required to establish reliable confidence intervals.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Expectancy and Mathematics of Profitability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viability of a trading system is calculated via the Expectancy Formula:</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1291"/>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05500" cy="531291"/>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12154" cy="250728"/>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12154" cy="2507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win rate, </w:t>
      </w:r>
      <w:r w:rsidDel="00000000" w:rsidR="00000000" w:rsidRPr="00000000">
        <w:rPr>
          <w:rFonts w:ascii="Google Sans" w:cs="Google Sans" w:eastAsia="Google Sans" w:hAnsi="Google Sans"/>
          <w:color w:val="1f1f1f"/>
        </w:rPr>
        <w:drawing>
          <wp:inline distB="19050" distT="19050" distL="19050" distR="19050">
            <wp:extent cx="260374" cy="250731"/>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0374" cy="2507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average winning trade magnitude, </w:t>
      </w:r>
      <w:r w:rsidDel="00000000" w:rsidR="00000000" w:rsidRPr="00000000">
        <w:rPr>
          <w:rFonts w:ascii="Google Sans" w:cs="Google Sans" w:eastAsia="Google Sans" w:hAnsi="Google Sans"/>
          <w:color w:val="1f1f1f"/>
        </w:rPr>
        <w:drawing>
          <wp:inline distB="19050" distT="19050" distL="19050" distR="19050">
            <wp:extent cx="133499" cy="247926"/>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33499" cy="2479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loss rate, and </w:t>
      </w:r>
      <w:r w:rsidDel="00000000" w:rsidR="00000000" w:rsidRPr="00000000">
        <w:rPr>
          <w:rFonts w:ascii="Google Sans" w:cs="Google Sans" w:eastAsia="Google Sans" w:hAnsi="Google Sans"/>
          <w:color w:val="1f1f1f"/>
        </w:rPr>
        <w:drawing>
          <wp:inline distB="19050" distT="19050" distL="19050" distR="19050">
            <wp:extent cx="202109" cy="25023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02109" cy="2502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average losing trade magnitude.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Win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Required Risk:Reward for Breakeven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Required R:R for Profitability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 2.33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 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 1.50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 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 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 0.66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 1.0+</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retail profit factor benchmark must exceed 1.5 to be considered robust against frictional costs (spread, commissions, slippage).</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of Ruin and Position Sizing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a rigid 0.5% risk per trade, the Risk of Ruin (the mathematical probability of depleting the account entirely) is virtually zero, assuming a positive expectancy system. However, the sequence-of-returns risk remains; a cluster of 10 consecutive losses (a normal statistical anomaly) results in a 5% drawdown, which can trigger psychological deterioration.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Kelly Criterion calculates the theoretical optimal fraction of capital to risk to maximize compounding:</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60708"/>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05500" cy="66070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Due to the volatility of actual markets versus theoretical math, a "Fractional Kelly" (e.g., Half-Kelly) is standard institutional practice. A 0.5% risk parameter easily satisfies this conservative threshold, preventing catastrophic drawdowns while preserving capital during inevitable losing streaks. Drawdown management protocols dictate that risk should be halved (to 0.25%) if the account sustains a 5% overall drawdown, prioritizing survival over rapid recovery.</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9: Rigorous Backtesting Methodology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validity of backtesting is frequently destroyed by cognitive biases—specifically look-ahead bias, survivorship bias, and curve-fitting.</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backtest a subjective system like SMC without cherry-picking, the trader must establish an uncompromising rules-based rubric. Every required parameter of the 6-step framework (Direction, Location, Sweep, BOS, Retest, Enter) must be binary (Yes/No). The minimum sample size for statistical significance is 100 trades per specific asset/regime condition.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Out-of-sample (OOS) testing is critical. The system must be optimized on a historical block (e.g., 2023–2024 data) and then blindly tested on a separate, untouched block (e.g., 2025 data) to ensure the logic survives unknown environments. Forward testing via live execution on a demo account is the final requisite step to bridge the gap between historical simulation and the psychological friction of real-time market speeds. Tools such as TradingView Replay, Forex Tester, or NakedMarkets are essential for simulating live tick data without the influence of look-ahead bias.</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10: Proprietary Trading Firm Specifics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proprietary trading landscape is built on a high-failure model. Industry data spanning 2024 to 2026 demonstrates an evaluation pass rate between 5% and 10%, with fewer than 7% of traders surviving long enough to receive a payout.</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Differences in Firms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comparison of major firms reveals distinct structural parameters designed to test risk management: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 Firm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Pass 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Drawdown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Scaling / Payout Structure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Distinct Rule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Apex Trader Funding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- 20%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Intraday Trailing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on first $25k, then 90/10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Consistency Rule (no single day &gt;30% profit)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FTMO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Static / EOD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Rigid 4-month scaling cycle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standard, highly regulated environment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The5ers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Hyper-Growth (doubles capital per 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Reaches $1M ceiling faster than FTMO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TopStep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- 10%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EOD Trailing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on first $10k, then 90/10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5 winning days with &gt;$150 PNL</w:t>
            </w:r>
          </w:p>
        </w:tc>
      </w:tr>
    </w:tbl>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Adaptations and Drawdown Mechanics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choice of drawdown metric dictates the required strategy.</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A static drawdown is anchored to the initial starting balance and provides expanding safety buffers as the account grows.</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A trailing drawdown tracks the peak unrealized equity.</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If a trade floats +$1,000 and closes at +$200, the trailing drawdown threshold permanently moves up by $1,000, severely punishing swing traders and forcing a rigid, fast-scalping methodology.</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Trading a prop account fundamentally shifts the risk paradigm because the trader is managing "someone else's money." This abstracts the pain of loss, frequently leading to risk-limit violations. To survive, traders must heavily adapt: risk parameters must be slashed to 0.25% or 0.5% to navigate the tight maximum daily loss constraints (typically 4% to 5%).</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Failure occurs predominantly due to aggressive compounding following early wins, slamming the trader into consistency rules or trailing drawdown barriers.</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11: Mandatory Resources and Literature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neurobiology, behavioral psychology, and market mechanics requires targeted, high-level literature beyond elementary texts.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Title &amp; Author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Relevance for Specific Case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Takeaway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Psychology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Thinking, Fast and Slow</w:t>
            </w:r>
            <w:r w:rsidDel="00000000" w:rsidR="00000000" w:rsidRPr="00000000">
              <w:rPr>
                <w:rFonts w:ascii="Google Sans" w:cs="Google Sans" w:eastAsia="Google Sans" w:hAnsi="Google Sans"/>
                <w:color w:val="1f1f1f"/>
                <w:shd w:fill="auto" w:val="clear"/>
                <w:rtl w:val="0"/>
              </w:rPr>
              <w:t xml:space="preserve"> by Daniel Kahneman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Deconstructs the dual-system processing causing bias lock.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1 (emotional) dominates stress; traders must build mechanical routines for System 2 (analytical) override.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Psychology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The Mental Game of Trading</w:t>
            </w:r>
            <w:r w:rsidDel="00000000" w:rsidR="00000000" w:rsidRPr="00000000">
              <w:rPr>
                <w:rFonts w:ascii="Google Sans" w:cs="Google Sans" w:eastAsia="Google Sans" w:hAnsi="Google Sans"/>
                <w:color w:val="1f1f1f"/>
                <w:shd w:fill="auto" w:val="clear"/>
                <w:rtl w:val="0"/>
              </w:rPr>
              <w:t xml:space="preserve"> by Jared Tendler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Applies sports psychology to resolve emotional trading errors.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Greed and fear are predictable patterns triggered by specific, resolvable underlying technical or psychological flaws.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Psychology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Atomic Habits</w:t>
            </w:r>
            <w:r w:rsidDel="00000000" w:rsidR="00000000" w:rsidRPr="00000000">
              <w:rPr>
                <w:rFonts w:ascii="Google Sans" w:cs="Google Sans" w:eastAsia="Google Sans" w:hAnsi="Google Sans"/>
                <w:color w:val="1f1f1f"/>
                <w:shd w:fill="auto" w:val="clear"/>
                <w:rtl w:val="0"/>
              </w:rPr>
              <w:t xml:space="preserve"> by James Clear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Details the neurobiology of habit formation and addiction loops.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Goals do not dictate success; the invisible systems and micro-habits running in the background determine baseline performance.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Psychology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Best Loser Wins</w:t>
            </w:r>
            <w:r w:rsidDel="00000000" w:rsidR="00000000" w:rsidRPr="00000000">
              <w:rPr>
                <w:rFonts w:ascii="Google Sans" w:cs="Google Sans" w:eastAsia="Google Sans" w:hAnsi="Google Sans"/>
                <w:color w:val="1f1f1f"/>
                <w:shd w:fill="auto" w:val="clear"/>
                <w:rtl w:val="0"/>
              </w:rPr>
              <w:t xml:space="preserve"> by Tom Hougaard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Counter-intuitive market psychology from an institutional trader.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Normal human response to profit is to take it, and loss is to hold it; successful trading requires the exact inversion of human nature.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Evidence-Based Technical Analysis</w:t>
            </w:r>
            <w:r w:rsidDel="00000000" w:rsidR="00000000" w:rsidRPr="00000000">
              <w:rPr>
                <w:rFonts w:ascii="Google Sans" w:cs="Google Sans" w:eastAsia="Google Sans" w:hAnsi="Google Sans"/>
                <w:color w:val="1f1f1f"/>
                <w:shd w:fill="auto" w:val="clear"/>
                <w:rtl w:val="0"/>
              </w:rPr>
              <w:t xml:space="preserve"> by David Aronson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Destroys subjective chart-reading using rigorous statistical inference.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Most classical TA patterns are statistically indistinguishable from random noise unless backed by strict quantitative rules.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The Mathematics of Money Management</w:t>
            </w:r>
            <w:r w:rsidDel="00000000" w:rsidR="00000000" w:rsidRPr="00000000">
              <w:rPr>
                <w:rFonts w:ascii="Google Sans" w:cs="Google Sans" w:eastAsia="Google Sans" w:hAnsi="Google Sans"/>
                <w:color w:val="1f1f1f"/>
                <w:shd w:fill="auto" w:val="clear"/>
                <w:rtl w:val="0"/>
              </w:rPr>
              <w:t xml:space="preserve"> by Ralph Vince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Explores the brutal mathematical realities of drawdown and sequence risk.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system with a massive statistical edge will inevitably blow up the account if position sizing logic is mathematically flawed.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Market Mind Games</w:t>
            </w:r>
            <w:r w:rsidDel="00000000" w:rsidR="00000000" w:rsidRPr="00000000">
              <w:rPr>
                <w:rFonts w:ascii="Google Sans" w:cs="Google Sans" w:eastAsia="Google Sans" w:hAnsi="Google Sans"/>
                <w:color w:val="1f1f1f"/>
                <w:shd w:fill="auto" w:val="clear"/>
                <w:rtl w:val="0"/>
              </w:rPr>
              <w:t xml:space="preserve"> by Denise Shull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Intersects neuroscience with market structure.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Attempting to completely suppress emotion is counterproductive; emotions must be interpreted as real-time data regarding market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Fooled by Randomness</w:t>
            </w:r>
            <w:r w:rsidDel="00000000" w:rsidR="00000000" w:rsidRPr="00000000">
              <w:rPr>
                <w:rFonts w:ascii="Google Sans" w:cs="Google Sans" w:eastAsia="Google Sans" w:hAnsi="Google Sans"/>
                <w:color w:val="1f1f1f"/>
                <w:shd w:fill="auto" w:val="clear"/>
                <w:rtl w:val="0"/>
              </w:rPr>
              <w:t xml:space="preserve"> by Nassim Nicholas Taleb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Required reading for understanding probability and illusion of certainty.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Traders frequently confuse luck (surviving a highly risky regime) with skill, leading to ruin when the regime shifts.</w:t>
            </w:r>
          </w:p>
        </w:tc>
      </w:tr>
    </w:tbl>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12: Contrarian Insights Backed by Data</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operate in the top decile of the market, one must systematically reject conventional wisdom parroted by retail trading education.</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Psychology: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Inaction is statistically superior to action in drawdown scenarios.</w:t>
      </w:r>
      <w:r w:rsidDel="00000000" w:rsidR="00000000" w:rsidRPr="00000000">
        <w:rPr>
          <w:rFonts w:ascii="Google Sans" w:cs="Google Sans" w:eastAsia="Google Sans" w:hAnsi="Google Sans"/>
          <w:color w:val="1f1f1f"/>
          <w:rtl w:val="0"/>
        </w:rPr>
        <w:t xml:space="preserve"> Retail psychology teaches that traders must actively "trade their way out" of a slump. Data on the "Action Bias" (Bar-Eli et al., 2007)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proves that in high-stakes defensive scenarios, choosing to do absolutely nothing statistically yields vastly superior outcomes than forcing an active intervention.</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Technical Analysis: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Order Blocks are not inherently institutional.</w:t>
      </w:r>
      <w:r w:rsidDel="00000000" w:rsidR="00000000" w:rsidRPr="00000000">
        <w:rPr>
          <w:rFonts w:ascii="Google Sans" w:cs="Google Sans" w:eastAsia="Google Sans" w:hAnsi="Google Sans"/>
          <w:color w:val="1f1f1f"/>
          <w:rtl w:val="0"/>
        </w:rPr>
        <w:t xml:space="preserve"> Despite the marketing of SMC, a 5-minute Order Block or FVG has zero intrinsic power. Without the confluence of a higher-timeframe external liquidity sweep and a time-based institutional volume window (e.g., the London or NY Killzone), an M5 OB is merely retail noise and will be consistently run through by algorithmic order flow.</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 Risk Management: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Moving a Stop Loss to Break-Even destroys mathematical expectancy.</w:t>
      </w:r>
      <w:r w:rsidDel="00000000" w:rsidR="00000000" w:rsidRPr="00000000">
        <w:rPr>
          <w:rFonts w:ascii="Google Sans" w:cs="Google Sans" w:eastAsia="Google Sans" w:hAnsi="Google Sans"/>
          <w:color w:val="1f1f1f"/>
          <w:rtl w:val="0"/>
        </w:rPr>
        <w:t xml:space="preserve"> Moving a stop to entry to secure a "risk-free trade" satisfies the psychological fear of loss, but data shows it drastically increases the frequency of being stopped out prematurely on standard structural retracements. The math supports either leaving the stop at the structural invalidation point or trailing it only behind confirmed, major structural swings.</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Myopic loss aversion, disappointment aversion, and the equity premium puzzle - European Central Bank, accessed May 25, 2026, </w:t>
      </w:r>
      <w:hyperlink r:id="rId13">
        <w:r w:rsidDel="00000000" w:rsidR="00000000" w:rsidRPr="00000000">
          <w:rPr>
            <w:rFonts w:ascii="Google Sans" w:cs="Google Sans" w:eastAsia="Google Sans" w:hAnsi="Google Sans"/>
            <w:color w:val="0000ee"/>
            <w:sz w:val="24"/>
            <w:szCs w:val="24"/>
            <w:u w:val="single"/>
            <w:rtl w:val="0"/>
          </w:rPr>
          <w:t xml:space="preserve">https://www.ecb.europa.eu/pub/pdf/scpwps/ecbwp203.pdf</w:t>
        </w:r>
      </w:hyperlink>
      <w:r w:rsidDel="00000000" w:rsidR="00000000" w:rsidRPr="00000000">
        <w:rPr>
          <w:rtl w:val="0"/>
        </w:rPr>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Myopic Loss Aversion and the Equity Premium Puzzle - IDEAS/RePEc, accessed May 25, 2026, </w:t>
      </w:r>
      <w:hyperlink r:id="rId14">
        <w:r w:rsidDel="00000000" w:rsidR="00000000" w:rsidRPr="00000000">
          <w:rPr>
            <w:rFonts w:ascii="Google Sans" w:cs="Google Sans" w:eastAsia="Google Sans" w:hAnsi="Google Sans"/>
            <w:color w:val="0000ee"/>
            <w:sz w:val="24"/>
            <w:szCs w:val="24"/>
            <w:u w:val="single"/>
            <w:rtl w:val="0"/>
          </w:rPr>
          <w:t xml:space="preserve">https://ideas.repec.org/p/nbr/nberwo/4369.html</w:t>
        </w:r>
      </w:hyperlink>
      <w:r w:rsidDel="00000000" w:rsidR="00000000" w:rsidRPr="00000000">
        <w:rPr>
          <w:rtl w:val="0"/>
        </w:rPr>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Myopic Loss Aversion and the Equity Premium Puzzle - NBER, accessed May 25, 2026, </w:t>
      </w:r>
      <w:hyperlink r:id="rId15">
        <w:r w:rsidDel="00000000" w:rsidR="00000000" w:rsidRPr="00000000">
          <w:rPr>
            <w:rFonts w:ascii="Google Sans" w:cs="Google Sans" w:eastAsia="Google Sans" w:hAnsi="Google Sans"/>
            <w:color w:val="0000ee"/>
            <w:sz w:val="24"/>
            <w:szCs w:val="24"/>
            <w:u w:val="single"/>
            <w:rtl w:val="0"/>
          </w:rPr>
          <w:t xml:space="preserve">https://www.nber.org/papers/w4369</w:t>
        </w:r>
      </w:hyperlink>
      <w:r w:rsidDel="00000000" w:rsidR="00000000" w:rsidRPr="00000000">
        <w:rPr>
          <w:rtl w:val="0"/>
        </w:rPr>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Action Bias - The Decision Lab, accessed May 25, 2026, </w:t>
      </w:r>
      <w:hyperlink r:id="rId16">
        <w:r w:rsidDel="00000000" w:rsidR="00000000" w:rsidRPr="00000000">
          <w:rPr>
            <w:rFonts w:ascii="Google Sans" w:cs="Google Sans" w:eastAsia="Google Sans" w:hAnsi="Google Sans"/>
            <w:color w:val="0000ee"/>
            <w:sz w:val="24"/>
            <w:szCs w:val="24"/>
            <w:u w:val="single"/>
            <w:rtl w:val="0"/>
          </w:rPr>
          <w:t xml:space="preserve">https://thedecisionlab.com/biases/action-bias</w:t>
        </w:r>
      </w:hyperlink>
      <w:r w:rsidDel="00000000" w:rsidR="00000000" w:rsidRPr="00000000">
        <w:rPr>
          <w:rtl w:val="0"/>
        </w:rPr>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Action bias among elite soccer goalkeepers: The case of penalty kicks - IDEAS/RePEc, accessed May 25, 2026, </w:t>
      </w:r>
      <w:hyperlink r:id="rId17">
        <w:r w:rsidDel="00000000" w:rsidR="00000000" w:rsidRPr="00000000">
          <w:rPr>
            <w:rFonts w:ascii="Google Sans" w:cs="Google Sans" w:eastAsia="Google Sans" w:hAnsi="Google Sans"/>
            <w:color w:val="0000ee"/>
            <w:sz w:val="24"/>
            <w:szCs w:val="24"/>
            <w:u w:val="single"/>
            <w:rtl w:val="0"/>
          </w:rPr>
          <w:t xml:space="preserve">https://ideas.repec.org/p/pra/mprapa/4477.html</w:t>
        </w:r>
      </w:hyperlink>
      <w:r w:rsidDel="00000000" w:rsidR="00000000" w:rsidRPr="00000000">
        <w:rPr>
          <w:rtl w:val="0"/>
        </w:rPr>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Action Bias among Elite Soccer Goalkeepers: The Case of Penalty Kicks - ResearchGate, accessed May 25, 2026,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https://www.researchgate.net/publication/222676583_Action_Bias_among_Elite_Soccer_Goalkeepers_The_Case_of_Penalty_Kicks</w:t>
        </w:r>
      </w:hyperlink>
      <w:r w:rsidDel="00000000" w:rsidR="00000000" w:rsidRPr="00000000">
        <w:rPr>
          <w:rtl w:val="0"/>
        </w:rPr>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and validation of the Trading Disorder Scale for assessing problematic trading behaviors in: Journal of Behavioral Addictions Volume 14 Issue 2 (2025) - AKJournals, accessed May 25, 2026, </w:t>
      </w:r>
      <w:hyperlink r:id="rId19">
        <w:r w:rsidDel="00000000" w:rsidR="00000000" w:rsidRPr="00000000">
          <w:rPr>
            <w:rFonts w:ascii="Google Sans" w:cs="Google Sans" w:eastAsia="Google Sans" w:hAnsi="Google Sans"/>
            <w:color w:val="0000ee"/>
            <w:sz w:val="24"/>
            <w:szCs w:val="24"/>
            <w:u w:val="single"/>
            <w:rtl w:val="0"/>
          </w:rPr>
          <w:t xml:space="preserve">https://www.akjournals.com/view/journals/2006/14/2/article-p941.xml</w:t>
        </w:r>
      </w:hyperlink>
      <w:r w:rsidDel="00000000" w:rsidR="00000000" w:rsidRPr="00000000">
        <w:rPr>
          <w:rtl w:val="0"/>
        </w:rPr>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Gambling-Like Day Trading During the COVID-19 Pandemic – Need for Research on a Pandemic-Related Risk of Indebtedness and Mental Health Impact - Frontiers, accessed May 25, 2026, </w:t>
      </w:r>
      <w:hyperlink r:id="rId20">
        <w:r w:rsidDel="00000000" w:rsidR="00000000" w:rsidRPr="00000000">
          <w:rPr>
            <w:rFonts w:ascii="Google Sans" w:cs="Google Sans" w:eastAsia="Google Sans" w:hAnsi="Google Sans"/>
            <w:color w:val="0000ee"/>
            <w:sz w:val="24"/>
            <w:szCs w:val="24"/>
            <w:u w:val="single"/>
            <w:rtl w:val="0"/>
          </w:rPr>
          <w:t xml:space="preserve">https://www.frontiersin.org/journals/psychiatry/articles/10.3389/fpsyt.2021.715946/full</w:t>
        </w:r>
      </w:hyperlink>
      <w:r w:rsidDel="00000000" w:rsidR="00000000" w:rsidRPr="00000000">
        <w:rPr>
          <w:rtl w:val="0"/>
        </w:rPr>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Problematic trading: a Systematic Review of theoretical considerations - Frontiers, accessed May 25, 2026, </w:t>
      </w:r>
      <w:hyperlink r:id="rId21">
        <w:r w:rsidDel="00000000" w:rsidR="00000000" w:rsidRPr="00000000">
          <w:rPr>
            <w:rFonts w:ascii="Google Sans" w:cs="Google Sans" w:eastAsia="Google Sans" w:hAnsi="Google Sans"/>
            <w:color w:val="0000ee"/>
            <w:sz w:val="24"/>
            <w:szCs w:val="24"/>
            <w:u w:val="single"/>
            <w:rtl w:val="0"/>
          </w:rPr>
          <w:t xml:space="preserve">https://www.frontiersin.org/journals/psychiatry/articles/10.3389/fpsyt.2025.1505012/full</w:t>
        </w:r>
      </w:hyperlink>
      <w:r w:rsidDel="00000000" w:rsidR="00000000" w:rsidRPr="00000000">
        <w:rPr>
          <w:rtl w:val="0"/>
        </w:rPr>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and validation of the Trading Disorder Scale for assessing problematic trading behaviors - ResearchGate, accessed May 25, 2026,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https://www.researchgate.net/publication/390122977_Development_and_validation_of_the_Trading_Disorder_Scale_for_assessing_problematic_trading_behaviors</w:t>
        </w:r>
      </w:hyperlink>
      <w:r w:rsidDel="00000000" w:rsidR="00000000" w:rsidRPr="00000000">
        <w:rPr>
          <w:rtl w:val="0"/>
        </w:rPr>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Biomarkers of cognitive and memory decline in psychotropic drug users - PMC - NIH, accessed May 25,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https://pmc.ncbi.nlm.nih.gov/articles/PMC11735527/</w:t>
        </w:r>
      </w:hyperlink>
      <w:r w:rsidDel="00000000" w:rsidR="00000000" w:rsidRPr="00000000">
        <w:rPr>
          <w:rtl w:val="0"/>
        </w:rPr>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antipsychotics slow your thinking? Cognitive effects on working memory - National Elf Service, accessed May 25, 2026, </w:t>
      </w:r>
      <w:hyperlink r:id="rId24">
        <w:r w:rsidDel="00000000" w:rsidR="00000000" w:rsidRPr="00000000">
          <w:rPr>
            <w:rFonts w:ascii="Google Sans" w:cs="Google Sans" w:eastAsia="Google Sans" w:hAnsi="Google Sans"/>
            <w:color w:val="0000ee"/>
            <w:sz w:val="24"/>
            <w:szCs w:val="24"/>
            <w:u w:val="single"/>
            <w:rtl w:val="0"/>
          </w:rPr>
          <w:t xml:space="preserve">https://www.nationalelfservice.net/treatment/antipsychotics/do-antipsychotics-slow-your-thinking/</w:t>
        </w:r>
      </w:hyperlink>
      <w:r w:rsidDel="00000000" w:rsidR="00000000" w:rsidRPr="00000000">
        <w:rPr>
          <w:rtl w:val="0"/>
        </w:rPr>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second-generation antipsychotics on cognition: current issues and future challenges - PMC, accessed May 25, 2026,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https://pmc.ncbi.nlm.nih.gov/articles/PMC2879261/</w:t>
        </w:r>
      </w:hyperlink>
      <w:r w:rsidDel="00000000" w:rsidR="00000000" w:rsidRPr="00000000">
        <w:rPr>
          <w:rtl w:val="0"/>
        </w:rPr>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Extrapyramidal symptoms predict cognitive performance after first-episode psychosis - PMC, accessed May 25,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https://pmc.ncbi.nlm.nih.gov/articles/PMC9352759/</w:t>
        </w:r>
      </w:hyperlink>
      <w:r w:rsidDel="00000000" w:rsidR="00000000" w:rsidRPr="00000000">
        <w:rPr>
          <w:rtl w:val="0"/>
        </w:rPr>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Dopamine and Incentive Learning: a Framework for Considering Antipsychotic Medication Effects - Queen's University, accessed May 25, 2026, </w:t>
      </w:r>
      <w:hyperlink r:id="rId27">
        <w:r w:rsidDel="00000000" w:rsidR="00000000" w:rsidRPr="00000000">
          <w:rPr>
            <w:rFonts w:ascii="Google Sans" w:cs="Google Sans" w:eastAsia="Google Sans" w:hAnsi="Google Sans"/>
            <w:color w:val="0000ee"/>
            <w:sz w:val="24"/>
            <w:szCs w:val="24"/>
            <w:u w:val="single"/>
            <w:rtl w:val="0"/>
          </w:rPr>
          <w:t xml:space="preserve">https://www.queensu.ca/psychology/sites/psycwww/files/uploaded_files/Faculty/Richard%20Beninger/Beninger_prp_07.pdf</w:t>
        </w:r>
      </w:hyperlink>
      <w:r w:rsidDel="00000000" w:rsidR="00000000" w:rsidRPr="00000000">
        <w:rPr>
          <w:rtl w:val="0"/>
        </w:rPr>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Short-Term Quetiapine Treatment Alters the Use of Reinforcement Signals during Risky Decision-Making and Promotes the Choice of Negative Expected Values in Healthy Adult Males | Journal of Neuroscience, accessed May 25, 2026, </w:t>
      </w:r>
      <w:hyperlink r:id="rId28">
        <w:r w:rsidDel="00000000" w:rsidR="00000000" w:rsidRPr="00000000">
          <w:rPr>
            <w:rFonts w:ascii="Google Sans" w:cs="Google Sans" w:eastAsia="Google Sans" w:hAnsi="Google Sans"/>
            <w:color w:val="0000ee"/>
            <w:sz w:val="24"/>
            <w:szCs w:val="24"/>
            <w:u w:val="single"/>
            <w:rtl w:val="0"/>
          </w:rPr>
          <w:t xml:space="preserve">https://www.jneurosci.org/content/33/39/15588</w:t>
        </w:r>
      </w:hyperlink>
      <w:r w:rsidDel="00000000" w:rsidR="00000000" w:rsidRPr="00000000">
        <w:rPr>
          <w:rtl w:val="0"/>
        </w:rPr>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Antidepressant-Induced Emotional Blunting: Diagnosis ..., accessed May 25, 2026, </w:t>
      </w:r>
      <w:hyperlink r:id="rId29">
        <w:r w:rsidDel="00000000" w:rsidR="00000000" w:rsidRPr="00000000">
          <w:rPr>
            <w:rFonts w:ascii="Google Sans" w:cs="Google Sans" w:eastAsia="Google Sans" w:hAnsi="Google Sans"/>
            <w:color w:val="0000ee"/>
            <w:sz w:val="24"/>
            <w:szCs w:val="24"/>
            <w:u w:val="single"/>
            <w:rtl w:val="0"/>
          </w:rPr>
          <w:t xml:space="preserve">https://psychopharmacologyinstitute.com/publication/antidepressant-induced-emotional-blunting-diagnosis-mechanisms-and-management-2/</w:t>
        </w:r>
      </w:hyperlink>
      <w:r w:rsidDel="00000000" w:rsidR="00000000" w:rsidRPr="00000000">
        <w:rPr>
          <w:rtl w:val="0"/>
        </w:rPr>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Scientists explain emotional 'blunting' caused by common antidepressants, accessed May 25, 2026, </w:t>
      </w:r>
      <w:hyperlink r:id="rId30">
        <w:r w:rsidDel="00000000" w:rsidR="00000000" w:rsidRPr="00000000">
          <w:rPr>
            <w:rFonts w:ascii="Google Sans" w:cs="Google Sans" w:eastAsia="Google Sans" w:hAnsi="Google Sans"/>
            <w:color w:val="0000ee"/>
            <w:sz w:val="24"/>
            <w:szCs w:val="24"/>
            <w:u w:val="single"/>
            <w:rtl w:val="0"/>
          </w:rPr>
          <w:t xml:space="preserve">https://www.cam.ac.uk/research/news/scientists-explain-emotional-blunting-caused-by-common-antidepressants</w:t>
        </w:r>
      </w:hyperlink>
      <w:r w:rsidDel="00000000" w:rsidR="00000000" w:rsidRPr="00000000">
        <w:rPr>
          <w:rtl w:val="0"/>
        </w:rPr>
      </w:r>
    </w:p>
    <w:p w:rsidR="00000000" w:rsidDel="00000000" w:rsidP="00000000" w:rsidRDefault="00000000" w:rsidRPr="00000000" w14:paraId="000000F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Antidepressants Cause Emotional Blunting, Study Uncovers - Psychiatrist.com, accessed May 25, 2026, </w:t>
      </w:r>
      <w:hyperlink r:id="rId31">
        <w:r w:rsidDel="00000000" w:rsidR="00000000" w:rsidRPr="00000000">
          <w:rPr>
            <w:rFonts w:ascii="Google Sans" w:cs="Google Sans" w:eastAsia="Google Sans" w:hAnsi="Google Sans"/>
            <w:color w:val="0000ee"/>
            <w:sz w:val="24"/>
            <w:szCs w:val="24"/>
            <w:u w:val="single"/>
            <w:rtl w:val="0"/>
          </w:rPr>
          <w:t xml:space="preserve">https://www.psychiatrist.com/news/why-antidepressants-cause-emotional-blunting/</w:t>
        </w:r>
      </w:hyperlink>
      <w:r w:rsidDel="00000000" w:rsidR="00000000" w:rsidRPr="00000000">
        <w:rPr>
          <w:rtl w:val="0"/>
        </w:rPr>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Cued for risk: Evidence for an incentive sensitization framework to explain the interplay between stress and anxiety, substance abuse, and reward uncertainty in disordered gambling behavior - PMC, accessed May 25,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https://pmc.ncbi.nlm.nih.gov/articles/PMC6482104/</w:t>
        </w:r>
      </w:hyperlink>
      <w:r w:rsidDel="00000000" w:rsidR="00000000" w:rsidRPr="00000000">
        <w:rPr>
          <w:rtl w:val="0"/>
        </w:rPr>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Dopamine and Risky Decision-Making in Gambling Disorder - PMC - NIH, accessed May 25,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https://pmc.ncbi.nlm.nih.gov/articles/PMC7294471/</w:t>
        </w:r>
      </w:hyperlink>
      <w:r w:rsidDel="00000000" w:rsidR="00000000" w:rsidRPr="00000000">
        <w:rPr>
          <w:rtl w:val="0"/>
        </w:rPr>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Gambling addiction can cause psychological, physiological health challenges, accessed May 25, 2026, </w:t>
      </w:r>
      <w:hyperlink r:id="rId34">
        <w:r w:rsidDel="00000000" w:rsidR="00000000" w:rsidRPr="00000000">
          <w:rPr>
            <w:rFonts w:ascii="Google Sans" w:cs="Google Sans" w:eastAsia="Google Sans" w:hAnsi="Google Sans"/>
            <w:color w:val="0000ee"/>
            <w:sz w:val="24"/>
            <w:szCs w:val="24"/>
            <w:u w:val="single"/>
            <w:rtl w:val="0"/>
          </w:rPr>
          <w:t xml:space="preserve">https://www.uclahealth.org/news/article/gambling-addiction-can-cause-psychological-physiological-health-challenges</w:t>
        </w:r>
      </w:hyperlink>
      <w:r w:rsidDel="00000000" w:rsidR="00000000" w:rsidRPr="00000000">
        <w:rPr>
          <w:rtl w:val="0"/>
        </w:rPr>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gambling affects the brain and who is most vulnerable to addiction - American Psychological Association, accessed May 25, 2026, </w:t>
      </w:r>
      <w:hyperlink r:id="rId35">
        <w:r w:rsidDel="00000000" w:rsidR="00000000" w:rsidRPr="00000000">
          <w:rPr>
            <w:rFonts w:ascii="Google Sans" w:cs="Google Sans" w:eastAsia="Google Sans" w:hAnsi="Google Sans"/>
            <w:color w:val="0000ee"/>
            <w:sz w:val="24"/>
            <w:szCs w:val="24"/>
            <w:u w:val="single"/>
            <w:rtl w:val="0"/>
          </w:rPr>
          <w:t xml:space="preserve">https://www.apa.org/monitor/2023/07/how-gambling-affects-the-brain</w:t>
        </w:r>
      </w:hyperlink>
      <w:r w:rsidDel="00000000" w:rsidR="00000000" w:rsidRPr="00000000">
        <w:rPr>
          <w:rtl w:val="0"/>
        </w:rPr>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Relationship between Cryptocurrency Trading, Hopelessness, and Financial Well-Being: A Cross-Sectional Study Among Physicians - PMC, accessed May 25, 2026,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https://pmc.ncbi.nlm.nih.gov/articles/PMC12781511/</w:t>
        </w:r>
      </w:hyperlink>
      <w:r w:rsidDel="00000000" w:rsidR="00000000" w:rsidRPr="00000000">
        <w:rPr>
          <w:rtl w:val="0"/>
        </w:rPr>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in Twilight: Sleep and Retail Investors' Stock Investment Performance - LMU College of Business Administration, accessed May 25, 2026, </w:t>
      </w:r>
      <w:hyperlink r:id="rId37">
        <w:r w:rsidDel="00000000" w:rsidR="00000000" w:rsidRPr="00000000">
          <w:rPr>
            <w:rFonts w:ascii="Google Sans" w:cs="Google Sans" w:eastAsia="Google Sans" w:hAnsi="Google Sans"/>
            <w:color w:val="0000ee"/>
            <w:sz w:val="24"/>
            <w:szCs w:val="24"/>
            <w:u w:val="single"/>
            <w:rtl w:val="0"/>
          </w:rPr>
          <w:t xml:space="preserve">https://cba.lmu.edu/media/lmucollegeofbusinessadministration/departments/finance/Paper1.pdf</w:t>
        </w:r>
      </w:hyperlink>
      <w:r w:rsidDel="00000000" w:rsidR="00000000" w:rsidRPr="00000000">
        <w:rPr>
          <w:rtl w:val="0"/>
        </w:rPr>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Detrimental Effects of Inadequate Sleep on the Economy - DigitalCommons@SHU, accessed May 25, 2026, </w:t>
      </w:r>
      <w:hyperlink r:id="rId38">
        <w:r w:rsidDel="00000000" w:rsidR="00000000" w:rsidRPr="00000000">
          <w:rPr>
            <w:rFonts w:ascii="Google Sans" w:cs="Google Sans" w:eastAsia="Google Sans" w:hAnsi="Google Sans"/>
            <w:color w:val="0000ee"/>
            <w:sz w:val="24"/>
            <w:szCs w:val="24"/>
            <w:u w:val="single"/>
            <w:rtl w:val="0"/>
          </w:rPr>
          <w:t xml:space="preserve">https://digitalcommons.sacredheart.edu/cgi/viewcontent.cgi?article=1766&amp;context=acadfest</w:t>
        </w:r>
      </w:hyperlink>
      <w:r w:rsidDel="00000000" w:rsidR="00000000" w:rsidRPr="00000000">
        <w:rPr>
          <w:rtl w:val="0"/>
        </w:rPr>
      </w:r>
    </w:p>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Sleep quality and trading behavior of individual investors on the stock market, accessed May 25, 2026, </w:t>
      </w:r>
      <w:hyperlink r:id="rId39">
        <w:r w:rsidDel="00000000" w:rsidR="00000000" w:rsidRPr="00000000">
          <w:rPr>
            <w:rFonts w:ascii="Google Sans" w:cs="Google Sans" w:eastAsia="Google Sans" w:hAnsi="Google Sans"/>
            <w:color w:val="0000ee"/>
            <w:sz w:val="24"/>
            <w:szCs w:val="24"/>
            <w:u w:val="single"/>
            <w:rtl w:val="0"/>
          </w:rPr>
          <w:t xml:space="preserve">https://journals.vilniustech.lt/index.php/JBEM/article/view/23629</w:t>
        </w:r>
      </w:hyperlink>
      <w:r w:rsidDel="00000000" w:rsidR="00000000" w:rsidRPr="00000000">
        <w:rPr>
          <w:rtl w:val="0"/>
        </w:rPr>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Insufficient Sleep and Intra-Day Financial Decision-Making: Evidence from Online Lending* - European Corporate Governance Institute, accessed May 25, 2026, </w:t>
      </w:r>
      <w:hyperlink r:id="rId40">
        <w:r w:rsidDel="00000000" w:rsidR="00000000" w:rsidRPr="00000000">
          <w:rPr>
            <w:rFonts w:ascii="Google Sans" w:cs="Google Sans" w:eastAsia="Google Sans" w:hAnsi="Google Sans"/>
            <w:color w:val="0000ee"/>
            <w:sz w:val="24"/>
            <w:szCs w:val="24"/>
            <w:u w:val="single"/>
            <w:rtl w:val="0"/>
          </w:rPr>
          <w:t xml:space="preserve">https://www.ecgi.global/sites/default/files/Paper%3A%20Insufficient%20Sleep%20and%20Intra-Day%20Financial%20Decision-Making%3A%20Evidence%20from%20Online%20Lending%2A.pdf</w:t>
        </w:r>
      </w:hyperlink>
      <w:r w:rsidDel="00000000" w:rsidR="00000000" w:rsidRPr="00000000">
        <w:rPr>
          <w:rtl w:val="0"/>
        </w:rPr>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Sleep Deprivation Elevates Expectation of Gains and Attenuates Response to Losses Following Risky Decisions, accessed May 25, 2026, </w:t>
      </w:r>
      <w:hyperlink r:id="rId41">
        <w:r w:rsidDel="00000000" w:rsidR="00000000" w:rsidRPr="00000000">
          <w:rPr>
            <w:rFonts w:ascii="Google Sans" w:cs="Google Sans" w:eastAsia="Google Sans" w:hAnsi="Google Sans"/>
            <w:color w:val="0000ee"/>
            <w:sz w:val="24"/>
            <w:szCs w:val="24"/>
            <w:u w:val="single"/>
            <w:rtl w:val="0"/>
          </w:rPr>
          <w:t xml:space="preserve">https://academic.oup.com/sleep/article-pdf/30/5/603/13663807/sleep-30-5-603.pdf</w:t>
        </w:r>
      </w:hyperlink>
      <w:r w:rsidDel="00000000" w:rsidR="00000000" w:rsidRPr="00000000">
        <w:rPr>
          <w:rtl w:val="0"/>
        </w:rPr>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Science of Living a Single Life: Why Separating the Personal from the Professional Has a Cognitive Cost - FacileThings, accessed May 25, 2026, </w:t>
      </w:r>
      <w:hyperlink r:id="rId42">
        <w:r w:rsidDel="00000000" w:rsidR="00000000" w:rsidRPr="00000000">
          <w:rPr>
            <w:rFonts w:ascii="Google Sans" w:cs="Google Sans" w:eastAsia="Google Sans" w:hAnsi="Google Sans"/>
            <w:color w:val="0000ee"/>
            <w:sz w:val="24"/>
            <w:szCs w:val="24"/>
            <w:u w:val="single"/>
            <w:rtl w:val="0"/>
          </w:rPr>
          <w:t xml:space="preserve">https://facilethings.com/blog/en/the-science-of-living-a-single-life</w:t>
        </w:r>
      </w:hyperlink>
      <w:r w:rsidDel="00000000" w:rsidR="00000000" w:rsidRPr="00000000">
        <w:rPr>
          <w:rtl w:val="0"/>
        </w:rPr>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Psychological and Clinical Correlates of the Centrality of Event Scale: A Systematic Review, accessed May 25, 2026,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https://pmc.ncbi.nlm.nih.gov/articles/PMC6291852/</w:t>
        </w:r>
      </w:hyperlink>
      <w:r w:rsidDel="00000000" w:rsidR="00000000" w:rsidRPr="00000000">
        <w:rPr>
          <w:rtl w:val="0"/>
        </w:rPr>
      </w:r>
    </w:p>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Self-Complexity Linked to Better Coping? A Review of the Literature - ResearchGate, accessed May 25, 2026,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https://www.researchgate.net/publication/8498187_Is_Self-Complexity_Linked_to_Better_Coping_A_Review_of_the_Literature</w:t>
        </w:r>
      </w:hyperlink>
      <w:r w:rsidDel="00000000" w:rsidR="00000000" w:rsidRPr="00000000">
        <w:rPr>
          <w:rtl w:val="0"/>
        </w:rPr>
      </w:r>
    </w:p>
    <w:p w:rsidR="00000000" w:rsidDel="00000000" w:rsidP="00000000" w:rsidRDefault="00000000" w:rsidRPr="00000000" w14:paraId="0000010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Direct and Stress–Buffering Effects of Self–Organization on Psychological Adjustment, accessed May 25, 2026, </w:t>
      </w:r>
      <w:hyperlink r:id="rId45">
        <w:r w:rsidDel="00000000" w:rsidR="00000000" w:rsidRPr="00000000">
          <w:rPr>
            <w:rFonts w:ascii="Google Sans" w:cs="Google Sans" w:eastAsia="Google Sans" w:hAnsi="Google Sans"/>
            <w:color w:val="0000ee"/>
            <w:sz w:val="24"/>
            <w:szCs w:val="24"/>
            <w:u w:val="single"/>
            <w:rtl w:val="0"/>
          </w:rPr>
          <w:t xml:space="preserve">https://guilfordjournals.com/doi/10.1521/jscp.2006.25.3.333</w:t>
        </w:r>
      </w:hyperlink>
      <w:r w:rsidDel="00000000" w:rsidR="00000000" w:rsidRPr="00000000">
        <w:rPr>
          <w:rtl w:val="0"/>
        </w:rPr>
      </w:r>
    </w:p>
    <w:p w:rsidR="00000000" w:rsidDel="00000000" w:rsidP="00000000" w:rsidRDefault="00000000" w:rsidRPr="00000000" w14:paraId="0000010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XAU USD Technical Analysis - Investing.com, accessed May 25, 2026, </w:t>
      </w:r>
      <w:hyperlink r:id="rId46">
        <w:r w:rsidDel="00000000" w:rsidR="00000000" w:rsidRPr="00000000">
          <w:rPr>
            <w:rFonts w:ascii="Google Sans" w:cs="Google Sans" w:eastAsia="Google Sans" w:hAnsi="Google Sans"/>
            <w:color w:val="0000ee"/>
            <w:sz w:val="24"/>
            <w:szCs w:val="24"/>
            <w:u w:val="single"/>
            <w:rtl w:val="0"/>
          </w:rPr>
          <w:t xml:space="preserve">https://www.investing.com/currencies/xau-usd-technical</w:t>
        </w:r>
      </w:hyperlink>
      <w:r w:rsidDel="00000000" w:rsidR="00000000" w:rsidRPr="00000000">
        <w:rPr>
          <w:rtl w:val="0"/>
        </w:rPr>
      </w:r>
    </w:p>
    <w:p w:rsidR="00000000" w:rsidDel="00000000" w:rsidP="00000000" w:rsidRDefault="00000000" w:rsidRPr="00000000" w14:paraId="0000010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the Average True Range (ATR) in Trading | EBC Financial Group, accessed May 25, 2026, </w:t>
      </w:r>
      <w:hyperlink r:id="rId47">
        <w:r w:rsidDel="00000000" w:rsidR="00000000" w:rsidRPr="00000000">
          <w:rPr>
            <w:rFonts w:ascii="Google Sans" w:cs="Google Sans" w:eastAsia="Google Sans" w:hAnsi="Google Sans"/>
            <w:color w:val="0000ee"/>
            <w:sz w:val="24"/>
            <w:szCs w:val="24"/>
            <w:u w:val="single"/>
            <w:rtl w:val="0"/>
          </w:rPr>
          <w:t xml:space="preserve">https://www.ebc.com/forex/how-do-i-use-the-true-volatility-index-atr</w:t>
        </w:r>
      </w:hyperlink>
      <w:r w:rsidDel="00000000" w:rsidR="00000000" w:rsidRPr="00000000">
        <w:rPr>
          <w:rtl w:val="0"/>
        </w:rPr>
      </w:r>
    </w:p>
    <w:p w:rsidR="00000000" w:rsidDel="00000000" w:rsidP="00000000" w:rsidRDefault="00000000" w:rsidRPr="00000000" w14:paraId="0000010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 Futures Technical Analysis - Investing.com, accessed May 25, 2026, </w:t>
      </w:r>
      <w:hyperlink r:id="rId48">
        <w:r w:rsidDel="00000000" w:rsidR="00000000" w:rsidRPr="00000000">
          <w:rPr>
            <w:rFonts w:ascii="Google Sans" w:cs="Google Sans" w:eastAsia="Google Sans" w:hAnsi="Google Sans"/>
            <w:color w:val="0000ee"/>
            <w:sz w:val="24"/>
            <w:szCs w:val="24"/>
            <w:u w:val="single"/>
            <w:rtl w:val="0"/>
          </w:rPr>
          <w:t xml:space="preserve">https://www.investing.com/commodities/gold-technical</w:t>
        </w:r>
      </w:hyperlink>
      <w:r w:rsidDel="00000000" w:rsidR="00000000" w:rsidRPr="00000000">
        <w:rPr>
          <w:rtl w:val="0"/>
        </w:rPr>
      </w:r>
    </w:p>
    <w:p w:rsidR="00000000" w:rsidDel="00000000" w:rsidP="00000000" w:rsidRDefault="00000000" w:rsidRPr="00000000" w14:paraId="0000010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Money Concepts (SMC): Complete Guide to Order Blocks ..., accessed May 25, 2026, </w:t>
      </w:r>
      <w:hyperlink r:id="rId49">
        <w:r w:rsidDel="00000000" w:rsidR="00000000" w:rsidRPr="00000000">
          <w:rPr>
            <w:rFonts w:ascii="Google Sans" w:cs="Google Sans" w:eastAsia="Google Sans" w:hAnsi="Google Sans"/>
            <w:color w:val="0000ee"/>
            <w:sz w:val="24"/>
            <w:szCs w:val="24"/>
            <w:u w:val="single"/>
            <w:rtl w:val="0"/>
          </w:rPr>
          <w:t xml:space="preserve">https://tradingwyckoff.com/en/smart-money-concepts/</w:t>
        </w:r>
      </w:hyperlink>
      <w:r w:rsidDel="00000000" w:rsidR="00000000" w:rsidRPr="00000000">
        <w:rPr>
          <w:rtl w:val="0"/>
        </w:rPr>
      </w:r>
    </w:p>
    <w:p w:rsidR="00000000" w:rsidDel="00000000" w:rsidP="00000000" w:rsidRDefault="00000000" w:rsidRPr="00000000" w14:paraId="0000010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XAUUSD Trading: Master Gold Session Dynamics for... | FXNX, accessed May 25, 2026, </w:t>
      </w:r>
      <w:hyperlink r:id="rId50">
        <w:r w:rsidDel="00000000" w:rsidR="00000000" w:rsidRPr="00000000">
          <w:rPr>
            <w:rFonts w:ascii="Google Sans" w:cs="Google Sans" w:eastAsia="Google Sans" w:hAnsi="Google Sans"/>
            <w:color w:val="0000ee"/>
            <w:sz w:val="24"/>
            <w:szCs w:val="24"/>
            <w:u w:val="single"/>
            <w:rtl w:val="0"/>
          </w:rPr>
          <w:t xml:space="preserve">https://fxnx.com/en/blog/master-gold-trading-session-dynamics</w:t>
        </w:r>
      </w:hyperlink>
      <w:r w:rsidDel="00000000" w:rsidR="00000000" w:rsidRPr="00000000">
        <w:rPr>
          <w:rtl w:val="0"/>
        </w:rPr>
      </w:r>
    </w:p>
    <w:p w:rsidR="00000000" w:rsidDel="00000000" w:rsidP="00000000" w:rsidRDefault="00000000" w:rsidRPr="00000000" w14:paraId="0000011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March 31, 2026 SPDR Gold Strategy Team, accessed May 25, 2026, </w:t>
      </w:r>
      <w:hyperlink r:id="rId51">
        <w:r w:rsidDel="00000000" w:rsidR="00000000" w:rsidRPr="00000000">
          <w:rPr>
            <w:rFonts w:ascii="Google Sans" w:cs="Google Sans" w:eastAsia="Google Sans" w:hAnsi="Google Sans"/>
            <w:color w:val="0000ee"/>
            <w:sz w:val="24"/>
            <w:szCs w:val="24"/>
            <w:u w:val="single"/>
            <w:rtl w:val="0"/>
          </w:rPr>
          <w:t xml:space="preserve">https://www.ssga.com/content/dam/ssmp/library-content/pdfs/gold-chart-pack-sg.pdf</w:t>
        </w:r>
      </w:hyperlink>
      <w:r w:rsidDel="00000000" w:rsidR="00000000" w:rsidRPr="00000000">
        <w:rPr>
          <w:rtl w:val="0"/>
        </w:rPr>
      </w:r>
    </w:p>
    <w:p w:rsidR="00000000" w:rsidDel="00000000" w:rsidP="00000000" w:rsidRDefault="00000000" w:rsidRPr="00000000" w14:paraId="0000011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 / US Dollar / 10Y Yield | UGC Charts - MacroMicro, accessed May 25, 2026, </w:t>
      </w:r>
      <w:hyperlink r:id="rId52">
        <w:r w:rsidDel="00000000" w:rsidR="00000000" w:rsidRPr="00000000">
          <w:rPr>
            <w:rFonts w:ascii="Google Sans" w:cs="Google Sans" w:eastAsia="Google Sans" w:hAnsi="Google Sans"/>
            <w:color w:val="0000ee"/>
            <w:sz w:val="24"/>
            <w:szCs w:val="24"/>
            <w:u w:val="single"/>
            <w:rtl w:val="0"/>
          </w:rPr>
          <w:t xml:space="preserve">https://en.macromicro.me/charts/81733/Gold-Price-vs-US5-Year-Real-Yield</w:t>
        </w:r>
      </w:hyperlink>
      <w:r w:rsidDel="00000000" w:rsidR="00000000" w:rsidRPr="00000000">
        <w:rPr>
          <w:rtl w:val="0"/>
        </w:rPr>
      </w:r>
    </w:p>
    <w:p w:rsidR="00000000" w:rsidDel="00000000" w:rsidP="00000000" w:rsidRDefault="00000000" w:rsidRPr="00000000" w14:paraId="0000011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Gold Prices - PIMCO, accessed May 25, 2026, </w:t>
      </w:r>
      <w:hyperlink r:id="rId53">
        <w:r w:rsidDel="00000000" w:rsidR="00000000" w:rsidRPr="00000000">
          <w:rPr>
            <w:rFonts w:ascii="Google Sans" w:cs="Google Sans" w:eastAsia="Google Sans" w:hAnsi="Google Sans"/>
            <w:color w:val="0000ee"/>
            <w:sz w:val="24"/>
            <w:szCs w:val="24"/>
            <w:u w:val="single"/>
            <w:rtl w:val="0"/>
          </w:rPr>
          <w:t xml:space="preserve">https://www.pimco.com/us/en/resources/education/understanding-gold-prices</w:t>
        </w:r>
      </w:hyperlink>
      <w:r w:rsidDel="00000000" w:rsidR="00000000" w:rsidRPr="00000000">
        <w:rPr>
          <w:rtl w:val="0"/>
        </w:rPr>
      </w:r>
    </w:p>
    <w:p w:rsidR="00000000" w:rsidDel="00000000" w:rsidP="00000000" w:rsidRDefault="00000000" w:rsidRPr="00000000" w14:paraId="0000011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Is Trading Like Equities — Not Like Digital Gold | Investing.com, accessed May 25, 2026, </w:t>
      </w:r>
      <w:hyperlink r:id="rId54">
        <w:r w:rsidDel="00000000" w:rsidR="00000000" w:rsidRPr="00000000">
          <w:rPr>
            <w:rFonts w:ascii="Google Sans" w:cs="Google Sans" w:eastAsia="Google Sans" w:hAnsi="Google Sans"/>
            <w:color w:val="0000ee"/>
            <w:sz w:val="24"/>
            <w:szCs w:val="24"/>
            <w:u w:val="single"/>
            <w:rtl w:val="0"/>
          </w:rPr>
          <w:t xml:space="preserve">https://www.investing.com/analysis/bitcoin-is-trading-like-equities--not-like-digital-gold-200678785</w:t>
        </w:r>
      </w:hyperlink>
      <w:r w:rsidDel="00000000" w:rsidR="00000000" w:rsidRPr="00000000">
        <w:rPr>
          <w:rtl w:val="0"/>
        </w:rPr>
      </w:r>
    </w:p>
    <w:p w:rsidR="00000000" w:rsidDel="00000000" w:rsidP="00000000" w:rsidRDefault="00000000" w:rsidRPr="00000000" w14:paraId="0000011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high? | Gold price predictions from J.P. Morgan Global Research, accessed May 25, 2026, </w:t>
      </w:r>
      <w:hyperlink r:id="rId55">
        <w:r w:rsidDel="00000000" w:rsidR="00000000" w:rsidRPr="00000000">
          <w:rPr>
            <w:rFonts w:ascii="Google Sans" w:cs="Google Sans" w:eastAsia="Google Sans" w:hAnsi="Google Sans"/>
            <w:color w:val="0000ee"/>
            <w:sz w:val="24"/>
            <w:szCs w:val="24"/>
            <w:u w:val="single"/>
            <w:rtl w:val="0"/>
          </w:rPr>
          <w:t xml:space="preserve">https://www.jpmorgan.com/insights/global-research/commodities/gold-prices</w:t>
        </w:r>
      </w:hyperlink>
      <w:r w:rsidDel="00000000" w:rsidR="00000000" w:rsidRPr="00000000">
        <w:rPr>
          <w:rtl w:val="0"/>
        </w:rPr>
      </w:r>
    </w:p>
    <w:p w:rsidR="00000000" w:rsidDel="00000000" w:rsidP="00000000" w:rsidRDefault="00000000" w:rsidRPr="00000000" w14:paraId="0000011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XAU/USD Trading Mastery: The Ultimate Guide to Gold Trading Strategies, Analysis, and Risk Management in Forex | by Eaforexunlimited | Medium, accessed May 25, 2026, </w:t>
      </w:r>
      <w:hyperlink r:id="rId56">
        <w:r w:rsidDel="00000000" w:rsidR="00000000" w:rsidRPr="00000000">
          <w:rPr>
            <w:rFonts w:ascii="Google Sans" w:cs="Google Sans" w:eastAsia="Google Sans" w:hAnsi="Google Sans"/>
            <w:color w:val="0000ee"/>
            <w:sz w:val="24"/>
            <w:szCs w:val="24"/>
            <w:u w:val="single"/>
            <w:rtl w:val="0"/>
          </w:rPr>
          <w:t xml:space="preserve">https://medium.com/@eaforexunlimited/xau-usd-trading-mastery-the-ultimate-guide-to-gold-trading-strategies-analysis-and-risk-fac85de760cf</w:t>
        </w:r>
      </w:hyperlink>
      <w:r w:rsidDel="00000000" w:rsidR="00000000" w:rsidRPr="00000000">
        <w:rPr>
          <w:rtl w:val="0"/>
        </w:rPr>
      </w:r>
    </w:p>
    <w:p w:rsidR="00000000" w:rsidDel="00000000" w:rsidP="00000000" w:rsidRDefault="00000000" w:rsidRPr="00000000" w14:paraId="0000011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Money Accelerator Guide Overview | PDF | Copyright Infringement - Scribd, accessed May 25, 2026, </w:t>
      </w:r>
      <w:hyperlink r:id="rId57">
        <w:r w:rsidDel="00000000" w:rsidR="00000000" w:rsidRPr="00000000">
          <w:rPr>
            <w:rFonts w:ascii="Google Sans" w:cs="Google Sans" w:eastAsia="Google Sans" w:hAnsi="Google Sans"/>
            <w:color w:val="0000ee"/>
            <w:sz w:val="24"/>
            <w:szCs w:val="24"/>
            <w:u w:val="single"/>
            <w:rtl w:val="0"/>
          </w:rPr>
          <w:t xml:space="preserve">https://www.scribd.com/document/862824263/SMAG</w:t>
        </w:r>
      </w:hyperlink>
      <w:r w:rsidDel="00000000" w:rsidR="00000000" w:rsidRPr="00000000">
        <w:rPr>
          <w:rtl w:val="0"/>
        </w:rPr>
      </w:r>
    </w:p>
    <w:p w:rsidR="00000000" w:rsidDel="00000000" w:rsidP="00000000" w:rsidRDefault="00000000" w:rsidRPr="00000000" w14:paraId="0000011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 3: SMC &amp; ICT Market Structure Explained — BOS, CHoCH &amp; Swing Points (2026), accessed May 25, 2026, </w:t>
      </w:r>
      <w:hyperlink r:id="rId58">
        <w:r w:rsidDel="00000000" w:rsidR="00000000" w:rsidRPr="00000000">
          <w:rPr>
            <w:rFonts w:ascii="Google Sans" w:cs="Google Sans" w:eastAsia="Google Sans" w:hAnsi="Google Sans"/>
            <w:color w:val="0000ee"/>
            <w:sz w:val="24"/>
            <w:szCs w:val="24"/>
            <w:u w:val="single"/>
            <w:rtl w:val="0"/>
          </w:rPr>
          <w:t xml:space="preserve">https://tradingstrategyguides.com/day-3-smc-ict-market-structure-explained-bos-choch-swing-points-2026/</w:t>
        </w:r>
      </w:hyperlink>
      <w:r w:rsidDel="00000000" w:rsidR="00000000" w:rsidRPr="00000000">
        <w:rPr>
          <w:rtl w:val="0"/>
        </w:rPr>
      </w:r>
    </w:p>
    <w:p w:rsidR="00000000" w:rsidDel="00000000" w:rsidP="00000000" w:rsidRDefault="00000000" w:rsidRPr="00000000" w14:paraId="0000011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Value Gaps (FVG) Explained - Flux Charts, accessed May 25, 2026, </w:t>
      </w:r>
      <w:hyperlink r:id="rId59">
        <w:r w:rsidDel="00000000" w:rsidR="00000000" w:rsidRPr="00000000">
          <w:rPr>
            <w:rFonts w:ascii="Google Sans" w:cs="Google Sans" w:eastAsia="Google Sans" w:hAnsi="Google Sans"/>
            <w:color w:val="0000ee"/>
            <w:sz w:val="24"/>
            <w:szCs w:val="24"/>
            <w:u w:val="single"/>
            <w:rtl w:val="0"/>
          </w:rPr>
          <w:t xml:space="preserve">https://www.fluxcharts.com/articles/fair-value-gaps-fvg-explained</w:t>
        </w:r>
      </w:hyperlink>
      <w:r w:rsidDel="00000000" w:rsidR="00000000" w:rsidRPr="00000000">
        <w:rPr>
          <w:rtl w:val="0"/>
        </w:rPr>
      </w:r>
    </w:p>
    <w:p w:rsidR="00000000" w:rsidDel="00000000" w:rsidP="00000000" w:rsidRDefault="00000000" w:rsidRPr="00000000" w14:paraId="0000011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Draw Order Blocks Accurately - Day Trading Style - ACY Securities, accessed May 25, 2026, </w:t>
      </w:r>
      <w:hyperlink r:id="rId60">
        <w:r w:rsidDel="00000000" w:rsidR="00000000" w:rsidRPr="00000000">
          <w:rPr>
            <w:rFonts w:ascii="Google Sans" w:cs="Google Sans" w:eastAsia="Google Sans" w:hAnsi="Google Sans"/>
            <w:color w:val="0000ee"/>
            <w:sz w:val="24"/>
            <w:szCs w:val="24"/>
            <w:u w:val="single"/>
            <w:rtl w:val="0"/>
          </w:rPr>
          <w:t xml:space="preserve">https://acy.com/en/market-news/education/how-to-draw-order-blocks-and-confirm-strength-j-o-20251111-131742/</w:t>
        </w:r>
      </w:hyperlink>
      <w:r w:rsidDel="00000000" w:rsidR="00000000" w:rsidRPr="00000000">
        <w:rPr>
          <w:rtl w:val="0"/>
        </w:rPr>
      </w:r>
    </w:p>
    <w:p w:rsidR="00000000" w:rsidDel="00000000" w:rsidP="00000000" w:rsidRDefault="00000000" w:rsidRPr="00000000" w14:paraId="000001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Mitigation Block Explained with Examples - Alchemy Markets, accessed May 25, 2026, </w:t>
      </w:r>
      <w:hyperlink r:id="rId61">
        <w:r w:rsidDel="00000000" w:rsidR="00000000" w:rsidRPr="00000000">
          <w:rPr>
            <w:rFonts w:ascii="Google Sans" w:cs="Google Sans" w:eastAsia="Google Sans" w:hAnsi="Google Sans"/>
            <w:color w:val="0000ee"/>
            <w:sz w:val="24"/>
            <w:szCs w:val="24"/>
            <w:u w:val="single"/>
            <w:rtl w:val="0"/>
          </w:rPr>
          <w:t xml:space="preserve">https://alchemymarkets.com/education/strategies/mitigation-blocks/</w:t>
        </w:r>
      </w:hyperlink>
      <w:r w:rsidDel="00000000" w:rsidR="00000000" w:rsidRPr="00000000">
        <w:rPr>
          <w:rtl w:val="0"/>
        </w:rPr>
      </w:r>
    </w:p>
    <w:p w:rsidR="00000000" w:rsidDel="00000000" w:rsidP="00000000" w:rsidRDefault="00000000" w:rsidRPr="00000000" w14:paraId="000001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Breaker Blocks vs. Order Blocks: Understanding the Critical Differences - QuantVPS, accessed May 25, 2026, </w:t>
      </w:r>
      <w:hyperlink r:id="rId62">
        <w:r w:rsidDel="00000000" w:rsidR="00000000" w:rsidRPr="00000000">
          <w:rPr>
            <w:rFonts w:ascii="Google Sans" w:cs="Google Sans" w:eastAsia="Google Sans" w:hAnsi="Google Sans"/>
            <w:color w:val="0000ee"/>
            <w:sz w:val="24"/>
            <w:szCs w:val="24"/>
            <w:u w:val="single"/>
            <w:rtl w:val="0"/>
          </w:rPr>
          <w:t xml:space="preserve">https://www.quantvps.com/blog/breaker-blocks-vs-order-blocks</w:t>
        </w:r>
      </w:hyperlink>
      <w:r w:rsidDel="00000000" w:rsidR="00000000" w:rsidRPr="00000000">
        <w:rPr>
          <w:rtl w:val="0"/>
        </w:rPr>
      </w:r>
    </w:p>
    <w:p w:rsidR="00000000" w:rsidDel="00000000" w:rsidP="00000000" w:rsidRDefault="00000000" w:rsidRPr="00000000" w14:paraId="000001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Market Trends: Understanding BOS and CHOCH in Trading - Aron Groups, accessed May 25, 2026, </w:t>
      </w:r>
      <w:hyperlink r:id="rId63">
        <w:r w:rsidDel="00000000" w:rsidR="00000000" w:rsidRPr="00000000">
          <w:rPr>
            <w:rFonts w:ascii="Google Sans" w:cs="Google Sans" w:eastAsia="Google Sans" w:hAnsi="Google Sans"/>
            <w:color w:val="0000ee"/>
            <w:sz w:val="24"/>
            <w:szCs w:val="24"/>
            <w:u w:val="single"/>
            <w:rtl w:val="0"/>
          </w:rPr>
          <w:t xml:space="preserve">https://arongroups.co/technical-analyze/bos-and-choch/</w:t>
        </w:r>
      </w:hyperlink>
      <w:r w:rsidDel="00000000" w:rsidR="00000000" w:rsidRPr="00000000">
        <w:rPr>
          <w:rtl w:val="0"/>
        </w:rPr>
      </w:r>
    </w:p>
    <w:p w:rsidR="00000000" w:rsidDel="00000000" w:rsidP="00000000" w:rsidRDefault="00000000" w:rsidRPr="00000000" w14:paraId="0000011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May 25, 2026, </w:t>
      </w:r>
      <w:hyperlink r:id="rId64">
        <w:r w:rsidDel="00000000" w:rsidR="00000000" w:rsidRPr="00000000">
          <w:rPr>
            <w:rFonts w:ascii="Google Sans" w:cs="Google Sans" w:eastAsia="Google Sans" w:hAnsi="Google Sans"/>
            <w:color w:val="0000ee"/>
            <w:sz w:val="24"/>
            <w:szCs w:val="24"/>
            <w:u w:val="single"/>
            <w:rtl w:val="0"/>
          </w:rPr>
          <w:t xml:space="preserve">https://fxnx.com/en/blog/smc-bos-vs-choch-stop-getting-trapped-fake-reversals#:~:text=A%20BOS%20(Break%20of%20Structure,level%20for%20the%20first%20time.</w:t>
        </w:r>
      </w:hyperlink>
      <w:r w:rsidDel="00000000" w:rsidR="00000000" w:rsidRPr="00000000">
        <w:rPr>
          <w:rtl w:val="0"/>
        </w:rPr>
      </w:r>
    </w:p>
    <w:p w:rsidR="00000000" w:rsidDel="00000000" w:rsidP="00000000" w:rsidRDefault="00000000" w:rsidRPr="00000000" w14:paraId="0000011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BOS vs CHoCH: The Reversal Tell Smart Money Leaves | FXNX, accessed May 25, 2026, </w:t>
      </w:r>
      <w:hyperlink r:id="rId65">
        <w:r w:rsidDel="00000000" w:rsidR="00000000" w:rsidRPr="00000000">
          <w:rPr>
            <w:rFonts w:ascii="Google Sans" w:cs="Google Sans" w:eastAsia="Google Sans" w:hAnsi="Google Sans"/>
            <w:color w:val="0000ee"/>
            <w:sz w:val="24"/>
            <w:szCs w:val="24"/>
            <w:u w:val="single"/>
            <w:rtl w:val="0"/>
          </w:rPr>
          <w:t xml:space="preserve">https://fxnx.com/en/blog/smc-bos-vs-choch-stop-getting-trapped-fake-reversals</w:t>
        </w:r>
      </w:hyperlink>
      <w:r w:rsidDel="00000000" w:rsidR="00000000" w:rsidRPr="00000000">
        <w:rPr>
          <w:rtl w:val="0"/>
        </w:rPr>
      </w:r>
    </w:p>
    <w:p w:rsidR="00000000" w:rsidDel="00000000" w:rsidP="00000000" w:rsidRDefault="00000000" w:rsidRPr="00000000" w14:paraId="000001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SMC Market Structure: BoS And CHoCH Made Simple - Daily Price Action, accessed May 25, 2026, </w:t>
      </w:r>
      <w:hyperlink r:id="rId66">
        <w:r w:rsidDel="00000000" w:rsidR="00000000" w:rsidRPr="00000000">
          <w:rPr>
            <w:rFonts w:ascii="Google Sans" w:cs="Google Sans" w:eastAsia="Google Sans" w:hAnsi="Google Sans"/>
            <w:color w:val="0000ee"/>
            <w:sz w:val="24"/>
            <w:szCs w:val="24"/>
            <w:u w:val="single"/>
            <w:rtl w:val="0"/>
          </w:rPr>
          <w:t xml:space="preserve">https://dailypriceaction.com/blog/smc-market-structure/</w:t>
        </w:r>
      </w:hyperlink>
      <w:r w:rsidDel="00000000" w:rsidR="00000000" w:rsidRPr="00000000">
        <w:rPr>
          <w:rtl w:val="0"/>
        </w:rPr>
      </w:r>
    </w:p>
    <w:p w:rsidR="00000000" w:rsidDel="00000000" w:rsidP="00000000" w:rsidRDefault="00000000" w:rsidRPr="00000000" w14:paraId="000001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SMC Market Structure: BoS vs CHoCH Made Simple - YouTube, accessed May 25, 2026, </w:t>
      </w:r>
      <w:hyperlink r:id="rId67">
        <w:r w:rsidDel="00000000" w:rsidR="00000000" w:rsidRPr="00000000">
          <w:rPr>
            <w:rFonts w:ascii="Google Sans" w:cs="Google Sans" w:eastAsia="Google Sans" w:hAnsi="Google Sans"/>
            <w:color w:val="0000ee"/>
            <w:sz w:val="24"/>
            <w:szCs w:val="24"/>
            <w:u w:val="single"/>
            <w:rtl w:val="0"/>
          </w:rPr>
          <w:t xml:space="preserve">https://www.youtube.com/watch?v=FE1bgD9N6DM</w:t>
        </w:r>
      </w:hyperlink>
      <w:r w:rsidDel="00000000" w:rsidR="00000000" w:rsidRPr="00000000">
        <w:rPr>
          <w:rtl w:val="0"/>
        </w:rPr>
      </w:r>
    </w:p>
    <w:p w:rsidR="00000000" w:rsidDel="00000000" w:rsidP="00000000" w:rsidRDefault="00000000" w:rsidRPr="00000000" w14:paraId="0000012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GVZ Index Dashboard - Cboe Global Indices, accessed May 25, 2026, </w:t>
      </w:r>
      <w:hyperlink r:id="rId68">
        <w:r w:rsidDel="00000000" w:rsidR="00000000" w:rsidRPr="00000000">
          <w:rPr>
            <w:rFonts w:ascii="Google Sans" w:cs="Google Sans" w:eastAsia="Google Sans" w:hAnsi="Google Sans"/>
            <w:color w:val="0000ee"/>
            <w:sz w:val="24"/>
            <w:szCs w:val="24"/>
            <w:u w:val="single"/>
            <w:rtl w:val="0"/>
          </w:rPr>
          <w:t xml:space="preserve">https://www.cboe.com/us/indices/dashboard/gvz/</w:t>
        </w:r>
      </w:hyperlink>
      <w:r w:rsidDel="00000000" w:rsidR="00000000" w:rsidRPr="00000000">
        <w:rPr>
          <w:rtl w:val="0"/>
        </w:rPr>
      </w:r>
    </w:p>
    <w:p w:rsidR="00000000" w:rsidDel="00000000" w:rsidP="00000000" w:rsidRDefault="00000000" w:rsidRPr="00000000" w14:paraId="0000012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Contract Specification for CBOE Gold ETF Volatility Index Options - SEC.gov, accessed May 25, 2026, </w:t>
      </w:r>
      <w:hyperlink r:id="rId69">
        <w:r w:rsidDel="00000000" w:rsidR="00000000" w:rsidRPr="00000000">
          <w:rPr>
            <w:rFonts w:ascii="Google Sans" w:cs="Google Sans" w:eastAsia="Google Sans" w:hAnsi="Google Sans"/>
            <w:color w:val="0000ee"/>
            <w:sz w:val="24"/>
            <w:szCs w:val="24"/>
            <w:u w:val="single"/>
            <w:rtl w:val="0"/>
          </w:rPr>
          <w:t xml:space="preserve">https://www.sec.gov/files/rules/sro/cboe/2010/34-61859-ex3.pdf</w:t>
        </w:r>
      </w:hyperlink>
      <w:r w:rsidDel="00000000" w:rsidR="00000000" w:rsidRPr="00000000">
        <w:rPr>
          <w:rtl w:val="0"/>
        </w:rPr>
      </w:r>
    </w:p>
    <w:p w:rsidR="00000000" w:rsidDel="00000000" w:rsidP="00000000" w:rsidRDefault="00000000" w:rsidRPr="00000000" w14:paraId="0000012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 ETF Volatility Index [GVZ] - MacroMicro, accessed May 25, 2026, </w:t>
      </w:r>
      <w:hyperlink r:id="rId70">
        <w:r w:rsidDel="00000000" w:rsidR="00000000" w:rsidRPr="00000000">
          <w:rPr>
            <w:rFonts w:ascii="Google Sans" w:cs="Google Sans" w:eastAsia="Google Sans" w:hAnsi="Google Sans"/>
            <w:color w:val="0000ee"/>
            <w:sz w:val="24"/>
            <w:szCs w:val="24"/>
            <w:u w:val="single"/>
            <w:rtl w:val="0"/>
          </w:rPr>
          <w:t xml:space="preserve">https://en.macromicro.me/charts/21527/gvz</w:t>
        </w:r>
      </w:hyperlink>
      <w:r w:rsidDel="00000000" w:rsidR="00000000" w:rsidRPr="00000000">
        <w:rPr>
          <w:rtl w:val="0"/>
        </w:rPr>
      </w:r>
    </w:p>
    <w:p w:rsidR="00000000" w:rsidDel="00000000" w:rsidP="00000000" w:rsidRDefault="00000000" w:rsidRPr="00000000" w14:paraId="0000012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CBOE Gold ETF Volatility Index (GVZCLS) | FRED | St. Louis Fed, accessed May 25, 2026, </w:t>
      </w:r>
      <w:hyperlink r:id="rId71">
        <w:r w:rsidDel="00000000" w:rsidR="00000000" w:rsidRPr="00000000">
          <w:rPr>
            <w:rFonts w:ascii="Google Sans" w:cs="Google Sans" w:eastAsia="Google Sans" w:hAnsi="Google Sans"/>
            <w:color w:val="0000ee"/>
            <w:sz w:val="24"/>
            <w:szCs w:val="24"/>
            <w:u w:val="single"/>
            <w:rtl w:val="0"/>
          </w:rPr>
          <w:t xml:space="preserve">https://fred.stlouisfed.org/series/GVZCLS</w:t>
        </w:r>
      </w:hyperlink>
      <w:r w:rsidDel="00000000" w:rsidR="00000000" w:rsidRPr="00000000">
        <w:rPr>
          <w:rtl w:val="0"/>
        </w:rPr>
      </w:r>
    </w:p>
    <w:p w:rsidR="00000000" w:rsidDel="00000000" w:rsidP="00000000" w:rsidRDefault="00000000" w:rsidRPr="00000000" w14:paraId="0000012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of investing in volatility products: A regime-switching approach, accessed May 25, 2026, </w:t>
      </w:r>
      <w:hyperlink r:id="rId72">
        <w:r w:rsidDel="00000000" w:rsidR="00000000" w:rsidRPr="00000000">
          <w:rPr>
            <w:rFonts w:ascii="Google Sans" w:cs="Google Sans" w:eastAsia="Google Sans" w:hAnsi="Google Sans"/>
            <w:color w:val="0000ee"/>
            <w:sz w:val="24"/>
            <w:szCs w:val="24"/>
            <w:u w:val="single"/>
            <w:rtl w:val="0"/>
          </w:rPr>
          <w:t xml:space="preserve">https://journals.co.za/doi/10.1080/10293523.2020.1814047</w:t>
        </w:r>
      </w:hyperlink>
      <w:r w:rsidDel="00000000" w:rsidR="00000000" w:rsidRPr="00000000">
        <w:rPr>
          <w:rtl w:val="0"/>
        </w:rPr>
      </w:r>
    </w:p>
    <w:p w:rsidR="00000000" w:rsidDel="00000000" w:rsidP="00000000" w:rsidRDefault="00000000" w:rsidRPr="00000000" w14:paraId="0000012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Average True Range (ATR): What Is It and How Does It Work? - NAGA, accessed May 25, 2026, </w:t>
      </w:r>
      <w:hyperlink r:id="rId73">
        <w:r w:rsidDel="00000000" w:rsidR="00000000" w:rsidRPr="00000000">
          <w:rPr>
            <w:rFonts w:ascii="Google Sans" w:cs="Google Sans" w:eastAsia="Google Sans" w:hAnsi="Google Sans"/>
            <w:color w:val="0000ee"/>
            <w:sz w:val="24"/>
            <w:szCs w:val="24"/>
            <w:u w:val="single"/>
            <w:rtl w:val="0"/>
          </w:rPr>
          <w:t xml:space="preserve">https://naga.com/en/news-and-analysis/articles/average-true-range</w:t>
        </w:r>
      </w:hyperlink>
      <w:r w:rsidDel="00000000" w:rsidR="00000000" w:rsidRPr="00000000">
        <w:rPr>
          <w:rtl w:val="0"/>
        </w:rPr>
      </w:r>
    </w:p>
    <w:p w:rsidR="00000000" w:rsidDel="00000000" w:rsidP="00000000" w:rsidRDefault="00000000" w:rsidRPr="00000000" w14:paraId="0000012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“Breakeven Stop Loss: The Silent Killer of Profits or the Smartest Safety Net?” | Whale Sense Academy on Binance Square, accessed May 25, 2026, </w:t>
      </w:r>
      <w:hyperlink r:id="rId74">
        <w:r w:rsidDel="00000000" w:rsidR="00000000" w:rsidRPr="00000000">
          <w:rPr>
            <w:rFonts w:ascii="Google Sans" w:cs="Google Sans" w:eastAsia="Google Sans" w:hAnsi="Google Sans"/>
            <w:color w:val="0000ee"/>
            <w:sz w:val="24"/>
            <w:szCs w:val="24"/>
            <w:u w:val="single"/>
            <w:rtl w:val="0"/>
          </w:rPr>
          <w:t xml:space="preserve">https://www.binance.com/en/square/post/24845559813970</w:t>
        </w:r>
      </w:hyperlink>
      <w:r w:rsidDel="00000000" w:rsidR="00000000" w:rsidRPr="00000000">
        <w:rPr>
          <w:rtl w:val="0"/>
        </w:rPr>
      </w:r>
    </w:p>
    <w:p w:rsidR="00000000" w:rsidDel="00000000" w:rsidP="00000000" w:rsidRDefault="00000000" w:rsidRPr="00000000" w14:paraId="0000012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Partial Profit Taking Explained: Definition, Pro Cons, Examples - Gotrade, accessed May 25, 2026, </w:t>
      </w:r>
      <w:hyperlink r:id="rId75">
        <w:r w:rsidDel="00000000" w:rsidR="00000000" w:rsidRPr="00000000">
          <w:rPr>
            <w:rFonts w:ascii="Google Sans" w:cs="Google Sans" w:eastAsia="Google Sans" w:hAnsi="Google Sans"/>
            <w:color w:val="0000ee"/>
            <w:sz w:val="24"/>
            <w:szCs w:val="24"/>
            <w:u w:val="single"/>
            <w:rtl w:val="0"/>
          </w:rPr>
          <w:t xml:space="preserve">https://www.heygotrade.com/en/blog/partial-profit-taking-explained/</w:t>
        </w:r>
      </w:hyperlink>
      <w:r w:rsidDel="00000000" w:rsidR="00000000" w:rsidRPr="00000000">
        <w:rPr>
          <w:rtl w:val="0"/>
        </w:rPr>
      </w:r>
    </w:p>
    <w:p w:rsidR="00000000" w:rsidDel="00000000" w:rsidP="00000000" w:rsidRDefault="00000000" w:rsidRPr="00000000" w14:paraId="0000012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Partial Profit Taking vs Full Take Profit: Which Strategy Works Best? - ActivTrades, accessed May 25, 2026, </w:t>
      </w:r>
      <w:hyperlink r:id="rId76">
        <w:r w:rsidDel="00000000" w:rsidR="00000000" w:rsidRPr="00000000">
          <w:rPr>
            <w:rFonts w:ascii="Google Sans" w:cs="Google Sans" w:eastAsia="Google Sans" w:hAnsi="Google Sans"/>
            <w:color w:val="0000ee"/>
            <w:sz w:val="24"/>
            <w:szCs w:val="24"/>
            <w:u w:val="single"/>
            <w:rtl w:val="0"/>
          </w:rPr>
          <w:t xml:space="preserve">https://www.activtrades.com/en/news/partial-profit-taking-vs-full-take-profit-which-strategy-works-best</w:t>
        </w:r>
      </w:hyperlink>
      <w:r w:rsidDel="00000000" w:rsidR="00000000" w:rsidRPr="00000000">
        <w:rPr>
          <w:rtl w:val="0"/>
        </w:rPr>
      </w:r>
    </w:p>
    <w:p w:rsidR="00000000" w:rsidDel="00000000" w:rsidP="00000000" w:rsidRDefault="00000000" w:rsidRPr="00000000" w14:paraId="0000012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Taking Partial Profits Always Better? (My experiments and RESULTS) : r/algotrading, accessed May 25, 2026, </w:t>
      </w:r>
      <w:hyperlink r:id="rId77">
        <w:r w:rsidDel="00000000" w:rsidR="00000000" w:rsidRPr="00000000">
          <w:rPr>
            <w:rFonts w:ascii="Google Sans" w:cs="Google Sans" w:eastAsia="Google Sans" w:hAnsi="Google Sans"/>
            <w:color w:val="0000ee"/>
            <w:sz w:val="24"/>
            <w:szCs w:val="24"/>
            <w:u w:val="single"/>
            <w:rtl w:val="0"/>
          </w:rPr>
          <w:t xml:space="preserve">https://www.reddit.com/r/algotrading/comments/1mk09lj/is_taking_partial_profits_always_better_my/</w:t>
        </w:r>
      </w:hyperlink>
      <w:r w:rsidDel="00000000" w:rsidR="00000000" w:rsidRPr="00000000">
        <w:rPr>
          <w:rtl w:val="0"/>
        </w:rPr>
      </w:r>
    </w:p>
    <w:p w:rsidR="00000000" w:rsidDel="00000000" w:rsidP="00000000" w:rsidRDefault="00000000" w:rsidRPr="00000000" w14:paraId="0000012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 Firm Statistics 2026: Pass Rates, Payouts &amp; Trends - QuantVPS, accessed May 25, 2026, </w:t>
      </w:r>
      <w:hyperlink r:id="rId78">
        <w:r w:rsidDel="00000000" w:rsidR="00000000" w:rsidRPr="00000000">
          <w:rPr>
            <w:rFonts w:ascii="Google Sans" w:cs="Google Sans" w:eastAsia="Google Sans" w:hAnsi="Google Sans"/>
            <w:color w:val="0000ee"/>
            <w:sz w:val="24"/>
            <w:szCs w:val="24"/>
            <w:u w:val="single"/>
            <w:rtl w:val="0"/>
          </w:rPr>
          <w:t xml:space="preserve">https://www.quantvps.com/blog/prop-firm-statistics</w:t>
        </w:r>
      </w:hyperlink>
      <w:r w:rsidDel="00000000" w:rsidR="00000000" w:rsidRPr="00000000">
        <w:rPr>
          <w:rtl w:val="0"/>
        </w:rPr>
      </w:r>
    </w:p>
    <w:p w:rsidR="00000000" w:rsidDel="00000000" w:rsidP="00000000" w:rsidRDefault="00000000" w:rsidRPr="00000000" w14:paraId="0000012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 Firm Statistics 2025: Pass Rates, Payouts &amp; Trends - QuantVPS, accessed May 25, 2026, </w:t>
      </w:r>
      <w:hyperlink r:id="rId79">
        <w:r w:rsidDel="00000000" w:rsidR="00000000" w:rsidRPr="00000000">
          <w:rPr>
            <w:rFonts w:ascii="Google Sans" w:cs="Google Sans" w:eastAsia="Google Sans" w:hAnsi="Google Sans"/>
            <w:color w:val="0000ee"/>
            <w:sz w:val="24"/>
            <w:szCs w:val="24"/>
            <w:u w:val="single"/>
            <w:rtl w:val="0"/>
          </w:rPr>
          <w:t xml:space="preserve">https://www.quantvps.com/blog/prop-firm-statistics-2025</w:t>
        </w:r>
      </w:hyperlink>
      <w:r w:rsidDel="00000000" w:rsidR="00000000" w:rsidRPr="00000000">
        <w:rPr>
          <w:rtl w:val="0"/>
        </w:rPr>
      </w:r>
    </w:p>
    <w:p w:rsidR="00000000" w:rsidDel="00000000" w:rsidP="00000000" w:rsidRDefault="00000000" w:rsidRPr="00000000" w14:paraId="0000012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 Firm Pass Rates in 2025: The Truth Behind the Numbers - FunderPro, accessed May 25, 2026, </w:t>
      </w:r>
      <w:hyperlink r:id="rId80">
        <w:r w:rsidDel="00000000" w:rsidR="00000000" w:rsidRPr="00000000">
          <w:rPr>
            <w:rFonts w:ascii="Google Sans" w:cs="Google Sans" w:eastAsia="Google Sans" w:hAnsi="Google Sans"/>
            <w:color w:val="0000ee"/>
            <w:sz w:val="24"/>
            <w:szCs w:val="24"/>
            <w:u w:val="single"/>
            <w:rtl w:val="0"/>
          </w:rPr>
          <w:t xml:space="preserve">https://funderpro.com/blog/prop-trading-pass-rates-in-2025-what-the-data-really-shows/</w:t>
        </w:r>
      </w:hyperlink>
      <w:r w:rsidDel="00000000" w:rsidR="00000000" w:rsidRPr="00000000">
        <w:rPr>
          <w:rtl w:val="0"/>
        </w:rPr>
      </w:r>
    </w:p>
    <w:p w:rsidR="00000000" w:rsidDel="00000000" w:rsidP="00000000" w:rsidRDefault="00000000" w:rsidRPr="00000000" w14:paraId="0000012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Percentage of passing a funded : r/Daytrading - Reddit, accessed May 25, 2026, </w:t>
      </w:r>
      <w:hyperlink r:id="rId81">
        <w:r w:rsidDel="00000000" w:rsidR="00000000" w:rsidRPr="00000000">
          <w:rPr>
            <w:rFonts w:ascii="Google Sans" w:cs="Google Sans" w:eastAsia="Google Sans" w:hAnsi="Google Sans"/>
            <w:color w:val="0000ee"/>
            <w:sz w:val="24"/>
            <w:szCs w:val="24"/>
            <w:u w:val="single"/>
            <w:rtl w:val="0"/>
          </w:rPr>
          <w:t xml:space="preserve">https://www.reddit.com/r/Daytrading/comments/1okbfhp/percentage_of_passing_a_funded/</w:t>
        </w:r>
      </w:hyperlink>
      <w:r w:rsidDel="00000000" w:rsidR="00000000" w:rsidRPr="00000000">
        <w:rPr>
          <w:rtl w:val="0"/>
        </w:rPr>
      </w:r>
    </w:p>
    <w:p w:rsidR="00000000" w:rsidDel="00000000" w:rsidP="00000000" w:rsidRDefault="00000000" w:rsidRPr="00000000" w14:paraId="0000012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FTMO CHALLENGE: THE 90% FAILURE RATE REVIEWED! - YouTube, accessed May 25, 2026, </w:t>
      </w:r>
      <w:hyperlink r:id="rId82">
        <w:r w:rsidDel="00000000" w:rsidR="00000000" w:rsidRPr="00000000">
          <w:rPr>
            <w:rFonts w:ascii="Google Sans" w:cs="Google Sans" w:eastAsia="Google Sans" w:hAnsi="Google Sans"/>
            <w:color w:val="0000ee"/>
            <w:sz w:val="24"/>
            <w:szCs w:val="24"/>
            <w:u w:val="single"/>
            <w:rtl w:val="0"/>
          </w:rPr>
          <w:t xml:space="preserve">https://www.youtube.com/watch?v=FtkRj5ak2h0</w:t>
        </w:r>
      </w:hyperlink>
      <w:r w:rsidDel="00000000" w:rsidR="00000000" w:rsidRPr="00000000">
        <w:rPr>
          <w:rtl w:val="0"/>
        </w:rPr>
      </w:r>
    </w:p>
    <w:p w:rsidR="00000000" w:rsidDel="00000000" w:rsidP="00000000" w:rsidRDefault="00000000" w:rsidRPr="00000000" w14:paraId="0000013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FTMO vs MyForexFunds vs The5ers: 2026 Prop Firm Comparison - FXNX Broker, accessed May 25, 2026, </w:t>
      </w:r>
      <w:hyperlink r:id="rId83">
        <w:r w:rsidDel="00000000" w:rsidR="00000000" w:rsidRPr="00000000">
          <w:rPr>
            <w:rFonts w:ascii="Google Sans" w:cs="Google Sans" w:eastAsia="Google Sans" w:hAnsi="Google Sans"/>
            <w:color w:val="0000ee"/>
            <w:sz w:val="24"/>
            <w:szCs w:val="24"/>
            <w:u w:val="single"/>
            <w:rtl w:val="0"/>
          </w:rPr>
          <w:t xml:space="preserve">https://fxnx.com/en/blog/ftmo-vs-myforexfunds-vs-the5ers-2026-prop-firm-comparison</w:t>
        </w:r>
      </w:hyperlink>
      <w:r w:rsidDel="00000000" w:rsidR="00000000" w:rsidRPr="00000000">
        <w:rPr>
          <w:rtl w:val="0"/>
        </w:rPr>
      </w:r>
    </w:p>
    <w:p w:rsidR="00000000" w:rsidDel="00000000" w:rsidP="00000000" w:rsidRDefault="00000000" w:rsidRPr="00000000" w14:paraId="0000013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Static Drawdown vs Trailing Drawdown: A Complete Guide - Defcofx, accessed May 25, 2026, </w:t>
      </w:r>
      <w:hyperlink r:id="rId84">
        <w:r w:rsidDel="00000000" w:rsidR="00000000" w:rsidRPr="00000000">
          <w:rPr>
            <w:rFonts w:ascii="Google Sans" w:cs="Google Sans" w:eastAsia="Google Sans" w:hAnsi="Google Sans"/>
            <w:color w:val="0000ee"/>
            <w:sz w:val="24"/>
            <w:szCs w:val="24"/>
            <w:u w:val="single"/>
            <w:rtl w:val="0"/>
          </w:rPr>
          <w:t xml:space="preserve">https://www.defcofx.com/static-drawdown-vs-trailing-drawdown/</w:t>
        </w:r>
      </w:hyperlink>
      <w:r w:rsidDel="00000000" w:rsidR="00000000" w:rsidRPr="00000000">
        <w:rPr>
          <w:rtl w:val="0"/>
        </w:rPr>
      </w:r>
    </w:p>
    <w:p w:rsidR="00000000" w:rsidDel="00000000" w:rsidP="00000000" w:rsidRDefault="00000000" w:rsidRPr="00000000" w14:paraId="0000013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Static Drawdown vs Trailing Drawdown Explained | Audacity Capital, accessed May 25, 2026, </w:t>
      </w:r>
      <w:hyperlink r:id="rId85">
        <w:r w:rsidDel="00000000" w:rsidR="00000000" w:rsidRPr="00000000">
          <w:rPr>
            <w:rFonts w:ascii="Google Sans" w:cs="Google Sans" w:eastAsia="Google Sans" w:hAnsi="Google Sans"/>
            <w:color w:val="0000ee"/>
            <w:sz w:val="24"/>
            <w:szCs w:val="24"/>
            <w:u w:val="single"/>
            <w:rtl w:val="0"/>
          </w:rPr>
          <w:t xml:space="preserve">https://audacity.capital/trading-guides/static-drawdown-vs-trailing-drawdown/</w:t>
        </w:r>
      </w:hyperlink>
      <w:r w:rsidDel="00000000" w:rsidR="00000000" w:rsidRPr="00000000">
        <w:rPr>
          <w:rtl w:val="0"/>
        </w:rPr>
      </w:r>
    </w:p>
    <w:p w:rsidR="00000000" w:rsidDel="00000000" w:rsidP="00000000" w:rsidRDefault="00000000" w:rsidRPr="00000000" w14:paraId="0000013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Prop Trading in 2026: Understanding Trailing Drawdowns and Getting Funded, accessed May 25, 2026, </w:t>
      </w:r>
      <w:hyperlink r:id="rId86">
        <w:r w:rsidDel="00000000" w:rsidR="00000000" w:rsidRPr="00000000">
          <w:rPr>
            <w:rFonts w:ascii="Google Sans" w:cs="Google Sans" w:eastAsia="Google Sans" w:hAnsi="Google Sans"/>
            <w:color w:val="0000ee"/>
            <w:sz w:val="24"/>
            <w:szCs w:val="24"/>
            <w:u w:val="single"/>
            <w:rtl w:val="0"/>
          </w:rPr>
          <w:t xml:space="preserve">https://apextraderfunding.com/resources/trading-education-resources/mastering-prop-trading/</w:t>
        </w:r>
      </w:hyperlink>
      <w:r w:rsidDel="00000000" w:rsidR="00000000" w:rsidRPr="00000000">
        <w:rPr>
          <w:rtl w:val="0"/>
        </w:rPr>
      </w:r>
    </w:p>
    <w:p w:rsidR="00000000" w:rsidDel="00000000" w:rsidP="00000000" w:rsidRDefault="00000000" w:rsidRPr="00000000" w14:paraId="0000013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5 books on trading psychology and behavioural finance - Saxo Bank, accessed May 25, 2026, </w:t>
      </w:r>
      <w:hyperlink r:id="rId87">
        <w:r w:rsidDel="00000000" w:rsidR="00000000" w:rsidRPr="00000000">
          <w:rPr>
            <w:rFonts w:ascii="Google Sans" w:cs="Google Sans" w:eastAsia="Google Sans" w:hAnsi="Google Sans"/>
            <w:color w:val="0000ee"/>
            <w:sz w:val="24"/>
            <w:szCs w:val="24"/>
            <w:u w:val="single"/>
            <w:rtl w:val="0"/>
          </w:rPr>
          <w:t xml:space="preserve">https://www.home.saxo/learn/guides/market-volatility/the-top-five-books-on-trading-psychology-and-behavioural-finance</w:t>
        </w:r>
      </w:hyperlink>
      <w:r w:rsidDel="00000000" w:rsidR="00000000" w:rsidRPr="00000000">
        <w:rPr>
          <w:rtl w:val="0"/>
        </w:rPr>
      </w:r>
    </w:p>
    <w:p w:rsidR="00000000" w:rsidDel="00000000" w:rsidP="00000000" w:rsidRDefault="00000000" w:rsidRPr="00000000" w14:paraId="0000013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Trading Books to Master Psychology, Strategy, and Risk - QuantVPS, accessed May 25, 2026, </w:t>
      </w:r>
      <w:hyperlink r:id="rId88">
        <w:r w:rsidDel="00000000" w:rsidR="00000000" w:rsidRPr="00000000">
          <w:rPr>
            <w:rFonts w:ascii="Google Sans" w:cs="Google Sans" w:eastAsia="Google Sans" w:hAnsi="Google Sans"/>
            <w:color w:val="0000ee"/>
            <w:sz w:val="24"/>
            <w:szCs w:val="24"/>
            <w:u w:val="single"/>
            <w:rtl w:val="0"/>
          </w:rPr>
          <w:t xml:space="preserve">https://www.quantvps.com/blog/the-best-trading-books-to-master-psychology</w:t>
        </w:r>
      </w:hyperlink>
      <w:r w:rsidDel="00000000" w:rsidR="00000000" w:rsidRPr="00000000">
        <w:rPr>
          <w:rtl w:val="0"/>
        </w:rPr>
      </w:r>
    </w:p>
    <w:p w:rsidR="00000000" w:rsidDel="00000000" w:rsidP="00000000" w:rsidRDefault="00000000" w:rsidRPr="00000000" w14:paraId="000001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Books on Trading Psychology - Tradeciety, accessed May 25, 2026, </w:t>
      </w:r>
      <w:hyperlink r:id="rId89">
        <w:r w:rsidDel="00000000" w:rsidR="00000000" w:rsidRPr="00000000">
          <w:rPr>
            <w:rFonts w:ascii="Google Sans" w:cs="Google Sans" w:eastAsia="Google Sans" w:hAnsi="Google Sans"/>
            <w:color w:val="0000ee"/>
            <w:sz w:val="24"/>
            <w:szCs w:val="24"/>
            <w:u w:val="single"/>
            <w:rtl w:val="0"/>
          </w:rPr>
          <w:t xml:space="preserve">https://tradeciety.com/10-best-books-on-trading-psychology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cgi.global/sites/default/files/Paper%3A%20Insufficient%20Sleep%20and%20Intra-Day%20Financial%20Decision-Making%3A%20Evidence%20from%20Online%20Lending%2A.pdf" TargetMode="External"/><Relationship Id="rId84" Type="http://schemas.openxmlformats.org/officeDocument/2006/relationships/hyperlink" Target="https://www.defcofx.com/static-drawdown-vs-trailing-drawdown/" TargetMode="External"/><Relationship Id="rId83" Type="http://schemas.openxmlformats.org/officeDocument/2006/relationships/hyperlink" Target="https://fxnx.com/en/blog/ftmo-vs-myforexfunds-vs-the5ers-2026-prop-firm-comparison" TargetMode="External"/><Relationship Id="rId42" Type="http://schemas.openxmlformats.org/officeDocument/2006/relationships/hyperlink" Target="https://facilethings.com/blog/en/the-science-of-living-a-single-life" TargetMode="External"/><Relationship Id="rId86" Type="http://schemas.openxmlformats.org/officeDocument/2006/relationships/hyperlink" Target="https://apextraderfunding.com/resources/trading-education-resources/mastering-prop-trading/" TargetMode="External"/><Relationship Id="rId41" Type="http://schemas.openxmlformats.org/officeDocument/2006/relationships/hyperlink" Target="https://academic.oup.com/sleep/article-pdf/30/5/603/13663807/sleep-30-5-603.pdf" TargetMode="External"/><Relationship Id="rId85" Type="http://schemas.openxmlformats.org/officeDocument/2006/relationships/hyperlink" Target="https://audacity.capital/trading-guides/static-drawdown-vs-trailing-drawdown/" TargetMode="External"/><Relationship Id="rId44" Type="http://schemas.openxmlformats.org/officeDocument/2006/relationships/hyperlink" Target="https://www.researchgate.net/publication/8498187_Is_Self-Complexity_Linked_to_Better_Coping_A_Review_of_the_Literature" TargetMode="External"/><Relationship Id="rId88" Type="http://schemas.openxmlformats.org/officeDocument/2006/relationships/hyperlink" Target="https://www.quantvps.com/blog/the-best-trading-books-to-master-psychology" TargetMode="External"/><Relationship Id="rId43" Type="http://schemas.openxmlformats.org/officeDocument/2006/relationships/hyperlink" Target="https://pmc.ncbi.nlm.nih.gov/articles/PMC6291852/" TargetMode="External"/><Relationship Id="rId87" Type="http://schemas.openxmlformats.org/officeDocument/2006/relationships/hyperlink" Target="https://www.home.saxo/learn/guides/market-volatility/the-top-five-books-on-trading-psychology-and-behavioural-finance" TargetMode="External"/><Relationship Id="rId46" Type="http://schemas.openxmlformats.org/officeDocument/2006/relationships/hyperlink" Target="https://www.investing.com/currencies/xau-usd-technical" TargetMode="External"/><Relationship Id="rId45" Type="http://schemas.openxmlformats.org/officeDocument/2006/relationships/hyperlink" Target="https://guilfordjournals.com/doi/10.1521/jscp.2006.25.3.333" TargetMode="External"/><Relationship Id="rId89" Type="http://schemas.openxmlformats.org/officeDocument/2006/relationships/hyperlink" Target="https://tradeciety.com/10-best-books-on-trading-psychology" TargetMode="External"/><Relationship Id="rId80" Type="http://schemas.openxmlformats.org/officeDocument/2006/relationships/hyperlink" Target="https://funderpro.com/blog/prop-trading-pass-rates-in-2025-what-the-data-really-shows/" TargetMode="External"/><Relationship Id="rId82" Type="http://schemas.openxmlformats.org/officeDocument/2006/relationships/hyperlink" Target="https://www.youtube.com/watch?v=FtkRj5ak2h0" TargetMode="External"/><Relationship Id="rId81" Type="http://schemas.openxmlformats.org/officeDocument/2006/relationships/hyperlink" Target="https://www.reddit.com/r/Daytrading/comments/1okbfhp/percentage_of_passing_a_fund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investing.com/commodities/gold-technical" TargetMode="External"/><Relationship Id="rId47" Type="http://schemas.openxmlformats.org/officeDocument/2006/relationships/hyperlink" Target="https://www.ebc.com/forex/how-do-i-use-the-true-volatility-index-atr" TargetMode="External"/><Relationship Id="rId49" Type="http://schemas.openxmlformats.org/officeDocument/2006/relationships/hyperlink" Target="https://tradingwyckoff.com/en/smart-money-concepts/"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5.png"/><Relationship Id="rId73" Type="http://schemas.openxmlformats.org/officeDocument/2006/relationships/hyperlink" Target="https://naga.com/en/news-and-analysis/articles/average-true-range" TargetMode="External"/><Relationship Id="rId72" Type="http://schemas.openxmlformats.org/officeDocument/2006/relationships/hyperlink" Target="https://journals.co.za/doi/10.1080/10293523.2020.1814047" TargetMode="External"/><Relationship Id="rId31" Type="http://schemas.openxmlformats.org/officeDocument/2006/relationships/hyperlink" Target="https://www.psychiatrist.com/news/why-antidepressants-cause-emotional-blunting/" TargetMode="External"/><Relationship Id="rId75" Type="http://schemas.openxmlformats.org/officeDocument/2006/relationships/hyperlink" Target="https://www.heygotrade.com/en/blog/partial-profit-taking-explained/" TargetMode="External"/><Relationship Id="rId30" Type="http://schemas.openxmlformats.org/officeDocument/2006/relationships/hyperlink" Target="https://www.cam.ac.uk/research/news/scientists-explain-emotional-blunting-caused-by-common-antidepressants" TargetMode="External"/><Relationship Id="rId74" Type="http://schemas.openxmlformats.org/officeDocument/2006/relationships/hyperlink" Target="https://www.binance.com/en/square/post/24845559813970" TargetMode="External"/><Relationship Id="rId33" Type="http://schemas.openxmlformats.org/officeDocument/2006/relationships/hyperlink" Target="https://pmc.ncbi.nlm.nih.gov/articles/PMC7294471/" TargetMode="External"/><Relationship Id="rId77" Type="http://schemas.openxmlformats.org/officeDocument/2006/relationships/hyperlink" Target="https://www.reddit.com/r/algotrading/comments/1mk09lj/is_taking_partial_profits_always_better_my/" TargetMode="External"/><Relationship Id="rId32" Type="http://schemas.openxmlformats.org/officeDocument/2006/relationships/hyperlink" Target="https://pmc.ncbi.nlm.nih.gov/articles/PMC6482104/" TargetMode="External"/><Relationship Id="rId76" Type="http://schemas.openxmlformats.org/officeDocument/2006/relationships/hyperlink" Target="https://www.activtrades.com/en/news/partial-profit-taking-vs-full-take-profit-which-strategy-works-best" TargetMode="External"/><Relationship Id="rId35" Type="http://schemas.openxmlformats.org/officeDocument/2006/relationships/hyperlink" Target="https://www.apa.org/monitor/2023/07/how-gambling-affects-the-brain" TargetMode="External"/><Relationship Id="rId79" Type="http://schemas.openxmlformats.org/officeDocument/2006/relationships/hyperlink" Target="https://www.quantvps.com/blog/prop-firm-statistics-2025" TargetMode="External"/><Relationship Id="rId34" Type="http://schemas.openxmlformats.org/officeDocument/2006/relationships/hyperlink" Target="https://www.uclahealth.org/news/article/gambling-addiction-can-cause-psychological-physiological-health-challenges" TargetMode="External"/><Relationship Id="rId78" Type="http://schemas.openxmlformats.org/officeDocument/2006/relationships/hyperlink" Target="https://www.quantvps.com/blog/prop-firm-statistics" TargetMode="External"/><Relationship Id="rId71" Type="http://schemas.openxmlformats.org/officeDocument/2006/relationships/hyperlink" Target="https://fred.stlouisfed.org/series/GVZCLS" TargetMode="External"/><Relationship Id="rId70" Type="http://schemas.openxmlformats.org/officeDocument/2006/relationships/hyperlink" Target="https://en.macromicro.me/charts/21527/gvz" TargetMode="External"/><Relationship Id="rId37" Type="http://schemas.openxmlformats.org/officeDocument/2006/relationships/hyperlink" Target="https://cba.lmu.edu/media/lmucollegeofbusinessadministration/departments/finance/Paper1.pdf" TargetMode="External"/><Relationship Id="rId36" Type="http://schemas.openxmlformats.org/officeDocument/2006/relationships/hyperlink" Target="https://pmc.ncbi.nlm.nih.gov/articles/PMC12781511/" TargetMode="External"/><Relationship Id="rId39" Type="http://schemas.openxmlformats.org/officeDocument/2006/relationships/hyperlink" Target="https://journals.vilniustech.lt/index.php/JBEM/article/view/23629" TargetMode="External"/><Relationship Id="rId38" Type="http://schemas.openxmlformats.org/officeDocument/2006/relationships/hyperlink" Target="https://digitalcommons.sacredheart.edu/cgi/viewcontent.cgi?article=1766&amp;context=acadfest" TargetMode="External"/><Relationship Id="rId62" Type="http://schemas.openxmlformats.org/officeDocument/2006/relationships/hyperlink" Target="https://www.quantvps.com/blog/breaker-blocks-vs-order-blocks" TargetMode="External"/><Relationship Id="rId61" Type="http://schemas.openxmlformats.org/officeDocument/2006/relationships/hyperlink" Target="https://alchemymarkets.com/education/strategies/mitigation-blocks/" TargetMode="External"/><Relationship Id="rId20" Type="http://schemas.openxmlformats.org/officeDocument/2006/relationships/hyperlink" Target="https://www.frontiersin.org/journals/psychiatry/articles/10.3389/fpsyt.2021.715946/full" TargetMode="External"/><Relationship Id="rId64" Type="http://schemas.openxmlformats.org/officeDocument/2006/relationships/hyperlink" Target="https://fxnx.com/en/blog/smc-bos-vs-choch-stop-getting-trapped-fake-reversals#:~:text=A%20BOS%20(Break%20of%20Structure,level%20for%20the%20first%20time." TargetMode="External"/><Relationship Id="rId63" Type="http://schemas.openxmlformats.org/officeDocument/2006/relationships/hyperlink" Target="https://arongroups.co/technical-analyze/bos-and-choch/" TargetMode="External"/><Relationship Id="rId22" Type="http://schemas.openxmlformats.org/officeDocument/2006/relationships/hyperlink" Target="https://www.researchgate.net/publication/390122977_Development_and_validation_of_the_Trading_Disorder_Scale_for_assessing_problematic_trading_behaviors" TargetMode="External"/><Relationship Id="rId66" Type="http://schemas.openxmlformats.org/officeDocument/2006/relationships/hyperlink" Target="https://dailypriceaction.com/blog/smc-market-structure/" TargetMode="External"/><Relationship Id="rId21" Type="http://schemas.openxmlformats.org/officeDocument/2006/relationships/hyperlink" Target="https://www.frontiersin.org/journals/psychiatry/articles/10.3389/fpsyt.2025.1505012/full" TargetMode="External"/><Relationship Id="rId65" Type="http://schemas.openxmlformats.org/officeDocument/2006/relationships/hyperlink" Target="https://fxnx.com/en/blog/smc-bos-vs-choch-stop-getting-trapped-fake-reversals" TargetMode="External"/><Relationship Id="rId24" Type="http://schemas.openxmlformats.org/officeDocument/2006/relationships/hyperlink" Target="https://www.nationalelfservice.net/treatment/antipsychotics/do-antipsychotics-slow-your-thinking/" TargetMode="External"/><Relationship Id="rId68" Type="http://schemas.openxmlformats.org/officeDocument/2006/relationships/hyperlink" Target="https://www.cboe.com/us/indices/dashboard/gvz/" TargetMode="External"/><Relationship Id="rId23" Type="http://schemas.openxmlformats.org/officeDocument/2006/relationships/hyperlink" Target="https://pmc.ncbi.nlm.nih.gov/articles/PMC11735527/" TargetMode="External"/><Relationship Id="rId67" Type="http://schemas.openxmlformats.org/officeDocument/2006/relationships/hyperlink" Target="https://www.youtube.com/watch?v=FE1bgD9N6DM" TargetMode="External"/><Relationship Id="rId60" Type="http://schemas.openxmlformats.org/officeDocument/2006/relationships/hyperlink" Target="https://acy.com/en/market-news/education/how-to-draw-order-blocks-and-confirm-strength-j-o-20251111-131742/" TargetMode="External"/><Relationship Id="rId26" Type="http://schemas.openxmlformats.org/officeDocument/2006/relationships/hyperlink" Target="https://pmc.ncbi.nlm.nih.gov/articles/PMC9352759/" TargetMode="External"/><Relationship Id="rId25" Type="http://schemas.openxmlformats.org/officeDocument/2006/relationships/hyperlink" Target="https://pmc.ncbi.nlm.nih.gov/articles/PMC2879261/" TargetMode="External"/><Relationship Id="rId69" Type="http://schemas.openxmlformats.org/officeDocument/2006/relationships/hyperlink" Target="https://www.sec.gov/files/rules/sro/cboe/2010/34-61859-ex3.pdf" TargetMode="External"/><Relationship Id="rId28" Type="http://schemas.openxmlformats.org/officeDocument/2006/relationships/hyperlink" Target="https://www.jneurosci.org/content/33/39/15588" TargetMode="External"/><Relationship Id="rId27" Type="http://schemas.openxmlformats.org/officeDocument/2006/relationships/hyperlink" Target="https://www.queensu.ca/psychology/sites/psycwww/files/uploaded_files/Faculty/Richard%20Beninger/Beninger_prp_07.pdf" TargetMode="External"/><Relationship Id="rId29" Type="http://schemas.openxmlformats.org/officeDocument/2006/relationships/hyperlink" Target="https://psychopharmacologyinstitute.com/publication/antidepressant-induced-emotional-blunting-diagnosis-mechanisms-and-management-2/" TargetMode="External"/><Relationship Id="rId51" Type="http://schemas.openxmlformats.org/officeDocument/2006/relationships/hyperlink" Target="https://www.ssga.com/content/dam/ssmp/library-content/pdfs/gold-chart-pack-sg.pdf" TargetMode="External"/><Relationship Id="rId50" Type="http://schemas.openxmlformats.org/officeDocument/2006/relationships/hyperlink" Target="https://fxnx.com/en/blog/master-gold-trading-session-dynamics" TargetMode="External"/><Relationship Id="rId53" Type="http://schemas.openxmlformats.org/officeDocument/2006/relationships/hyperlink" Target="https://www.pimco.com/us/en/resources/education/understanding-gold-prices" TargetMode="External"/><Relationship Id="rId52" Type="http://schemas.openxmlformats.org/officeDocument/2006/relationships/hyperlink" Target="https://en.macromicro.me/charts/81733/Gold-Price-vs-US5-Year-Real-Yield" TargetMode="External"/><Relationship Id="rId11" Type="http://schemas.openxmlformats.org/officeDocument/2006/relationships/image" Target="media/image1.png"/><Relationship Id="rId55" Type="http://schemas.openxmlformats.org/officeDocument/2006/relationships/hyperlink" Target="https://www.jpmorgan.com/insights/global-research/commodities/gold-prices" TargetMode="External"/><Relationship Id="rId10" Type="http://schemas.openxmlformats.org/officeDocument/2006/relationships/image" Target="media/image3.png"/><Relationship Id="rId54" Type="http://schemas.openxmlformats.org/officeDocument/2006/relationships/hyperlink" Target="https://www.investing.com/analysis/bitcoin-is-trading-like-equities--not-like-digital-gold-200678785" TargetMode="External"/><Relationship Id="rId13" Type="http://schemas.openxmlformats.org/officeDocument/2006/relationships/hyperlink" Target="https://www.ecb.europa.eu/pub/pdf/scpwps/ecbwp203.pdf" TargetMode="External"/><Relationship Id="rId57" Type="http://schemas.openxmlformats.org/officeDocument/2006/relationships/hyperlink" Target="https://www.scribd.com/document/862824263/SMAG" TargetMode="External"/><Relationship Id="rId12" Type="http://schemas.openxmlformats.org/officeDocument/2006/relationships/image" Target="media/image4.png"/><Relationship Id="rId56" Type="http://schemas.openxmlformats.org/officeDocument/2006/relationships/hyperlink" Target="https://medium.com/@eaforexunlimited/xau-usd-trading-mastery-the-ultimate-guide-to-gold-trading-strategies-analysis-and-risk-fac85de760cf" TargetMode="External"/><Relationship Id="rId15" Type="http://schemas.openxmlformats.org/officeDocument/2006/relationships/hyperlink" Target="https://www.nber.org/papers/w4369" TargetMode="External"/><Relationship Id="rId59" Type="http://schemas.openxmlformats.org/officeDocument/2006/relationships/hyperlink" Target="https://www.fluxcharts.com/articles/fair-value-gaps-fvg-explained" TargetMode="External"/><Relationship Id="rId14" Type="http://schemas.openxmlformats.org/officeDocument/2006/relationships/hyperlink" Target="https://ideas.repec.org/p/nbr/nberwo/4369.html" TargetMode="External"/><Relationship Id="rId58" Type="http://schemas.openxmlformats.org/officeDocument/2006/relationships/hyperlink" Target="https://tradingstrategyguides.com/day-3-smc-ict-market-structure-explained-bos-choch-swing-points-2026/" TargetMode="External"/><Relationship Id="rId17" Type="http://schemas.openxmlformats.org/officeDocument/2006/relationships/hyperlink" Target="https://ideas.repec.org/p/pra/mprapa/4477.html" TargetMode="External"/><Relationship Id="rId16" Type="http://schemas.openxmlformats.org/officeDocument/2006/relationships/hyperlink" Target="https://thedecisionlab.com/biases/action-bias" TargetMode="External"/><Relationship Id="rId19" Type="http://schemas.openxmlformats.org/officeDocument/2006/relationships/hyperlink" Target="https://www.akjournals.com/view/journals/2006/14/2/article-p941.xml" TargetMode="External"/><Relationship Id="rId18" Type="http://schemas.openxmlformats.org/officeDocument/2006/relationships/hyperlink" Target="https://www.researchgate.net/publication/222676583_Action_Bias_among_Elite_Soccer_Goalkeepers_The_Case_of_Penalty_Kic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