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NFT marketplace implementation Architecture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stack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- Frontend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- Middle layer/Business Layer logics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IPFS-</w:t>
      </w:r>
      <w:r w:rsidDel="00000000" w:rsidR="00000000" w:rsidRPr="00000000">
        <w:rPr>
          <w:rtl w:val="0"/>
        </w:rPr>
        <w:t xml:space="preserve"> Metadata/tokenURI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MongoDB/Postgress</w:t>
      </w:r>
      <w:r w:rsidDel="00000000" w:rsidR="00000000" w:rsidRPr="00000000">
        <w:rPr>
          <w:rtl w:val="0"/>
        </w:rPr>
        <w:t xml:space="preserve"> - For additional data storage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Blockchain</w:t>
      </w:r>
      <w:r w:rsidDel="00000000" w:rsidR="00000000" w:rsidRPr="00000000">
        <w:rPr>
          <w:rtl w:val="0"/>
        </w:rPr>
        <w:t xml:space="preserve"> - backend smart contract implementation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Detail Flow and references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frontend layer will contain all the UI code along with the wallet integration part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business logic, Api routing and validations will be performed at middle layer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will contain the implementation of smart contracts on Blockchain for NFT creation and interaction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may need to use additional DB for storing some additional data for the dashboard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Functionalities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User will be allow to connect with wallet like metamask/walletconnect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2.User can create NFT with metadata and put out for sale/Acution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3.We can store the metadata in the form of tokenURI in IPFS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4.we might need to use the graphQL to query the onchain data from blockchain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1d2228"/>
          <w:sz w:val="20"/>
          <w:szCs w:val="20"/>
        </w:rPr>
      </w:pPr>
      <w:r w:rsidDel="00000000" w:rsidR="00000000" w:rsidRPr="00000000">
        <w:rPr>
          <w:b w:val="1"/>
          <w:color w:val="1d2228"/>
          <w:sz w:val="20"/>
          <w:szCs w:val="20"/>
          <w:rtl w:val="0"/>
        </w:rPr>
        <w:t xml:space="preserve">Backend implementaion Needs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1d2228"/>
          <w:sz w:val="20"/>
          <w:szCs w:val="20"/>
          <w:rtl w:val="0"/>
        </w:rPr>
        <w:t xml:space="preserve">Token Minter (ERC-721/ERC-1155)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Use Opensea/Rarible as references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Can also allow users to create highly programmed ERC-721s/1155’s using this minter (standard/advanced interfaces)?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after="200" w:before="0" w:beforeAutospacing="0" w:lineRule="auto"/>
        <w:ind w:left="216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E.g. </w:t>
      </w:r>
      <w:hyperlink r:id="rId7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Dynamic NFTs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1d2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1d2228"/>
          <w:sz w:val="20"/>
          <w:szCs w:val="20"/>
          <w:rtl w:val="0"/>
        </w:rPr>
        <w:t xml:space="preserve">Escrow Contracts with below features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Auction, reserve price, buy now, make an offer, etc. functionalities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Royalty and fee split features to be baked into these contracts (assuming primary market would require a different set of contracts that secondary market)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20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Support for the following ERC-20 tokens: USDC, DAI, and ETH </w:t>
      </w:r>
    </w:p>
    <w:p w:rsidR="00000000" w:rsidDel="00000000" w:rsidP="00000000" w:rsidRDefault="00000000" w:rsidRPr="00000000" w14:paraId="00000029">
      <w:pPr>
        <w:shd w:fill="ffffff" w:val="clear"/>
        <w:rPr>
          <w:color w:val="1d2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1d2228"/>
          <w:sz w:val="20"/>
          <w:szCs w:val="20"/>
          <w:rtl w:val="0"/>
        </w:rPr>
        <w:t xml:space="preserve">Meta Transactions implementation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See OpenSea &amp; OpenZeppelin github can be used as reference for meta transaction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See “meta transactions” link below</w:t>
      </w:r>
    </w:p>
    <w:p w:rsidR="00000000" w:rsidDel="00000000" w:rsidP="00000000" w:rsidRDefault="00000000" w:rsidRPr="00000000" w14:paraId="0000002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hyperlink r:id="rId8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Biconomy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0"/>
        </w:numPr>
        <w:spacing w:after="200" w:before="0" w:beforeAutospacing="0" w:lineRule="auto"/>
        <w:ind w:left="2160" w:hanging="360"/>
      </w:pPr>
      <w:hyperlink r:id="rId9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Gas Station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1d2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1d2228"/>
          <w:sz w:val="20"/>
          <w:szCs w:val="20"/>
          <w:rtl w:val="0"/>
        </w:rPr>
        <w:t xml:space="preserve">Wallet Integration/Creation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Metamask/Fortmatic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200" w:before="0" w:beforeAutospacing="0" w:lineRule="auto"/>
        <w:ind w:left="2160" w:hanging="360"/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See Metamask’s </w:t>
      </w:r>
      <w:hyperlink r:id="rId10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Custom Networks API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color w:val="1d2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Technical references for smart contracts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1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OpenZeppelin Developer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lineRule="auto"/>
        <w:ind w:left="1440" w:hanging="360"/>
      </w:pPr>
      <w:hyperlink r:id="rId12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ERC-721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lineRule="auto"/>
        <w:ind w:left="1440" w:hanging="360"/>
      </w:pPr>
      <w:hyperlink r:id="rId13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ERC-1155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lineRule="auto"/>
        <w:ind w:left="1440" w:hanging="360"/>
      </w:pPr>
      <w:hyperlink r:id="rId14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Gas Station Network (Meta Transactions)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lineRule="auto"/>
        <w:ind w:left="1440" w:hanging="360"/>
      </w:pPr>
      <w:hyperlink r:id="rId15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200" w:lineRule="auto"/>
        <w:ind w:left="1440" w:hanging="360"/>
      </w:pPr>
      <w:hyperlink r:id="rId16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Presets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1d2228"/>
          <w:sz w:val="20"/>
          <w:szCs w:val="20"/>
          <w:u w:val="single"/>
        </w:rPr>
      </w:pPr>
      <w:r w:rsidDel="00000000" w:rsidR="00000000" w:rsidRPr="00000000">
        <w:rPr>
          <w:b w:val="1"/>
          <w:color w:val="1d2228"/>
          <w:sz w:val="20"/>
          <w:szCs w:val="20"/>
          <w:u w:val="single"/>
          <w:rtl w:val="0"/>
        </w:rPr>
        <w:t xml:space="preserve">Reference Githubs (what we could fork and build off of)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hyperlink r:id="rId17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Superare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u w:val="single"/>
          <w:rtl w:val="0"/>
        </w:rPr>
        <w:t xml:space="preserve">Standouts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hyperlink r:id="rId18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Creator Royalty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d2228"/>
          <w:sz w:val="20"/>
          <w:szCs w:val="20"/>
          <w:u w:val="single"/>
          <w:rtl w:val="0"/>
        </w:rPr>
        <w:t xml:space="preserve">Creator royalty contract to guide fee split functionality on primary and secondary market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hyperlink r:id="rId19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ERC-721 Token Creator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hyperlink r:id="rId20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SendValueorEscrow Contract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200" w:before="0" w:beforeAutospacing="0" w:lineRule="auto"/>
        <w:ind w:left="2160" w:hanging="360"/>
      </w:pPr>
      <w:hyperlink r:id="rId21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SuperRare Market Auction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color w:val="1d222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hyperlink r:id="rId22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OpenSea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d2228"/>
          <w:sz w:val="20"/>
          <w:szCs w:val="20"/>
          <w:u w:val="single"/>
          <w:rtl w:val="0"/>
        </w:rPr>
        <w:t xml:space="preserve">Standouts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200" w:before="0" w:beforeAutospacing="0" w:lineRule="auto"/>
        <w:ind w:left="2160" w:hanging="360"/>
      </w:pPr>
      <w:hyperlink r:id="rId23">
        <w:r w:rsidDel="00000000" w:rsidR="00000000" w:rsidRPr="00000000">
          <w:rPr>
            <w:color w:val="196ad4"/>
            <w:sz w:val="20"/>
            <w:szCs w:val="20"/>
            <w:u w:val="single"/>
            <w:rtl w:val="0"/>
          </w:rPr>
          <w:t xml:space="preserve">Meta Transactions Contracts</w:t>
        </w:r>
      </w:hyperlink>
      <w:r w:rsidDel="00000000" w:rsidR="00000000" w:rsidRPr="00000000">
        <w:rPr>
          <w:color w:val="1d2228"/>
          <w:sz w:val="20"/>
          <w:szCs w:val="20"/>
          <w:u w:val="single"/>
          <w:rtl w:val="0"/>
        </w:rPr>
        <w:t xml:space="preserve"> - enable gasless transactions</w:t>
      </w:r>
    </w:p>
    <w:p w:rsidR="00000000" w:rsidDel="00000000" w:rsidP="00000000" w:rsidRDefault="00000000" w:rsidRPr="00000000" w14:paraId="0000004A">
      <w:pPr>
        <w:spacing w:after="200" w:lineRule="auto"/>
        <w:ind w:left="0" w:firstLine="0"/>
        <w:rPr>
          <w:color w:val="196ad4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1d2228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utch8596/pixura-contracts/blob/master/contracts/build/SendValueOrEscrow.json" TargetMode="External"/><Relationship Id="rId11" Type="http://schemas.openxmlformats.org/officeDocument/2006/relationships/hyperlink" Target="https://docs.openzeppelin.com/contracts/3.x/" TargetMode="External"/><Relationship Id="rId22" Type="http://schemas.openxmlformats.org/officeDocument/2006/relationships/hyperlink" Target="https://github.com/ProjectOpenSea" TargetMode="External"/><Relationship Id="rId10" Type="http://schemas.openxmlformats.org/officeDocument/2006/relationships/hyperlink" Target="https://consensys.net/blog/metamask/connect-users-to-layer-2-networks-with-the-metamask-custom-networks-api/?utm_content=156337458&amp;utm_medium=social&amp;utm_source=twitter&amp;hss_channel=tw-3278906401" TargetMode="External"/><Relationship Id="rId21" Type="http://schemas.openxmlformats.org/officeDocument/2006/relationships/hyperlink" Target="https://github.com/dutch8596/pixura-contracts/blob/master/contracts/build/SuperRareMarketAuctionV2.json" TargetMode="External"/><Relationship Id="rId13" Type="http://schemas.openxmlformats.org/officeDocument/2006/relationships/hyperlink" Target="https://docs.openzeppelin.com/contracts/3.x/erc1155" TargetMode="External"/><Relationship Id="rId12" Type="http://schemas.openxmlformats.org/officeDocument/2006/relationships/hyperlink" Target="https://docs.openzeppelin.com/contracts/3.x/erc721" TargetMode="External"/><Relationship Id="rId23" Type="http://schemas.openxmlformats.org/officeDocument/2006/relationships/hyperlink" Target="https://github.com/ProjectOpenSea/meta-transac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atic.network/docs/develop/metatransactions/metatransactions-gsn" TargetMode="External"/><Relationship Id="rId15" Type="http://schemas.openxmlformats.org/officeDocument/2006/relationships/hyperlink" Target="https://docs.openzeppelin.com/contracts/3.x/api/payment" TargetMode="External"/><Relationship Id="rId14" Type="http://schemas.openxmlformats.org/officeDocument/2006/relationships/hyperlink" Target="https://docs.openzeppelin.com/contracts/3.x/gsn" TargetMode="External"/><Relationship Id="rId17" Type="http://schemas.openxmlformats.org/officeDocument/2006/relationships/hyperlink" Target="https://github.com/dutch8596/pixura-contracts" TargetMode="External"/><Relationship Id="rId16" Type="http://schemas.openxmlformats.org/officeDocument/2006/relationships/hyperlink" Target="https://docs.openzeppelin.com/contracts/3.x/api/preset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utch8596/pixura-contracts/blob/master/contracts/build/IERC721TokenCreator.json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github.com/dutch8596/pixura-contracts/blob/master/contracts/build/IERC721CreatorRoyalty.json" TargetMode="External"/><Relationship Id="rId7" Type="http://schemas.openxmlformats.org/officeDocument/2006/relationships/hyperlink" Target="https://blog.chain.link/build-deploy-and-sell-your-own-dynamic-nft/" TargetMode="External"/><Relationship Id="rId8" Type="http://schemas.openxmlformats.org/officeDocument/2006/relationships/hyperlink" Target="https://docs.matic.network/docs/develop/metatransactions/metatransactions-bic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