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gridCol w:w="100"/>
      </w:tblGrid>
      <w:tr>
        <w:tc>
          <w:tcPr>
            <w:tcW w:type="pct" w:w="30%"/>
            <w:tcBorders>
              <w:top w:val="none"/>
              <w:left w:val="none"/>
              <w:bottom w:val="none"/>
              <w:right w:val="none"/>
            </w:tcBorders>
          </w:tcPr>
          <w:p>
            <w:pPr>
              <w:jc w:val="left"/>
            </w:pPr>
            <w:r>
              <w:drawing>
                <wp:inline distT="0" distB="0" distL="0" distR="0">
                  <wp:extent cx="1333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381000"/>
                          </a:xfrm>
                          <a:prstGeom prst="rect">
                            <a:avLst/>
                          </a:prstGeom>
                        </pic:spPr>
                      </pic:pic>
                    </a:graphicData>
                  </a:graphic>
                </wp:inline>
              </w:drawing>
            </w:r>
          </w:p>
        </w:tc>
        <w:tc>
          <w:tcPr>
            <w:tcW w:type="pct" w:w="40%"/>
            <w:tcBorders>
              <w:top w:val="none"/>
              <w:left w:val="none"/>
              <w:bottom w:val="none"/>
              <w:right w:val="none"/>
            </w:tcBorders>
          </w:tcPr>
          <w:p>
            <w:pPr>
              <w:spacing w:after="40"/>
              <w:jc w:val="center"/>
            </w:pPr>
            <w:r>
              <w:rPr>
                <w:b/>
                <w:bCs/>
                <w:color w:val="000000"/>
                <w:sz w:val="20"/>
                <w:szCs w:val="20"/>
                <w:rFonts w:ascii="Times New Roman" w:cs="Times New Roman" w:eastAsia="Times New Roman" w:hAnsi="Times New Roman"/>
              </w:rPr>
              <w:t xml:space="preserve">Project ID: 260086</w:t>
            </w:r>
          </w:p>
          <w:p>
            <w:pPr>
              <w:jc w:val="center"/>
            </w:pPr>
            <w:r>
              <w:rPr>
                <w:b/>
                <w:bCs/>
                <w:color w:val="000000"/>
                <w:sz w:val="20"/>
                <w:szCs w:val="20"/>
                <w:rFonts w:ascii="Times New Roman" w:cs="Times New Roman" w:eastAsia="Times New Roman" w:hAnsi="Times New Roman"/>
              </w:rPr>
              <w:t xml:space="preserve">24-06-2026</w:t>
            </w:r>
          </w:p>
        </w:tc>
        <w:tc>
          <w:tcPr>
            <w:tcW w:type="pct" w:w="30%"/>
            <w:tcBorders>
              <w:top w:val="none"/>
              <w:left w:val="none"/>
              <w:bottom w:val="none"/>
              <w:right w:val="none"/>
            </w:tcBorders>
          </w:tcPr>
          <w:p>
            <w:pPr>
              <w:jc w:val="right"/>
            </w:pPr>
            <w:r>
              <w:drawing>
                <wp:inline distT="0" distB="0" distL="0" distR="0">
                  <wp:extent cx="12382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381000"/>
                          </a:xfrm>
                          <a:prstGeom prst="rect">
                            <a:avLst/>
                          </a:prstGeom>
                        </pic:spPr>
                      </pic:pic>
                    </a:graphicData>
                  </a:graphic>
                </wp:inline>
              </w:drawing>
            </w:r>
          </w:p>
        </w:tc>
      </w:tr>
    </w:tbl>
    <w:tbl>
      <w:tblPr>
        <w:tblW w:type="pct" w:w="100%"/>
        <w:tblBorders>
          <w:top w:val="none"/>
          <w:left w:val="none"/>
          <w:bottom w:val="none"/>
          <w:right w:val="none"/>
          <w:insideH w:val="none"/>
          <w:insideV w:val="none"/>
        </w:tblBorders>
      </w:tblPr>
      <w:tblGrid>
        <w:gridCol w:w="100"/>
      </w:tblGrid>
      <w:tr>
        <w:tc>
          <w:tcPr>
            <w:tcBorders>
              <w:top w:val="none"/>
              <w:left w:val="none"/>
              <w:bottom w:val="single" w:color="CCCCCC" w:sz="4"/>
              <w:right w:val="none"/>
            </w:tcBorders>
          </w:tcPr>
          <w:p>
            <w:pPr>
              <w:spacing w:after="80"/>
            </w:pPr>
          </w:p>
        </w:tc>
      </w:tr>
    </w:tbl>
    <w:p>
      <w:pPr>
        <w:spacing w:after="2400"/>
      </w:pPr>
    </w:p>
    <w:p>
      <w:pPr>
        <w:spacing w:after="120"/>
        <w:jc w:val="center"/>
      </w:pPr>
      <w:r>
        <w:rPr>
          <w:b/>
          <w:bCs/>
          <w:color w:val="000000"/>
          <w:sz w:val="40"/>
          <w:szCs w:val="40"/>
          <w:rFonts w:ascii="Times New Roman" w:cs="Times New Roman" w:eastAsia="Times New Roman" w:hAnsi="Times New Roman"/>
        </w:rPr>
        <w:t xml:space="preserve">Interim Report of</w:t>
      </w:r>
    </w:p>
    <w:p>
      <w:pPr>
        <w:spacing w:after="120"/>
        <w:jc w:val="center"/>
      </w:pPr>
      <w:r>
        <w:rPr>
          <w:b/>
          <w:bCs/>
          <w:color w:val="000000"/>
          <w:sz w:val="52"/>
          <w:szCs w:val="52"/>
          <w:rFonts w:ascii="Times New Roman" w:cs="Times New Roman" w:eastAsia="Times New Roman" w:hAnsi="Times New Roman"/>
        </w:rPr>
        <w:t xml:space="preserve">Transcriptome Sequencing</w:t>
      </w:r>
    </w:p>
    <w:p>
      <w:pPr>
        <w:spacing w:after="1600"/>
        <w:jc w:val="center"/>
      </w:pPr>
      <w:r>
        <w:rPr>
          <w:b/>
          <w:bCs/>
          <w:color w:val="000000"/>
          <w:sz w:val="40"/>
          <w:szCs w:val="40"/>
          <w:rFonts w:ascii="Times New Roman" w:cs="Times New Roman" w:eastAsia="Times New Roman" w:hAnsi="Times New Roman"/>
        </w:rPr>
        <w:t xml:space="preserve">On Illumina Novaseq X Plus Platform</w:t>
      </w:r>
    </w:p>
    <w:p>
      <w:pPr>
        <w:spacing w:after="80"/>
        <w:jc w:val="center"/>
      </w:pPr>
      <w:r>
        <w:rPr>
          <w:b/>
          <w:bCs/>
          <w:color w:val="E06D1B"/>
          <w:sz w:val="28"/>
          <w:szCs w:val="28"/>
          <w:rFonts w:ascii="Times New Roman" w:cs="Times New Roman" w:eastAsia="Times New Roman" w:hAnsi="Times New Roman"/>
        </w:rPr>
        <w:t xml:space="preserve">Submitted to:</w:t>
      </w:r>
    </w:p>
    <w:p>
      <w:pPr>
        <w:spacing w:after="60"/>
        <w:jc w:val="center"/>
      </w:pPr>
      <w:r>
        <w:rPr>
          <w:b/>
          <w:bCs/>
          <w:color w:val="E06D1B"/>
          <w:sz w:val="32"/>
          <w:szCs w:val="32"/>
          <w:rFonts w:ascii="Times New Roman" w:cs="Times New Roman" w:eastAsia="Times New Roman" w:hAnsi="Times New Roman"/>
        </w:rPr>
        <w:t xml:space="preserve">Minnu Jose</w:t>
      </w:r>
    </w:p>
    <w:p>
      <w:pPr>
        <w:spacing w:after="60"/>
        <w:jc w:val="center"/>
      </w:pPr>
      <w:r>
        <w:rPr>
          <w:b/>
          <w:bCs/>
          <w:color w:val="E06D1B"/>
          <w:sz w:val="28"/>
          <w:szCs w:val="28"/>
          <w:rFonts w:ascii="Times New Roman" w:cs="Times New Roman" w:eastAsia="Times New Roman" w:hAnsi="Times New Roman"/>
        </w:rPr>
        <w:t xml:space="preserve">University of Calicut</w:t>
      </w:r>
    </w:p>
    <w:p>
      <w:pPr>
        <w:spacing w:after="1600"/>
      </w:pPr>
    </w:p>
    <w:p>
      <w:pPr>
        <w:spacing w:after="80"/>
        <w:jc w:val="center"/>
      </w:pPr>
      <w:r>
        <w:rPr>
          <w:color w:val="1F4E78"/>
          <w:sz w:val="24"/>
          <w:szCs w:val="24"/>
          <w:rFonts w:ascii="Times New Roman" w:cs="Times New Roman" w:eastAsia="Times New Roman" w:hAnsi="Times New Roman"/>
        </w:rPr>
        <w:t xml:space="preserve">Submitted by:</w:t>
      </w:r>
    </w:p>
    <w:p>
      <w:pPr>
        <w:spacing w:after="60"/>
        <w:jc w:val="center"/>
      </w:pPr>
      <w:r>
        <w:rPr>
          <w:b/>
          <w:bCs/>
          <w:color w:val="1F4E78"/>
          <w:sz w:val="28"/>
          <w:szCs w:val="28"/>
          <w:rFonts w:ascii="Times New Roman" w:cs="Times New Roman" w:eastAsia="Times New Roman" w:hAnsi="Times New Roman"/>
        </w:rPr>
        <w:t xml:space="preserve">Unigenome</w:t>
      </w:r>
    </w:p>
    <w:p>
      <w:pPr>
        <w:spacing w:after="40"/>
        <w:jc w:val="center"/>
      </w:pPr>
      <w:r>
        <w:rPr>
          <w:color w:val="1F4E78"/>
          <w:sz w:val="22"/>
          <w:szCs w:val="22"/>
          <w:rFonts w:ascii="Times New Roman" w:cs="Times New Roman" w:eastAsia="Times New Roman" w:hAnsi="Times New Roman"/>
        </w:rPr>
        <w:t xml:space="preserve">A life sciences division of Unipath Specialty Laboratory Ltd.</w:t>
      </w:r>
    </w:p>
    <w:p>
      <w:pPr>
        <w:spacing w:after="20"/>
        <w:jc w:val="center"/>
      </w:pPr>
      <w:r>
        <w:rPr>
          <w:color w:val="1F4E78"/>
          <w:sz w:val="20"/>
          <w:szCs w:val="20"/>
          <w:rFonts w:ascii="Times New Roman" w:cs="Times New Roman" w:eastAsia="Times New Roman" w:hAnsi="Times New Roman"/>
        </w:rPr>
        <w:t xml:space="preserve">3rd Floor, PASL House | Beside Sahjanand College | Panjara pol, Ambawadi,</w:t>
      </w:r>
    </w:p>
    <w:p>
      <w:pPr>
        <w:spacing w:after="20"/>
        <w:jc w:val="center"/>
      </w:pPr>
      <w:r>
        <w:rPr>
          <w:color w:val="1F4E78"/>
          <w:sz w:val="20"/>
          <w:szCs w:val="20"/>
          <w:rFonts w:ascii="Times New Roman" w:cs="Times New Roman" w:eastAsia="Times New Roman" w:hAnsi="Times New Roman"/>
        </w:rPr>
        <w:t xml:space="preserve">Ahmedabad – 380015 | Gujarat, India Tel :- +91-79-66197701</w:t>
      </w:r>
    </w:p>
    <w:p>
      <w:pPr>
        <w:spacing w:after="2200"/>
        <w:jc w:val="center"/>
      </w:pPr>
      <w:r>
        <w:rPr>
          <w:color w:val="1F4E78"/>
          <w:sz w:val="20"/>
          <w:szCs w:val="20"/>
          <w:rFonts w:ascii="Times New Roman" w:cs="Times New Roman" w:eastAsia="Times New Roman" w:hAnsi="Times New Roman"/>
        </w:rPr>
        <w:t xml:space="preserve">genomics@unipath.in | www.unigenome.in</w:t>
      </w:r>
    </w:p>
    <w:tbl>
      <w:tblPr>
        <w:tblW w:type="pct" w:w="100%"/>
        <w:tblBorders>
          <w:top w:val="none"/>
          <w:left w:val="none"/>
          <w:bottom w:val="single" w:color="D3D3D3" w:sz="6"/>
          <w:right w:val="none"/>
          <w:insideH w:val="none"/>
          <w:insideV w:val="none"/>
        </w:tblBorders>
      </w:tblPr>
      <w:tblGrid>
        <w:gridCol w:w="100"/>
      </w:tblGrid>
      <w:tr>
        <w:tc>
          <w:tcPr>
            <w:tcBorders>
              <w:top w:val="none"/>
              <w:left w:val="none"/>
              <w:bottom w:val="single" w:color="D3D3D3" w:sz="6"/>
              <w:right w:val="none"/>
            </w:tcBorders>
          </w:tcPr>
          <w:p/>
        </w:tc>
      </w:tr>
    </w:tbl>
    <w:p>
      <w:pPr>
        <w:spacing w:before="120"/>
      </w:pPr>
    </w:p>
    <w:tbl>
      <w:tblPr>
        <w:tblW w:type="pct" w:w="100%"/>
        <w:tblBorders>
          <w:top w:val="none"/>
          <w:left w:val="none"/>
          <w:bottom w:val="none"/>
          <w:right w:val="none"/>
          <w:insideH w:val="none"/>
          <w:insideV w:val="none"/>
        </w:tblBorders>
      </w:tblPr>
      <w:tblGrid>
        <w:gridCol w:w="100"/>
        <w:gridCol w:w="100"/>
      </w:tblGrid>
      <w:tr>
        <w:tc>
          <w:tcPr>
            <w:tcW w:type="pct" w:w="90%"/>
            <w:tcBorders>
              <w:top w:val="none"/>
              <w:left w:val="none"/>
              <w:bottom w:val="none"/>
              <w:right w:val="none"/>
            </w:tcBorders>
          </w:tcPr>
          <w:p>
            <w:pPr>
              <w:jc w:val="left"/>
            </w:pPr>
            <w:r>
              <w:rPr>
                <w:color w:val="7F8C8D"/>
                <w:sz w:val="18"/>
                <w:szCs w:val="18"/>
                <w:rFonts w:ascii="Times New Roman" w:cs="Times New Roman" w:eastAsia="Times New Roman" w:hAnsi="Times New Roman"/>
              </w:rPr>
              <w:t xml:space="preserve">Unigenome | Confidential Restricted use only</w:t>
            </w:r>
          </w:p>
        </w:tc>
        <w:tc>
          <w:tcPr>
            <w:tcW w:type="pct" w:w="10%"/>
            <w:tcBorders>
              <w:top w:val="none"/>
              <w:left w:val="none"/>
              <w:bottom w:val="none"/>
              <w:right w:val="none"/>
            </w:tcBorders>
          </w:tcPr>
          <w:p>
            <w:pPr>
              <w:jc w:val="right"/>
            </w:pPr>
            <w:r>
              <w:rPr>
                <w:b/>
                <w:bCs/>
                <w:color w:val="7F8C8D"/>
                <w:sz w:val="18"/>
                <w:szCs w:val="18"/>
                <w:rFonts w:ascii="Times New Roman" w:cs="Times New Roman" w:eastAsia="Times New Roman" w:hAnsi="Times New Roman"/>
              </w:rPr>
              <w:t xml:space="preserve">1</w:t>
            </w:r>
          </w:p>
        </w:tc>
      </w:tr>
    </w:tbl>
    <w:p>
      <w:r>
        <w:br w:type="page"/>
      </w:r>
    </w:p>
    <w:p>
      <w:pPr>
        <w:pBdr>
          <w:bottom w:val="single" w:color="0F2547" w:sz="8" w:space="6"/>
        </w:pBdr>
        <w:spacing w:before="240" w:after="360"/>
      </w:pPr>
      <w:r>
        <w:rPr>
          <w:b/>
          <w:bCs/>
          <w:color w:val="0F2547"/>
          <w:sz w:val="32"/>
          <w:szCs w:val="32"/>
          <w:rFonts w:ascii="Times New Roman" w:cs="Times New Roman" w:eastAsia="Times New Roman" w:hAnsi="Times New Roman"/>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
            <w:tcBorders>
              <w:top w:val="none"/>
              <w:left w:val="none"/>
              <w:bottom w:val="single" w:color="EDF0F4" w:sz="4"/>
              <w:right w:val="none"/>
            </w:tcBorders>
            <w:tcMar>
              <w:top w:type="dxa" w:w="120"/>
              <w:left w:type="dxa" w:w="60"/>
              <w:bottom w:type="dxa" w:w="120"/>
              <w:right w:type="dxa" w:w="60"/>
            </w:tcMar>
          </w:tcPr>
          <w:p>
            <w:r>
              <w:rPr>
                <w:b/>
                <w:bCs/>
                <w:color w:val="0F2547"/>
                <w:sz w:val="20"/>
                <w:szCs w:val="20"/>
                <w:rFonts w:ascii="Times New Roman" w:cs="Times New Roman" w:eastAsia="Times New Roman" w:hAnsi="Times New Roman"/>
              </w:rPr>
              <w:t xml:space="preserve">1.</w:t>
            </w:r>
          </w:p>
        </w:tc>
        <w:tc>
          <w:tcPr>
            <w:tcW w:type="pct" w:w="80%"/>
            <w:tcBorders>
              <w:top w:val="none"/>
              <w:left w:val="none"/>
              <w:bottom w:val="single" w:color="EDF0F4" w:sz="4"/>
              <w:right w:val="none"/>
            </w:tcBorders>
            <w:tcMar>
              <w:top w:type="dxa" w:w="120"/>
              <w:left w:type="dxa" w:w="60"/>
              <w:bottom w:type="dxa" w:w="120"/>
              <w:right w:type="dxa" w:w="60"/>
            </w:tcMar>
          </w:tcPr>
          <w:p>
            <w:r>
              <w:rPr>
                <w:color w:val="1C2430"/>
                <w:sz w:val="20"/>
                <w:szCs w:val="20"/>
                <w:rFonts w:ascii="Times New Roman" w:cs="Times New Roman" w:eastAsia="Times New Roman" w:hAnsi="Times New Roman"/>
              </w:rPr>
              <w:t xml:space="preserve">Project Details &amp; Sample Details</w:t>
            </w:r>
          </w:p>
        </w:tc>
        <w:tc>
          <w:tcPr>
            <w:tcW w:type="pct" w:w="15%"/>
            <w:tcBorders>
              <w:top w:val="none"/>
              <w:left w:val="none"/>
              <w:bottom w:val="single" w:color="EDF0F4" w:sz="4"/>
              <w:right w:val="none"/>
            </w:tcBorders>
            <w:tcMar>
              <w:top w:type="dxa" w:w="120"/>
              <w:left w:type="dxa" w:w="60"/>
              <w:bottom w:type="dxa" w:w="120"/>
              <w:right w:type="dxa" w:w="60"/>
            </w:tcMar>
          </w:tcPr>
          <w:p>
            <w:pPr>
              <w:jc w:val="right"/>
            </w:pPr>
            <w:r>
              <w:rPr>
                <w:color w:val="5B6B7F"/>
                <w:sz w:val="20"/>
                <w:szCs w:val="20"/>
                <w:rFonts w:ascii="Times New Roman" w:cs="Times New Roman" w:eastAsia="Times New Roman" w:hAnsi="Times New Roman"/>
              </w:rPr>
              <w:t xml:space="preserve">Page 3</w:t>
            </w:r>
          </w:p>
        </w:tc>
      </w:tr>
      <w:tr>
        <w:tc>
          <w:tcPr>
            <w:tcW w:type="pct" w:w="5%"/>
            <w:tcBorders>
              <w:top w:val="none"/>
              <w:left w:val="none"/>
              <w:bottom w:val="single" w:color="EDF0F4" w:sz="4"/>
              <w:right w:val="none"/>
            </w:tcBorders>
            <w:tcMar>
              <w:top w:type="dxa" w:w="120"/>
              <w:left w:type="dxa" w:w="60"/>
              <w:bottom w:type="dxa" w:w="120"/>
              <w:right w:type="dxa" w:w="60"/>
            </w:tcMar>
          </w:tcPr>
          <w:p>
            <w:r>
              <w:rPr>
                <w:b/>
                <w:bCs/>
                <w:color w:val="0F2547"/>
                <w:sz w:val="20"/>
                <w:szCs w:val="20"/>
                <w:rFonts w:ascii="Times New Roman" w:cs="Times New Roman" w:eastAsia="Times New Roman" w:hAnsi="Times New Roman"/>
              </w:rPr>
              <w:t xml:space="preserve">2.</w:t>
            </w:r>
          </w:p>
        </w:tc>
        <w:tc>
          <w:tcPr>
            <w:tcW w:type="pct" w:w="80%"/>
            <w:tcBorders>
              <w:top w:val="none"/>
              <w:left w:val="none"/>
              <w:bottom w:val="single" w:color="EDF0F4" w:sz="4"/>
              <w:right w:val="none"/>
            </w:tcBorders>
            <w:tcMar>
              <w:top w:type="dxa" w:w="120"/>
              <w:left w:type="dxa" w:w="60"/>
              <w:bottom w:type="dxa" w:w="120"/>
              <w:right w:type="dxa" w:w="60"/>
            </w:tcMar>
          </w:tcPr>
          <w:p>
            <w:r>
              <w:rPr>
                <w:color w:val="1C2430"/>
                <w:sz w:val="20"/>
                <w:szCs w:val="20"/>
                <w:rFonts w:ascii="Times New Roman" w:cs="Times New Roman" w:eastAsia="Times New Roman" w:hAnsi="Times New Roman"/>
              </w:rPr>
              <w:t xml:space="preserve">Methods</w:t>
            </w:r>
          </w:p>
        </w:tc>
        <w:tc>
          <w:tcPr>
            <w:tcW w:type="pct" w:w="15%"/>
            <w:tcBorders>
              <w:top w:val="none"/>
              <w:left w:val="none"/>
              <w:bottom w:val="single" w:color="EDF0F4" w:sz="4"/>
              <w:right w:val="none"/>
            </w:tcBorders>
            <w:tcMar>
              <w:top w:type="dxa" w:w="120"/>
              <w:left w:type="dxa" w:w="60"/>
              <w:bottom w:type="dxa" w:w="120"/>
              <w:right w:type="dxa" w:w="60"/>
            </w:tcMar>
          </w:tcPr>
          <w:p>
            <w:pPr>
              <w:jc w:val="right"/>
            </w:pPr>
            <w:r>
              <w:rPr>
                <w:color w:val="5B6B7F"/>
                <w:sz w:val="20"/>
                <w:szCs w:val="20"/>
                <w:rFonts w:ascii="Times New Roman" w:cs="Times New Roman" w:eastAsia="Times New Roman" w:hAnsi="Times New Roman"/>
              </w:rPr>
              <w:t xml:space="preserve">Page 4</w:t>
            </w:r>
          </w:p>
        </w:tc>
      </w:tr>
      <w:tr>
        <w:tc>
          <w:tcPr>
            <w:tcW w:type="pct" w:w="5%"/>
            <w:tcBorders>
              <w:top w:val="none"/>
              <w:left w:val="none"/>
              <w:bottom w:val="single" w:color="EDF0F4" w:sz="4"/>
              <w:right w:val="none"/>
            </w:tcBorders>
            <w:tcMar>
              <w:top w:type="dxa" w:w="120"/>
              <w:left w:type="dxa" w:w="60"/>
              <w:bottom w:type="dxa" w:w="120"/>
              <w:right w:type="dxa" w:w="60"/>
            </w:tcMar>
          </w:tcPr>
          <w:p>
            <w:r>
              <w:rPr>
                <w:b/>
                <w:bCs/>
                <w:color w:val="0F2547"/>
                <w:sz w:val="20"/>
                <w:szCs w:val="20"/>
                <w:rFonts w:ascii="Times New Roman" w:cs="Times New Roman" w:eastAsia="Times New Roman" w:hAnsi="Times New Roman"/>
              </w:rPr>
              <w:t xml:space="preserve">3.</w:t>
            </w:r>
          </w:p>
        </w:tc>
        <w:tc>
          <w:tcPr>
            <w:tcW w:type="pct" w:w="80%"/>
            <w:tcBorders>
              <w:top w:val="none"/>
              <w:left w:val="none"/>
              <w:bottom w:val="single" w:color="EDF0F4" w:sz="4"/>
              <w:right w:val="none"/>
            </w:tcBorders>
            <w:tcMar>
              <w:top w:type="dxa" w:w="120"/>
              <w:left w:type="dxa" w:w="60"/>
              <w:bottom w:type="dxa" w:w="120"/>
              <w:right w:type="dxa" w:w="60"/>
            </w:tcMar>
          </w:tcPr>
          <w:p>
            <w:r>
              <w:rPr>
                <w:color w:val="1C2430"/>
                <w:sz w:val="20"/>
                <w:szCs w:val="20"/>
                <w:rFonts w:ascii="Times New Roman" w:cs="Times New Roman" w:eastAsia="Times New Roman" w:hAnsi="Times New Roman"/>
              </w:rPr>
              <w:t xml:space="preserve">Results (RNA QC &amp; Qubit)</w:t>
            </w:r>
          </w:p>
        </w:tc>
        <w:tc>
          <w:tcPr>
            <w:tcW w:type="pct" w:w="15%"/>
            <w:tcBorders>
              <w:top w:val="none"/>
              <w:left w:val="none"/>
              <w:bottom w:val="single" w:color="EDF0F4" w:sz="4"/>
              <w:right w:val="none"/>
            </w:tcBorders>
            <w:tcMar>
              <w:top w:type="dxa" w:w="120"/>
              <w:left w:type="dxa" w:w="60"/>
              <w:bottom w:type="dxa" w:w="120"/>
              <w:right w:type="dxa" w:w="60"/>
            </w:tcMar>
          </w:tcPr>
          <w:p>
            <w:pPr>
              <w:jc w:val="right"/>
            </w:pPr>
            <w:r>
              <w:rPr>
                <w:color w:val="5B6B7F"/>
                <w:sz w:val="20"/>
                <w:szCs w:val="20"/>
                <w:rFonts w:ascii="Times New Roman" w:cs="Times New Roman" w:eastAsia="Times New Roman" w:hAnsi="Times New Roman"/>
              </w:rPr>
              <w:t xml:space="preserve">Page 5</w:t>
            </w:r>
          </w:p>
        </w:tc>
      </w:tr>
      <w:tr>
        <w:tc>
          <w:tcPr>
            <w:tcW w:type="pct" w:w="5%"/>
            <w:tcBorders>
              <w:top w:val="none"/>
              <w:left w:val="none"/>
              <w:bottom w:val="single" w:color="EDF0F4" w:sz="4"/>
              <w:right w:val="none"/>
            </w:tcBorders>
            <w:tcMar>
              <w:top w:type="dxa" w:w="120"/>
              <w:left w:type="dxa" w:w="60"/>
              <w:bottom w:type="dxa" w:w="120"/>
              <w:right w:type="dxa" w:w="60"/>
            </w:tcMar>
          </w:tcPr>
          <w:p>
            <w:r>
              <w:rPr>
                <w:b/>
                <w:bCs/>
                <w:color w:val="0F2547"/>
                <w:sz w:val="20"/>
                <w:szCs w:val="20"/>
                <w:rFonts w:ascii="Times New Roman" w:cs="Times New Roman" w:eastAsia="Times New Roman" w:hAnsi="Times New Roman"/>
              </w:rPr>
              <w:t xml:space="preserve">4.</w:t>
            </w:r>
          </w:p>
        </w:tc>
        <w:tc>
          <w:tcPr>
            <w:tcW w:type="pct" w:w="80%"/>
            <w:tcBorders>
              <w:top w:val="none"/>
              <w:left w:val="none"/>
              <w:bottom w:val="single" w:color="EDF0F4" w:sz="4"/>
              <w:right w:val="none"/>
            </w:tcBorders>
            <w:tcMar>
              <w:top w:type="dxa" w:w="120"/>
              <w:left w:type="dxa" w:w="60"/>
              <w:bottom w:type="dxa" w:w="120"/>
              <w:right w:type="dxa" w:w="60"/>
            </w:tcMar>
          </w:tcPr>
          <w:p>
            <w:r>
              <w:rPr>
                <w:color w:val="1C2430"/>
                <w:sz w:val="20"/>
                <w:szCs w:val="20"/>
                <w:rFonts w:ascii="Times New Roman" w:cs="Times New Roman" w:eastAsia="Times New Roman" w:hAnsi="Times New Roman"/>
              </w:rPr>
              <w:t xml:space="preserve">Library QC (TapeStation)</w:t>
            </w:r>
          </w:p>
        </w:tc>
        <w:tc>
          <w:tcPr>
            <w:tcW w:type="pct" w:w="15%"/>
            <w:tcBorders>
              <w:top w:val="none"/>
              <w:left w:val="none"/>
              <w:bottom w:val="single" w:color="EDF0F4" w:sz="4"/>
              <w:right w:val="none"/>
            </w:tcBorders>
            <w:tcMar>
              <w:top w:type="dxa" w:w="120"/>
              <w:left w:type="dxa" w:w="60"/>
              <w:bottom w:type="dxa" w:w="120"/>
              <w:right w:type="dxa" w:w="60"/>
            </w:tcMar>
          </w:tcPr>
          <w:p>
            <w:pPr>
              <w:jc w:val="right"/>
            </w:pPr>
            <w:r>
              <w:rPr>
                <w:color w:val="5B6B7F"/>
                <w:sz w:val="20"/>
                <w:szCs w:val="20"/>
                <w:rFonts w:ascii="Times New Roman" w:cs="Times New Roman" w:eastAsia="Times New Roman" w:hAnsi="Times New Roman"/>
              </w:rPr>
              <w:t xml:space="preserve">Page 6</w:t>
            </w:r>
          </w:p>
        </w:tc>
      </w:tr>
      <w:tr>
        <w:tc>
          <w:tcPr>
            <w:tcW w:type="pct" w:w="5%"/>
            <w:tcBorders>
              <w:top w:val="none"/>
              <w:left w:val="none"/>
              <w:bottom w:val="single" w:color="EDF0F4" w:sz="4"/>
              <w:right w:val="none"/>
            </w:tcBorders>
            <w:tcMar>
              <w:top w:type="dxa" w:w="120"/>
              <w:left w:type="dxa" w:w="60"/>
              <w:bottom w:type="dxa" w:w="120"/>
              <w:right w:type="dxa" w:w="60"/>
            </w:tcMar>
          </w:tcPr>
          <w:p>
            <w:r>
              <w:rPr>
                <w:b/>
                <w:bCs/>
                <w:color w:val="0F2547"/>
                <w:sz w:val="20"/>
                <w:szCs w:val="20"/>
                <w:rFonts w:ascii="Times New Roman" w:cs="Times New Roman" w:eastAsia="Times New Roman" w:hAnsi="Times New Roman"/>
              </w:rPr>
              <w:t xml:space="preserve">5.</w:t>
            </w:r>
          </w:p>
        </w:tc>
        <w:tc>
          <w:tcPr>
            <w:tcW w:type="pct" w:w="80%"/>
            <w:tcBorders>
              <w:top w:val="none"/>
              <w:left w:val="none"/>
              <w:bottom w:val="single" w:color="EDF0F4" w:sz="4"/>
              <w:right w:val="none"/>
            </w:tcBorders>
            <w:tcMar>
              <w:top w:type="dxa" w:w="120"/>
              <w:left w:type="dxa" w:w="60"/>
              <w:bottom w:type="dxa" w:w="120"/>
              <w:right w:type="dxa" w:w="60"/>
            </w:tcMar>
          </w:tcPr>
          <w:p>
            <w:r>
              <w:rPr>
                <w:color w:val="1C2430"/>
                <w:sz w:val="20"/>
                <w:szCs w:val="20"/>
                <w:rFonts w:ascii="Times New Roman" w:cs="Times New Roman" w:eastAsia="Times New Roman" w:hAnsi="Times New Roman"/>
              </w:rPr>
              <w:t xml:space="preserve">Conclusions</w:t>
            </w:r>
          </w:p>
        </w:tc>
        <w:tc>
          <w:tcPr>
            <w:tcW w:type="pct" w:w="15%"/>
            <w:tcBorders>
              <w:top w:val="none"/>
              <w:left w:val="none"/>
              <w:bottom w:val="single" w:color="EDF0F4" w:sz="4"/>
              <w:right w:val="none"/>
            </w:tcBorders>
            <w:tcMar>
              <w:top w:type="dxa" w:w="120"/>
              <w:left w:type="dxa" w:w="60"/>
              <w:bottom w:type="dxa" w:w="120"/>
              <w:right w:type="dxa" w:w="60"/>
            </w:tcMar>
          </w:tcPr>
          <w:p>
            <w:pPr>
              <w:jc w:val="right"/>
            </w:pPr>
            <w:r>
              <w:rPr>
                <w:color w:val="5B6B7F"/>
                <w:sz w:val="20"/>
                <w:szCs w:val="20"/>
                <w:rFonts w:ascii="Times New Roman" w:cs="Times New Roman" w:eastAsia="Times New Roman" w:hAnsi="Times New Roman"/>
              </w:rPr>
              <w:t xml:space="preserve">Page 7</w:t>
            </w:r>
          </w:p>
        </w:tc>
      </w:tr>
    </w:tbl>
    <w:p>
      <w:pPr>
        <w:spacing w:after="240"/>
      </w:pPr>
    </w:p>
    <w:p>
      <w:r>
        <w:br w:type="page"/>
      </w:r>
    </w:p>
    <w:p>
      <w:pPr>
        <w:pStyle w:val="Heading1"/>
        <w:keepNext/>
        <w:pBdr>
          <w:bottom w:val="single" w:color="0F2547" w:sz="8" w:space="6"/>
        </w:pBdr>
        <w:spacing w:before="360" w:after="180" w:line="360"/>
      </w:pPr>
      <w:r>
        <w:rPr>
          <w:b/>
          <w:bCs/>
          <w:color w:val="0F2547"/>
          <w:sz w:val="32"/>
          <w:szCs w:val="32"/>
          <w:rFonts w:ascii="Times New Roman" w:cs="Times New Roman" w:eastAsia="Times New Roman" w:hAnsi="Times New Roman"/>
        </w:rPr>
        <w:t xml:space="preserve">1. Project Details &amp; Sample Details</w:t>
      </w:r>
    </w:p>
    <w:p>
      <w:pPr>
        <w:spacing w:line="360" w:after="120"/>
      </w:pPr>
      <w:r>
        <w:rPr>
          <w:color w:val="1C2430"/>
          <w:sz w:val="24"/>
          <w:szCs w:val="24"/>
          <w:rFonts w:ascii="Times New Roman" w:cs="Times New Roman" w:eastAsia="Times New Roman" w:hAnsi="Times New Roman"/>
        </w:rPr>
        <w:t xml:space="preserve">This interim report outlines the status of RNA extraction, quality control, and library preparation for the project 260086.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Parameter</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Value</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Service Type</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Transcriptome Sequencing</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Platform</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Illumina Novaseq X Plus</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Read Length</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2 X 150 bp PE</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Data Throughput</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~08-09GB / Sample</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Type of Sample</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Tissue</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No. of Samples</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11</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Samples ID of Libraries Prepared</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Control Brain, Control Heart, Control Muscle, Test Brain, Test Heart, Test Muscle</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Shipping Condition</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Dry Ice</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No. of Libraries Prepared</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11</w:t>
            </w:r>
          </w:p>
        </w:tc>
      </w:tr>
    </w:tbl>
    <w:p>
      <w:r>
        <w:br w:type="page"/>
      </w:r>
    </w:p>
    <w:p>
      <w:pPr>
        <w:pStyle w:val="Heading1"/>
        <w:keepNext/>
        <w:pBdr>
          <w:bottom w:val="single" w:color="0F2547" w:sz="8" w:space="6"/>
        </w:pBdr>
        <w:spacing w:before="360" w:after="180" w:line="360"/>
      </w:pPr>
      <w:r>
        <w:rPr>
          <w:b/>
          <w:bCs/>
          <w:color w:val="0F2547"/>
          <w:sz w:val="32"/>
          <w:szCs w:val="32"/>
          <w:rFonts w:ascii="Times New Roman" w:cs="Times New Roman" w:eastAsia="Times New Roman" w:hAnsi="Times New Roman"/>
        </w:rPr>
        <w:t xml:space="preserve">2. Methods</w:t>
      </w:r>
    </w:p>
    <w:p>
      <w:pPr>
        <w:pStyle w:val="Heading2"/>
        <w:keepNext/>
        <w:spacing w:before="240" w:after="120" w:line="360"/>
      </w:pPr>
      <w:r>
        <w:rPr>
          <w:b/>
          <w:bCs/>
          <w:color w:val="2B6CB0"/>
          <w:sz w:val="24"/>
          <w:szCs w:val="24"/>
          <w:rFonts w:ascii="Times New Roman" w:cs="Times New Roman" w:eastAsia="Times New Roman" w:hAnsi="Times New Roman"/>
        </w:rPr>
        <w:t xml:space="preserve">2.1 Isolation and Quantitative analysis of RNA:</w:t>
      </w:r>
    </w:p>
    <w:p>
      <w:pPr>
        <w:spacing w:line="360" w:after="120"/>
      </w:pPr>
      <w:r>
        <w:rPr>
          <w:color w:val="1C2430"/>
          <w:sz w:val="24"/>
          <w:szCs w:val="24"/>
          <w:rFonts w:ascii="Times New Roman" w:cs="Times New Roman" w:eastAsia="Times New Roman" w:hAnsi="Times New Roman"/>
        </w:rPr>
        <w:t xml:space="preserve">RNA sample was extracted from tissue sample using QIAGEN RNeasy mini kit (CAT.NO:74106). RNA quantity was measured using Qubit® 4.0 fluorometer and quality were analyzed by using 1% agarose gel.</w:t>
      </w:r>
    </w:p>
    <w:p>
      <w:pPr>
        <w:pStyle w:val="Heading2"/>
        <w:keepNext/>
        <w:spacing w:before="240" w:after="120" w:line="360"/>
      </w:pPr>
      <w:r>
        <w:rPr>
          <w:b/>
          <w:bCs/>
          <w:color w:val="2B6CB0"/>
          <w:sz w:val="24"/>
          <w:szCs w:val="24"/>
          <w:rFonts w:ascii="Times New Roman" w:cs="Times New Roman" w:eastAsia="Times New Roman" w:hAnsi="Times New Roman"/>
        </w:rPr>
        <w:t xml:space="preserve">2.2 Preparation of library:</w:t>
      </w:r>
    </w:p>
    <w:p>
      <w:pPr>
        <w:spacing w:line="360" w:after="120"/>
      </w:pPr>
      <w:r>
        <w:rPr>
          <w:color w:val="1C2430"/>
          <w:sz w:val="24"/>
          <w:szCs w:val="24"/>
          <w:rFonts w:ascii="Times New Roman" w:cs="Times New Roman" w:eastAsia="Times New Roman" w:hAnsi="Times New Roman"/>
        </w:rPr>
        <w:t xml:space="preserve">The paired-end sequencing library was prepared using NEBNext® Ultra™ RNA Library Prep Kit for Illumina. (NEB #E7770). The library preparation process was initiated with 100 ng input. Ribosomal RNA was removed using depletion was carried out using ribodepletion kit KAPA RNA HyperPrep Kit with RiboErase (HMR), Cat no: KK8561) as per user manual. Ribo-depleted RNA was subjected to fragmentation, first &amp; second-strand cDNA synthesis, end-repair, 3´ adapter ligation, selective enrichment of adapter-ligated DNA fragments through PCR amplification, followed by validation of Library on Agilent 4150 tape station. The final library was pooled with other samples, denatured &amp; loaded on to flow cell. On the flowcell, cluster generation &amp; sequencing was performed using Illumina Novaseq X plus platform to generate 2×150bp paired-end (PE) reads.</w:t>
      </w:r>
    </w:p>
    <w:p>
      <w:pPr>
        <w:pStyle w:val="Heading2"/>
        <w:keepNext/>
        <w:spacing w:before="240" w:after="120" w:line="360"/>
      </w:pPr>
      <w:r>
        <w:rPr>
          <w:b/>
          <w:bCs/>
          <w:color w:val="2B6CB0"/>
          <w:sz w:val="24"/>
          <w:szCs w:val="24"/>
          <w:rFonts w:ascii="Times New Roman" w:cs="Times New Roman" w:eastAsia="Times New Roman" w:hAnsi="Times New Roman"/>
        </w:rPr>
        <w:t xml:space="preserve">2.3 Quantity and quality check (QC) of library on Agilent Tape Station 4150:</w:t>
      </w:r>
    </w:p>
    <w:p>
      <w:pPr>
        <w:spacing w:line="360" w:after="120"/>
      </w:pPr>
      <w:r>
        <w:rPr>
          <w:color w:val="1C2430"/>
          <w:sz w:val="24"/>
          <w:szCs w:val="24"/>
          <w:rFonts w:ascii="Times New Roman" w:cs="Times New Roman" w:eastAsia="Times New Roman" w:hAnsi="Times New Roman"/>
        </w:rPr>
        <w:t xml:space="preserve">The amplified library analyzed on TapeStation 4150 (Agilent Technologies) using High Sensitivity D1000 ScreenTape® as per manufacturer's instructions.</w:t>
      </w:r>
    </w:p>
    <w:p>
      <w:pPr>
        <w:pStyle w:val="Heading2"/>
        <w:keepNext/>
        <w:spacing w:before="240" w:after="120" w:line="360"/>
      </w:pPr>
      <w:r>
        <w:rPr>
          <w:b/>
          <w:bCs/>
          <w:color w:val="2B6CB0"/>
          <w:sz w:val="24"/>
          <w:szCs w:val="24"/>
          <w:rFonts w:ascii="Times New Roman" w:cs="Times New Roman" w:eastAsia="Times New Roman" w:hAnsi="Times New Roman"/>
        </w:rPr>
        <w:t xml:space="preserve">2.4 Cluster Generation and Sequencing:</w:t>
      </w:r>
    </w:p>
    <w:p>
      <w:pPr>
        <w:spacing w:line="360" w:after="120"/>
      </w:pPr>
      <w:r>
        <w:rPr>
          <w:color w:val="1C2430"/>
          <w:sz w:val="24"/>
          <w:szCs w:val="24"/>
          <w:rFonts w:ascii="Times New Roman" w:cs="Times New Roman" w:eastAsia="Times New Roman" w:hAnsi="Times New Roman"/>
        </w:rPr>
        <w:t xml:space="preserve">After obtaining the Qubit concentration for the library and the mean peak size from Tape Station profile, library will be loaded onto Illumina Novaseq X Plus for cluster generation and sequencing. Paired-End sequencing allows the template fragments to be sequenced in both the forward and reverse directions. The library molecules will bind to complementary adapter oligos on paired-end flow cell. The adapters are designed to allow selective cleavage of the forward strands after re-synthesis of the reverse strand during sequencing. The copied reverse strand is then used to sequence from the opposite end of the fragment.</w:t>
      </w:r>
    </w:p>
    <w:p>
      <w:r>
        <w:br w:type="page"/>
      </w:r>
    </w:p>
    <w:p>
      <w:pPr>
        <w:pStyle w:val="Heading1"/>
        <w:keepNext/>
        <w:pBdr>
          <w:bottom w:val="single" w:color="0F2547" w:sz="8" w:space="6"/>
        </w:pBdr>
        <w:spacing w:before="360" w:after="180" w:line="360"/>
      </w:pPr>
      <w:r>
        <w:rPr>
          <w:b/>
          <w:bCs/>
          <w:color w:val="0F2547"/>
          <w:sz w:val="32"/>
          <w:szCs w:val="32"/>
          <w:rFonts w:ascii="Times New Roman" w:cs="Times New Roman" w:eastAsia="Times New Roman" w:hAnsi="Times New Roman"/>
        </w:rPr>
        <w:t xml:space="preserve">3. Results (RNA QC &amp; Qubit)</w:t>
      </w:r>
    </w:p>
    <w:p>
      <w:pPr>
        <w:pStyle w:val="Heading2"/>
        <w:keepNext/>
        <w:spacing w:before="240" w:after="120" w:line="360"/>
      </w:pPr>
      <w:r>
        <w:rPr>
          <w:b/>
          <w:bCs/>
          <w:color w:val="2B6CB0"/>
          <w:sz w:val="24"/>
          <w:szCs w:val="24"/>
          <w:rFonts w:ascii="Times New Roman" w:cs="Times New Roman" w:eastAsia="Times New Roman" w:hAnsi="Times New Roman"/>
        </w:rPr>
        <w:t xml:space="preserve">3.1 RNA QC using Agarose Gel</w:t>
      </w:r>
    </w:p>
    <w:p>
      <w:pPr>
        <w:spacing w:line="360" w:after="120"/>
      </w:pPr>
      <w:r>
        <w:rPr>
          <w:color w:val="1C2430"/>
          <w:sz w:val="24"/>
          <w:szCs w:val="24"/>
          <w:rFonts w:ascii="Times New Roman" w:cs="Times New Roman" w:eastAsia="Times New Roman" w:hAnsi="Times New Roman"/>
        </w:rPr>
        <w:t xml:space="preserve">RNA quality was validated using 1% Agarose Gel electrophoresis to ensure intact ribosomal RNA bands (28S and 18S).</w:t>
      </w:r>
    </w:p>
    <w:p>
      <w:pPr>
        <w:spacing w:before="180" w:after="18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81250"/>
                    </a:xfrm>
                    <a:prstGeom prst="rect">
                      <a:avLst/>
                    </a:prstGeom>
                  </pic:spPr>
                </pic:pic>
              </a:graphicData>
            </a:graphic>
          </wp:inline>
        </w:drawing>
      </w:r>
    </w:p>
    <w:p>
      <w:pPr>
        <w:spacing w:before="120" w:after="240"/>
        <w:jc w:val="center"/>
      </w:pPr>
      <w:r>
        <w:rPr>
          <w:i/>
          <w:iCs/>
          <w:color w:val="5B6B7F"/>
          <w:sz w:val="18"/>
          <w:szCs w:val="18"/>
          <w:rFonts w:ascii="Times New Roman" w:cs="Times New Roman" w:eastAsia="Times New Roman" w:hAnsi="Times New Roman"/>
        </w:rPr>
        <w:t xml:space="preserve">Figure 1: RNA QC on Agarose Gel</w:t>
      </w:r>
    </w:p>
    <w:p>
      <w:pPr>
        <w:spacing w:line="360" w:after="120"/>
      </w:pPr>
      <w:r>
        <w:rPr>
          <w:b/>
          <w:bCs/>
          <w:color w:val="1C2430"/>
          <w:sz w:val="24"/>
          <w:szCs w:val="24"/>
          <w:rFonts w:ascii="Times New Roman" w:cs="Times New Roman" w:eastAsia="Times New Roman" w:hAnsi="Times New Roman"/>
        </w:rPr>
        <w:t xml:space="preserve">Lane ID to Sample Name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Lane id</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Sample name</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Lane id</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Sample name</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Lane id</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Sample name</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1</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Control Brain</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2</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Control Heart</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3</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Control Muscle</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4</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Test Brain</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Test Heart</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6</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Test Muscle</w:t>
            </w:r>
          </w:p>
        </w:tc>
      </w:tr>
    </w:tbl>
    <w:p>
      <w:pPr>
        <w:spacing w:after="180"/>
      </w:pPr>
    </w:p>
    <w:p>
      <w:pPr>
        <w:pStyle w:val="Heading2"/>
        <w:keepNext/>
        <w:spacing w:before="240" w:after="120" w:line="360"/>
      </w:pPr>
      <w:r>
        <w:rPr>
          <w:b/>
          <w:bCs/>
          <w:color w:val="2B6CB0"/>
          <w:sz w:val="24"/>
          <w:szCs w:val="24"/>
          <w:rFonts w:ascii="Times New Roman" w:cs="Times New Roman" w:eastAsia="Times New Roman" w:hAnsi="Times New Roman"/>
        </w:rPr>
        <w:t xml:space="preserve">3.2 Qubit Quantification Data</w:t>
      </w:r>
    </w:p>
    <w:p>
      <w:pPr>
        <w:spacing w:line="360" w:after="120"/>
      </w:pPr>
      <w:r>
        <w:rPr>
          <w:color w:val="1C2430"/>
          <w:sz w:val="24"/>
          <w:szCs w:val="24"/>
          <w:rFonts w:ascii="Times New Roman" w:cs="Times New Roman" w:eastAsia="Times New Roman" w:hAnsi="Times New Roman"/>
        </w:rPr>
        <w:t xml:space="preserve">Table 3.2 outlines the quantitative analysis of the RNA samples as measured by Qubit fluorometer: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S.N.</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Sample ID</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Conc. (ng/µL)</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Volume (µL)</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Yield (µg)</w:t>
            </w:r>
          </w:p>
        </w:tc>
        <w:tc>
          <w:tcPr>
            <w:tcBorders>
              <w:top w:val="single" w:color="CCCCCC" w:sz="4"/>
              <w:left w:val="single" w:color="CCCCCC" w:sz="4"/>
              <w:bottom w:val="single" w:color="0F2547" w:sz="8"/>
              <w:right w:val="single" w:color="CCCCCC" w:sz="4"/>
            </w:tcBorders>
            <w:shd w:fill="0F2547"/>
            <w:tcMar>
              <w:top w:type="dxa" w:w="140"/>
              <w:left w:type="dxa" w:w="180"/>
              <w:bottom w:type="dxa" w:w="140"/>
              <w:right w:type="dxa" w:w="180"/>
            </w:tcMar>
          </w:tcPr>
          <w:p>
            <w:pPr>
              <w:spacing w:line="276" w:after="60"/>
              <w:jc w:val="left"/>
            </w:pPr>
            <w:r>
              <w:rPr>
                <w:b/>
                <w:bCs/>
                <w:color w:val="FFFFFF"/>
                <w:sz w:val="24"/>
                <w:szCs w:val="24"/>
                <w:rFonts w:ascii="Times New Roman" w:cs="Times New Roman" w:eastAsia="Times New Roman" w:hAnsi="Times New Roman"/>
              </w:rPr>
              <w:t xml:space="preserve">Remarks</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1</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Control Brain</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43</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50</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2.15</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QC PASS</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2</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Control Heart</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20.2</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50</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1.01</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QC PASS</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3</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Control Muscle</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25.2</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50</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1.26</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QC PASS</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4</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Test Brain</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69.6</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50</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3.48</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QC PASS</w:t>
            </w:r>
          </w:p>
        </w:tc>
      </w:tr>
      <w:tr>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5</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Test Heart</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114</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50</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5.7</w:t>
            </w:r>
          </w:p>
        </w:tc>
        <w:tc>
          <w:tcPr>
            <w:tcBorders>
              <w:top w:val="single" w:color="CCCCCC" w:sz="4"/>
              <w:left w:val="single" w:color="CCCCCC" w:sz="4"/>
              <w:bottom w:val="single" w:color="CCCCCC" w:sz="4"/>
              <w:right w:val="single" w:color="CCCCCC" w:sz="4"/>
            </w:tcBorders>
            <w:shd w:fill="FFFFFF"/>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QC PASS</w:t>
            </w:r>
          </w:p>
        </w:tc>
      </w:tr>
      <w:tr>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bCs/>
                <w:color w:val="0F2547"/>
                <w:sz w:val="24"/>
                <w:szCs w:val="24"/>
                <w:rFonts w:ascii="Times New Roman" w:cs="Times New Roman" w:eastAsia="Times New Roman" w:hAnsi="Times New Roman"/>
              </w:rPr>
              <w:t xml:space="preserve">6</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Test Muscle</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45</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50</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2.25</w:t>
            </w:r>
          </w:p>
        </w:tc>
        <w:tc>
          <w:tcPr>
            <w:tcBorders>
              <w:top w:val="single" w:color="CCCCCC" w:sz="4"/>
              <w:left w:val="single" w:color="CCCCCC" w:sz="4"/>
              <w:bottom w:val="single" w:color="CCCCCC" w:sz="4"/>
              <w:right w:val="single" w:color="CCCCCC" w:sz="4"/>
            </w:tcBorders>
            <w:shd w:fill="FAFBFD"/>
            <w:tcMar>
              <w:top w:type="dxa" w:w="120"/>
              <w:left w:type="dxa" w:w="180"/>
              <w:bottom w:type="dxa" w:w="120"/>
              <w:right w:type="dxa" w:w="180"/>
            </w:tcMar>
          </w:tcPr>
          <w:p>
            <w:pPr>
              <w:spacing w:line="276" w:after="60"/>
            </w:pPr>
            <w:r>
              <w:rPr>
                <w:b w:val="false"/>
                <w:bCs w:val="false"/>
                <w:color w:val="1C2430"/>
                <w:sz w:val="24"/>
                <w:szCs w:val="24"/>
                <w:rFonts w:ascii="Times New Roman" w:cs="Times New Roman" w:eastAsia="Times New Roman" w:hAnsi="Times New Roman"/>
              </w:rPr>
              <w:t xml:space="preserve">QC PASS</w:t>
            </w:r>
          </w:p>
        </w:tc>
      </w:tr>
    </w:tbl>
    <w:p>
      <w:r>
        <w:br w:type="page"/>
      </w:r>
    </w:p>
    <w:p>
      <w:pPr>
        <w:pStyle w:val="Heading1"/>
        <w:keepNext/>
        <w:pBdr>
          <w:bottom w:val="single" w:color="0F2547" w:sz="8" w:space="6"/>
        </w:pBdr>
        <w:spacing w:before="360" w:after="180" w:line="360"/>
      </w:pPr>
      <w:r>
        <w:rPr>
          <w:b/>
          <w:bCs/>
          <w:color w:val="0F2547"/>
          <w:sz w:val="32"/>
          <w:szCs w:val="32"/>
          <w:rFonts w:ascii="Times New Roman" w:cs="Times New Roman" w:eastAsia="Times New Roman" w:hAnsi="Times New Roman"/>
        </w:rPr>
        <w:t xml:space="preserve">4. Quantity and quality check (QC) of library on Agilent Tape Station 4150</w:t>
      </w:r>
    </w:p>
    <w:p>
      <w:pPr>
        <w:pStyle w:val="Heading2"/>
        <w:keepNext/>
        <w:spacing w:before="240" w:after="120" w:line="360"/>
      </w:pPr>
      <w:r>
        <w:rPr>
          <w:b/>
          <w:bCs/>
          <w:color w:val="2B6CB0"/>
          <w:sz w:val="24"/>
          <w:szCs w:val="24"/>
          <w:rFonts w:ascii="Times New Roman" w:cs="Times New Roman" w:eastAsia="Times New Roman" w:hAnsi="Times New Roman"/>
        </w:rPr>
        <w:t xml:space="preserve">4.1 TapeStation 4150 Profiles of Library:</w:t>
      </w:r>
    </w:p>
    <w:p>
      <w:pPr>
        <w:spacing w:line="360" w:after="120"/>
      </w:pPr>
      <w:r>
        <w:rPr>
          <w:color w:val="1C2430"/>
          <w:sz w:val="24"/>
          <w:szCs w:val="24"/>
          <w:rFonts w:ascii="Times New Roman" w:cs="Times New Roman" w:eastAsia="Times New Roman" w:hAnsi="Times New Roman"/>
        </w:rPr>
        <w:t xml:space="preserve">Agilent High Sensitivity D1000 ScreenTape® profiles for prepared libraries are shown below:</w:t>
      </w:r>
    </w:p>
    <w:p>
      <w:pPr>
        <w:spacing w:line="360" w:after="60"/>
      </w:pPr>
      <w:r>
        <w:rPr>
          <w:b/>
          <w:bCs/>
          <w:color w:val="1C2430"/>
          <w:sz w:val="24"/>
          <w:szCs w:val="24"/>
          <w:rFonts w:ascii="Times New Roman" w:cs="Times New Roman" w:eastAsia="Times New Roman" w:hAnsi="Times New Roman"/>
        </w:rPr>
        <w:t xml:space="preserve">Sample Profile: Control Brain</w:t>
      </w:r>
    </w:p>
    <w:p>
      <w:pPr>
        <w:spacing w:before="180" w:after="180"/>
        <w:jc w:val="center"/>
      </w:pPr>
      <w:r>
        <w:drawing>
          <wp:inline distT="0" distB="0" distL="0" distR="0">
            <wp:extent cx="4286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905000"/>
                    </a:xfrm>
                    <a:prstGeom prst="rect">
                      <a:avLst/>
                    </a:prstGeom>
                  </pic:spPr>
                </pic:pic>
              </a:graphicData>
            </a:graphic>
          </wp:inline>
        </w:drawing>
      </w:r>
    </w:p>
    <w:p>
      <w:pPr>
        <w:spacing w:before="120" w:after="240"/>
        <w:jc w:val="center"/>
      </w:pPr>
      <w:r>
        <w:rPr>
          <w:i/>
          <w:iCs/>
          <w:color w:val="5B6B7F"/>
          <w:sz w:val="18"/>
          <w:szCs w:val="18"/>
          <w:rFonts w:ascii="Times New Roman" w:cs="Times New Roman" w:eastAsia="Times New Roman" w:hAnsi="Times New Roman"/>
        </w:rPr>
        <w:t xml:space="preserve">Figure 2: Agilent TapeStation Size Distribution Profile for sample Control Brain</w:t>
      </w:r>
    </w:p>
    <w:p>
      <w:pPr>
        <w:spacing w:line="360" w:after="60"/>
      </w:pPr>
      <w:r>
        <w:rPr>
          <w:b/>
          <w:bCs/>
          <w:color w:val="1C2430"/>
          <w:sz w:val="24"/>
          <w:szCs w:val="24"/>
          <w:rFonts w:ascii="Times New Roman" w:cs="Times New Roman" w:eastAsia="Times New Roman" w:hAnsi="Times New Roman"/>
        </w:rPr>
        <w:t xml:space="preserve">Sample Profile: Control Heart</w:t>
      </w:r>
    </w:p>
    <w:p>
      <w:pPr>
        <w:spacing w:before="180" w:after="180"/>
        <w:jc w:val="center"/>
      </w:pPr>
      <w:r>
        <w:drawing>
          <wp:inline distT="0" distB="0" distL="0" distR="0">
            <wp:extent cx="4286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905000"/>
                    </a:xfrm>
                    <a:prstGeom prst="rect">
                      <a:avLst/>
                    </a:prstGeom>
                  </pic:spPr>
                </pic:pic>
              </a:graphicData>
            </a:graphic>
          </wp:inline>
        </w:drawing>
      </w:r>
    </w:p>
    <w:p>
      <w:pPr>
        <w:spacing w:before="120" w:after="240"/>
        <w:jc w:val="center"/>
      </w:pPr>
      <w:r>
        <w:rPr>
          <w:i/>
          <w:iCs/>
          <w:color w:val="5B6B7F"/>
          <w:sz w:val="18"/>
          <w:szCs w:val="18"/>
          <w:rFonts w:ascii="Times New Roman" w:cs="Times New Roman" w:eastAsia="Times New Roman" w:hAnsi="Times New Roman"/>
        </w:rPr>
        <w:t xml:space="preserve">Figure 3: Agilent TapeStation Size Distribution Profile for sample Control Heart</w:t>
      </w:r>
    </w:p>
    <w:p>
      <w:pPr>
        <w:spacing w:line="360" w:after="60"/>
      </w:pPr>
      <w:r>
        <w:rPr>
          <w:b/>
          <w:bCs/>
          <w:color w:val="1C2430"/>
          <w:sz w:val="24"/>
          <w:szCs w:val="24"/>
          <w:rFonts w:ascii="Times New Roman" w:cs="Times New Roman" w:eastAsia="Times New Roman" w:hAnsi="Times New Roman"/>
        </w:rPr>
        <w:t xml:space="preserve">Sample Profile: Control Muscle</w:t>
      </w:r>
    </w:p>
    <w:p>
      <w:pPr>
        <w:spacing w:before="180" w:after="180"/>
        <w:jc w:val="center"/>
      </w:pPr>
      <w:r>
        <w:drawing>
          <wp:inline distT="0" distB="0" distL="0" distR="0">
            <wp:extent cx="4286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1905000"/>
                    </a:xfrm>
                    <a:prstGeom prst="rect">
                      <a:avLst/>
                    </a:prstGeom>
                  </pic:spPr>
                </pic:pic>
              </a:graphicData>
            </a:graphic>
          </wp:inline>
        </w:drawing>
      </w:r>
    </w:p>
    <w:p>
      <w:pPr>
        <w:spacing w:before="120" w:after="240"/>
        <w:jc w:val="center"/>
      </w:pPr>
      <w:r>
        <w:rPr>
          <w:i/>
          <w:iCs/>
          <w:color w:val="5B6B7F"/>
          <w:sz w:val="18"/>
          <w:szCs w:val="18"/>
          <w:rFonts w:ascii="Times New Roman" w:cs="Times New Roman" w:eastAsia="Times New Roman" w:hAnsi="Times New Roman"/>
        </w:rPr>
        <w:t xml:space="preserve">Figure 4: Agilent TapeStation Size Distribution Profile for sample Control Muscle</w:t>
      </w:r>
    </w:p>
    <w:p>
      <w:pPr>
        <w:spacing w:line="360" w:after="60"/>
      </w:pPr>
      <w:r>
        <w:rPr>
          <w:b/>
          <w:bCs/>
          <w:color w:val="1C2430"/>
          <w:sz w:val="24"/>
          <w:szCs w:val="24"/>
          <w:rFonts w:ascii="Times New Roman" w:cs="Times New Roman" w:eastAsia="Times New Roman" w:hAnsi="Times New Roman"/>
        </w:rPr>
        <w:t xml:space="preserve">Sample Profile: Test Brain</w:t>
      </w:r>
    </w:p>
    <w:p>
      <w:pPr>
        <w:spacing w:before="180" w:after="180"/>
        <w:jc w:val="center"/>
      </w:pPr>
      <w:r>
        <w:drawing>
          <wp:inline distT="0" distB="0" distL="0" distR="0">
            <wp:extent cx="4286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1905000"/>
                    </a:xfrm>
                    <a:prstGeom prst="rect">
                      <a:avLst/>
                    </a:prstGeom>
                  </pic:spPr>
                </pic:pic>
              </a:graphicData>
            </a:graphic>
          </wp:inline>
        </w:drawing>
      </w:r>
    </w:p>
    <w:p>
      <w:pPr>
        <w:spacing w:before="120" w:after="240"/>
        <w:jc w:val="center"/>
      </w:pPr>
      <w:r>
        <w:rPr>
          <w:i/>
          <w:iCs/>
          <w:color w:val="5B6B7F"/>
          <w:sz w:val="18"/>
          <w:szCs w:val="18"/>
          <w:rFonts w:ascii="Times New Roman" w:cs="Times New Roman" w:eastAsia="Times New Roman" w:hAnsi="Times New Roman"/>
        </w:rPr>
        <w:t xml:space="preserve">Figure 5: Agilent TapeStation Size Distribution Profile for sample Test Brain</w:t>
      </w:r>
    </w:p>
    <w:p>
      <w:r>
        <w:br w:type="page"/>
      </w:r>
    </w:p>
    <w:p>
      <w:pPr>
        <w:pStyle w:val="Heading1"/>
        <w:keepNext/>
        <w:pBdr>
          <w:bottom w:val="single" w:color="0F2547" w:sz="8" w:space="6"/>
        </w:pBdr>
        <w:spacing w:before="360" w:after="180" w:line="360"/>
      </w:pPr>
      <w:r>
        <w:rPr>
          <w:b/>
          <w:bCs/>
          <w:color w:val="0F2547"/>
          <w:sz w:val="32"/>
          <w:szCs w:val="32"/>
          <w:rFonts w:ascii="Times New Roman" w:cs="Times New Roman" w:eastAsia="Times New Roman" w:hAnsi="Times New Roman"/>
        </w:rPr>
        <w:t xml:space="preserve">5. Conclusions:</w:t>
      </w:r>
    </w:p>
    <w:p>
      <w:pPr>
        <w:spacing w:line="360" w:after="120"/>
      </w:pPr>
      <w:r>
        <w:rPr>
          <w:color w:val="1C2430"/>
          <w:sz w:val="24"/>
          <w:szCs w:val="24"/>
          <w:rFonts w:ascii="Times New Roman" w:cs="Times New Roman" w:eastAsia="Times New Roman" w:hAnsi="Times New Roman"/>
        </w:rPr>
        <w:t xml:space="preserve">•  - The library was prepared from the samples using KAPA RNA HyperPrep Kit with RiboErase (HMR), Cat no: KK8561.
- The average size of library is 342bp.
- The library will be sequenced on Illumina Novaseq X plus platform using 2x150 bp PE chemistry.</w:t>
      </w:r>
    </w:p>
    <w:p>
      <w:pPr>
        <w:spacing w:before="360" w:after="360"/>
      </w:pPr>
    </w:p>
    <w:p>
      <w:pPr>
        <w:jc w:val="center"/>
      </w:pPr>
      <w:r>
        <w:rPr>
          <w:b/>
          <w:bCs/>
          <w:color w:val="5B6B7F"/>
          <w:sz w:val="20"/>
          <w:szCs w:val="20"/>
          <w:rFonts w:ascii="Times New Roman" w:cs="Times New Roman" w:eastAsia="Times New Roman" w:hAnsi="Times New Roman"/>
        </w:rPr>
        <w:t xml:space="preserve">[END OF INTERIM REPORT]</w:t>
      </w:r>
    </w:p>
    <w:sectPr>
      <w:headerReference w:type="default" r:id="rId6"/>
      <w:footerReference w:type="default" r:id="rId7"/>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EDF0F4" w:sz="4"/>
        <w:left w:val="none"/>
        <w:bottom w:val="none"/>
        <w:right w:val="none"/>
        <w:insideH w:val="single" w:color="auto" w:sz="4"/>
        <w:insideV w:val="single" w:color="auto" w:sz="4"/>
      </w:tblBorders>
    </w:tblPr>
    <w:tblGrid>
      <w:gridCol w:w="100"/>
      <w:gridCol w:w="100"/>
    </w:tblGrid>
    <w:tr>
      <w:tc>
        <w:tcPr>
          <w:tcW w:type="pct" w:w="50%"/>
          <w:tcBorders>
            <w:top w:val="single" w:color="EDF0F4" w:sz="4"/>
            <w:left w:val="none"/>
            <w:bottom w:val="none"/>
            <w:right w:val="none"/>
          </w:tcBorders>
        </w:tcPr>
        <w:p>
          <w:pPr>
            <w:jc w:val="left"/>
          </w:pPr>
          <w:r>
            <w:rPr>
              <w:i/>
              <w:iCs/>
              <w:color w:val="5B6B7F"/>
              <w:sz w:val="16"/>
              <w:szCs w:val="16"/>
              <w:rFonts w:ascii="Times New Roman" w:cs="Times New Roman" w:eastAsia="Times New Roman" w:hAnsi="Times New Roman"/>
            </w:rPr>
            <w:t xml:space="preserve">Confidential - For Internal Use Only</w:t>
          </w:r>
        </w:p>
      </w:tc>
      <w:tc>
        <w:tcPr>
          <w:tcW w:type="pct" w:w="50%"/>
          <w:tcBorders>
            <w:top w:val="single" w:color="EDF0F4" w:sz="4"/>
            <w:left w:val="none"/>
            <w:bottom w:val="none"/>
            <w:right w:val="none"/>
          </w:tcBorders>
        </w:tcPr>
        <w:p>
          <w:pPr>
            <w:jc w:val="right"/>
          </w:pPr>
          <w:r>
            <w:rPr>
              <w:color w:val="5B6B7F"/>
              <w:sz w:val="16"/>
              <w:szCs w:val="16"/>
              <w:rFonts w:ascii="Times New Roman" w:cs="Times New Roman" w:eastAsia="Times New Roman" w:hAnsi="Times New Roman"/>
            </w:rPr>
            <w:t xml:space="preserve">Page </w:t>
          </w:r>
          <w:fldSimple w:instr="PAGE"/>
          <w:r>
            <w:rPr>
              <w:color w:val="5B6B7F"/>
              <w:sz w:val="16"/>
              <w:szCs w:val="16"/>
              <w:rFonts w:ascii="Times New Roman" w:cs="Times New Roman" w:eastAsia="Times New Roman" w:hAnsi="Times New Roman"/>
            </w:rPr>
            <w:t xml:space="preserve"> of </w:t>
          </w:r>
          <w:fldSimple w:instr="NUMPAGES"/>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EDF0F4" w:sz="4"/>
        <w:right w:val="none"/>
        <w:insideH w:val="single" w:color="auto" w:sz="4"/>
        <w:insideV w:val="single" w:color="auto" w:sz="4"/>
      </w:tblBorders>
    </w:tblPr>
    <w:tblGrid>
      <w:gridCol w:w="100"/>
      <w:gridCol w:w="100"/>
    </w:tblGrid>
    <w:tr>
      <w:tc>
        <w:tcPr>
          <w:tcW w:type="pct" w:w="50%"/>
          <w:tcBorders>
            <w:top w:val="none"/>
            <w:left w:val="none"/>
            <w:bottom w:val="single" w:color="EDF0F4" w:sz="4"/>
            <w:right w:val="none"/>
          </w:tcBorders>
        </w:tcPr>
        <w:p>
          <w:pPr>
            <w:jc w:val="left"/>
          </w:pPr>
          <w:r>
            <w:rPr>
              <w:color w:val="5B6B7F"/>
              <w:sz w:val="16"/>
              <w:szCs w:val="16"/>
              <w:rFonts w:ascii="Times New Roman" w:cs="Times New Roman" w:eastAsia="Times New Roman" w:hAnsi="Times New Roman"/>
            </w:rPr>
            <w:t xml:space="preserve">Unigenome  |  Interim Report  |  Project ID: 260086</w:t>
          </w:r>
        </w:p>
      </w:tc>
      <w:tc>
        <w:tcPr>
          <w:tcW w:type="pct" w:w="50%"/>
          <w:tcBorders>
            <w:top w:val="none"/>
            <w:left w:val="none"/>
            <w:bottom w:val="single" w:color="EDF0F4" w:sz="4"/>
            <w:right w:val="none"/>
          </w:tcBorders>
        </w:tcPr>
        <w:p>
          <w:pPr>
            <w:jc w:val="right"/>
          </w:pPr>
          <w:r>
            <w:rPr>
              <w:color w:val="5B6B7F"/>
              <w:sz w:val="16"/>
              <w:szCs w:val="16"/>
              <w:rFonts w:ascii="Times New Roman" w:cs="Times New Roman" w:eastAsia="Times New Roman" w:hAnsi="Times New Roman"/>
            </w:rPr>
            <w:t xml:space="preserve">Date: 24-06-2026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psfr5kxjioupkn5kzz7j9.png"/><Relationship Id="rId9" Type="http://schemas.openxmlformats.org/officeDocument/2006/relationships/image" Target="media/-sif0kmx_zqaeydczyxqs.png"/><Relationship Id="rId10" Type="http://schemas.openxmlformats.org/officeDocument/2006/relationships/image" Target="media/wquu8yxwsiavptiqsg_rp.png"/><Relationship Id="rId11" Type="http://schemas.openxmlformats.org/officeDocument/2006/relationships/image" Target="media/htsdeibtwdmewbszxc3bn.png"/><Relationship Id="rId12" Type="http://schemas.openxmlformats.org/officeDocument/2006/relationships/image" Target="media/zufj2q8byvh_qaa_e4wnx.png"/><Relationship Id="rId13" Type="http://schemas.openxmlformats.org/officeDocument/2006/relationships/image" Target="media/fgu9jf2p1wqv01gx7obsa.png"/><Relationship Id="rId14" Type="http://schemas.openxmlformats.org/officeDocument/2006/relationships/image" Target="media/xgve5o6n9mh1unfumbabc.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2026-06-24T11:13:11.728Z</dcterms:created>
  <dcterms:modified xsi:type="dcterms:W3CDTF">2026-06-24T11:13:11.728Z</dcterms:modified>
</cp:coreProperties>
</file>

<file path=docProps/custom.xml><?xml version="1.0" encoding="utf-8"?>
<Properties xmlns="http://schemas.openxmlformats.org/officeDocument/2006/custom-properties" xmlns:vt="http://schemas.openxmlformats.org/officeDocument/2006/docPropsVTypes"/>
</file>