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56"/>
        </w:rPr>
        <w:t>AMRUTAM BACKEND</w:t>
        <w:br/>
      </w:r>
      <w:r>
        <w:rPr>
          <w:color w:val="464646"/>
          <w:sz w:val="40"/>
        </w:rPr>
        <w:t>System Architecture Document</w:t>
      </w:r>
    </w:p>
    <w:p>
      <w:pPr>
        <w:jc w:val="center"/>
      </w:pPr>
      <w:r>
        <w:rPr>
          <w:i/>
        </w:rPr>
        <w:br/>
        <w:t>Technical design, workflows, reliability, security, and scaling considerations</w:t>
      </w:r>
    </w:p>
    <w:p>
      <w:pPr>
        <w:jc w:val="center"/>
      </w:pPr>
      <w:r>
        <w:br/>
        <w:t>Version 1.0  |  28 October 2026</w:t>
      </w:r>
    </w:p>
    <w:p>
      <w:r>
        <w:br w:type="page"/>
      </w:r>
    </w:p>
    <w:p>
      <w:pPr>
        <w:pStyle w:val="Heading1"/>
      </w:pPr>
      <w:r>
        <w:t>1. Purpose and Scope</w:t>
      </w:r>
    </w:p>
    <w:p>
      <w:r>
        <w:t>This document describes the architecture of the Amrutam telemedicine backend assignment. The assignment calls for a backend that supports user lifecycle and roles, doctor availability and booking, consultations and prescriptions, search and filtering, compliance/audit trails, and administrative analytics. It also emphasizes security, reliability, observability, scalability, containerized deployment, and automated testing.</w:t>
      </w:r>
    </w:p>
    <w:p>
      <w:r>
        <w:t>Evidence note: the assignment brief and the earlier repository audit summary are available, but the source files could not be directly re-inspected during preparation of this document. The known project context identifies a TypeScript/Node.js Express API, PostgreSQL accessed through pg, and Redis in the project configuration. Exact route names, schema columns, transaction boundaries, Redis call sites, and deployment configuration must be verified against the current repository. Proposed controls are labeled as recommendations rather than deployed capabilities.</w:t>
      </w:r>
    </w:p>
    <w:p>
      <w:pPr>
        <w:pStyle w:val="Heading1"/>
      </w:pPr>
      <w:r>
        <w:t>2. Design Goals and Requirements</w:t>
      </w:r>
    </w:p>
    <w:p>
      <w:pPr>
        <w:pStyle w:val="ListBullet"/>
      </w:pPr>
      <w:r>
        <w:t>Maintain clear separation between HTTP routing, authentication/authorization, validation, and domain logic.</w:t>
      </w:r>
    </w:p>
    <w:p>
      <w:pPr>
        <w:pStyle w:val="ListBullet"/>
      </w:pPr>
      <w:r>
        <w:t>Use PostgreSQL as the authoritative store for persistent relational data and booking integrity.</w:t>
      </w:r>
    </w:p>
    <w:p>
      <w:pPr>
        <w:pStyle w:val="ListBullet"/>
      </w:pPr>
      <w:r>
        <w:t>Protect patient, consultation, prescription, and payment-related data with least-privilege access.</w:t>
      </w:r>
    </w:p>
    <w:p>
      <w:pPr>
        <w:pStyle w:val="ListBullet"/>
      </w:pPr>
      <w:r>
        <w:t>Prevent duplicate bookings and inconsistent state under concurrent requests.</w:t>
      </w:r>
    </w:p>
    <w:p>
      <w:pPr>
        <w:pStyle w:val="ListBullet"/>
      </w:pPr>
      <w:r>
        <w:t>Provide observable and recoverable behavior through logs, health checks, metrics, and operational procedures.</w:t>
      </w:r>
    </w:p>
    <w:p>
      <w:pPr>
        <w:pStyle w:val="ListBullet"/>
      </w:pPr>
      <w:r>
        <w:t>Keep the implementation simple and modular; avoid presenting logical modules as separately deployed microservices.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Assignment requirement</w:t>
            </w:r>
          </w:p>
        </w:tc>
        <w:tc>
          <w:tcPr>
            <w:tcW w:type="dxa" w:w="3312"/>
          </w:tcPr>
          <w:p>
            <w:r>
              <w:rPr>
                <w:b/>
              </w:rPr>
              <w:t>Target</w:t>
            </w:r>
          </w:p>
        </w:tc>
        <w:tc>
          <w:tcPr>
            <w:tcW w:type="dxa" w:w="3312"/>
          </w:tcPr>
          <w:p>
            <w:r>
              <w:rPr>
                <w:b/>
              </w:rPr>
              <w:t>Evidence status</w:t>
            </w:r>
          </w:p>
        </w:tc>
      </w:tr>
      <w:tr>
        <w:tc>
          <w:tcPr>
            <w:tcW w:type="dxa" w:w="3312"/>
          </w:tcPr>
          <w:p>
            <w:r>
              <w:t>Daily consultation capacity</w:t>
            </w:r>
          </w:p>
        </w:tc>
        <w:tc>
          <w:tcPr>
            <w:tcW w:type="dxa" w:w="3312"/>
          </w:tcPr>
          <w:p>
            <w:r>
              <w:t>100,000/day</w:t>
            </w:r>
          </w:p>
        </w:tc>
        <w:tc>
          <w:tcPr>
            <w:tcW w:type="dxa" w:w="3312"/>
          </w:tcPr>
          <w:p>
            <w:r>
              <w:t>Target only; no benchmark verified</w:t>
            </w:r>
          </w:p>
        </w:tc>
      </w:tr>
      <w:tr>
        <w:tc>
          <w:tcPr>
            <w:tcW w:type="dxa" w:w="3312"/>
          </w:tcPr>
          <w:p>
            <w:r>
              <w:t>Read latency</w:t>
            </w:r>
          </w:p>
        </w:tc>
        <w:tc>
          <w:tcPr>
            <w:tcW w:type="dxa" w:w="3312"/>
          </w:tcPr>
          <w:p>
            <w:r>
              <w:t>p95 &lt; 200 ms</w:t>
            </w:r>
          </w:p>
        </w:tc>
        <w:tc>
          <w:tcPr>
            <w:tcW w:type="dxa" w:w="3312"/>
          </w:tcPr>
          <w:p>
            <w:r>
              <w:t>Target only; no benchmark verified</w:t>
            </w:r>
          </w:p>
        </w:tc>
      </w:tr>
      <w:tr>
        <w:tc>
          <w:tcPr>
            <w:tcW w:type="dxa" w:w="3312"/>
          </w:tcPr>
          <w:p>
            <w:r>
              <w:t>Write latency</w:t>
            </w:r>
          </w:p>
        </w:tc>
        <w:tc>
          <w:tcPr>
            <w:tcW w:type="dxa" w:w="3312"/>
          </w:tcPr>
          <w:p>
            <w:r>
              <w:t>p95 &lt; 500 ms</w:t>
            </w:r>
          </w:p>
        </w:tc>
        <w:tc>
          <w:tcPr>
            <w:tcW w:type="dxa" w:w="3312"/>
          </w:tcPr>
          <w:p>
            <w:r>
              <w:t>Target only; no benchmark verified</w:t>
            </w:r>
          </w:p>
        </w:tc>
      </w:tr>
      <w:tr>
        <w:tc>
          <w:tcPr>
            <w:tcW w:type="dxa" w:w="3312"/>
          </w:tcPr>
          <w:p>
            <w:r>
              <w:t>Availability</w:t>
            </w:r>
          </w:p>
        </w:tc>
        <w:tc>
          <w:tcPr>
            <w:tcW w:type="dxa" w:w="3312"/>
          </w:tcPr>
          <w:p>
            <w:r>
              <w:t>99.95%</w:t>
            </w:r>
          </w:p>
        </w:tc>
        <w:tc>
          <w:tcPr>
            <w:tcW w:type="dxa" w:w="3312"/>
          </w:tcPr>
          <w:p>
            <w:r>
              <w:t>Target only; no production SLO evidence verified</w:t>
            </w:r>
          </w:p>
        </w:tc>
      </w:tr>
    </w:tbl>
    <w:p/>
    <w:p>
      <w:pPr>
        <w:pStyle w:val="Heading1"/>
      </w:pPr>
      <w:r>
        <w:t>3. High-Level Architecture</w:t>
      </w:r>
    </w:p>
    <w:p>
      <w:r>
        <w:t>The known design is a modular Express application backed by PostgreSQL. Redis is present in the project context, but its precise responsibilities must be confirmed by inspecting the code. The following is a logical view, not a deployment diagram asserting that each domain is an independent service.</w:t>
      </w:r>
    </w:p>
    <w:p>
      <w:r>
        <w:rPr>
          <w:rFonts w:ascii="Consolas" w:hAnsi="Consolas"/>
          <w:sz w:val="18"/>
        </w:rPr>
        <w:t>Client (web/mobile)</w:t>
        <w:br/>
        <w:t xml:space="preserve">      | HTTP/HTTPS</w:t>
        <w:br/>
        <w:t xml:space="preserve">      v</w:t>
        <w:br/>
        <w:t>Express API server</w:t>
        <w:br/>
        <w:t xml:space="preserve">      |</w:t>
        <w:br/>
        <w:t xml:space="preserve">      +--&gt; Authentication and authorization middleware</w:t>
        <w:br/>
        <w:t xml:space="preserve">      +--&gt; Input validation and error handling</w:t>
        <w:br/>
        <w:t xml:space="preserve">      |</w:t>
        <w:br/>
        <w:t xml:space="preserve">      +--&gt; Domain modules</w:t>
        <w:br/>
        <w:t xml:space="preserve">      |      +-- Auth and users</w:t>
        <w:br/>
        <w:t xml:space="preserve">      |      +-- Doctors and availability</w:t>
        <w:br/>
        <w:t xml:space="preserve">      |      +-- Bookings</w:t>
        <w:br/>
        <w:t xml:space="preserve">      |      +-- Consultations and prescriptions</w:t>
        <w:br/>
        <w:t xml:space="preserve">      |      +-- Payments</w:t>
        <w:br/>
        <w:t xml:space="preserve">      |      +-- Search and admin analytics</w:t>
        <w:br/>
        <w:t xml:space="preserve">      |</w:t>
        <w:br/>
        <w:t xml:space="preserve">      +--&gt; PostgreSQL (persistent source of truth)</w:t>
        <w:br/>
        <w:t xml:space="preserve">      +--&gt; Redis (role/use to verify from call sites)</w:t>
        <w:br/>
        <w:t xml:space="preserve">      +--&gt; Application logs / health checks (coverage to verify)</w:t>
      </w:r>
    </w:p>
    <w:p>
      <w:pPr>
        <w:pStyle w:val="Heading2"/>
      </w:pPr>
      <w:r>
        <w:t>3.1 Component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Responsibility</w:t>
            </w:r>
          </w:p>
        </w:tc>
        <w:tc>
          <w:tcPr>
            <w:tcW w:type="dxa" w:w="3312"/>
          </w:tcPr>
          <w:p>
            <w:r>
              <w:rPr>
                <w:b/>
              </w:rPr>
              <w:t>Verification needed</w:t>
            </w:r>
          </w:p>
        </w:tc>
      </w:tr>
      <w:tr>
        <w:tc>
          <w:tcPr>
            <w:tcW w:type="dxa" w:w="3312"/>
          </w:tcPr>
          <w:p>
            <w:r>
              <w:t>Express API</w:t>
            </w:r>
          </w:p>
        </w:tc>
        <w:tc>
          <w:tcPr>
            <w:tcW w:type="dxa" w:w="3312"/>
          </w:tcPr>
          <w:p>
            <w:r>
              <w:t>Accept HTTP requests and dispatch to registered routes.</w:t>
            </w:r>
          </w:p>
        </w:tc>
        <w:tc>
          <w:tcPr>
            <w:tcW w:type="dxa" w:w="3312"/>
          </w:tcPr>
          <w:p>
            <w:r>
              <w:t>Confirm base path, port, middleware order.</w:t>
            </w:r>
          </w:p>
        </w:tc>
      </w:tr>
      <w:tr>
        <w:tc>
          <w:tcPr>
            <w:tcW w:type="dxa" w:w="3312"/>
          </w:tcPr>
          <w:p>
            <w:r>
              <w:t>Authentication</w:t>
            </w:r>
          </w:p>
        </w:tc>
        <w:tc>
          <w:tcPr>
            <w:tcW w:type="dxa" w:w="3312"/>
          </w:tcPr>
          <w:p>
            <w:r>
              <w:t>Identify the caller from credentials/tokens.</w:t>
            </w:r>
          </w:p>
        </w:tc>
        <w:tc>
          <w:tcPr>
            <w:tcW w:type="dxa" w:w="3312"/>
          </w:tcPr>
          <w:p>
            <w:r>
              <w:t>Confirm token type, expiry, refresh and revocation behavior.</w:t>
            </w:r>
          </w:p>
        </w:tc>
      </w:tr>
      <w:tr>
        <w:tc>
          <w:tcPr>
            <w:tcW w:type="dxa" w:w="3312"/>
          </w:tcPr>
          <w:p>
            <w:r>
              <w:t>Authorization</w:t>
            </w:r>
          </w:p>
        </w:tc>
        <w:tc>
          <w:tcPr>
            <w:tcW w:type="dxa" w:w="3312"/>
          </w:tcPr>
          <w:p>
            <w:r>
              <w:t>Restrict actions by role and resource ownership.</w:t>
            </w:r>
          </w:p>
        </w:tc>
        <w:tc>
          <w:tcPr>
            <w:tcW w:type="dxa" w:w="3312"/>
          </w:tcPr>
          <w:p>
            <w:r>
              <w:t>Audit every protected route and object-level check.</w:t>
            </w:r>
          </w:p>
        </w:tc>
      </w:tr>
      <w:tr>
        <w:tc>
          <w:tcPr>
            <w:tcW w:type="dxa" w:w="3312"/>
          </w:tcPr>
          <w:p>
            <w:r>
              <w:t>Validation</w:t>
            </w:r>
          </w:p>
        </w:tc>
        <w:tc>
          <w:tcPr>
            <w:tcW w:type="dxa" w:w="3312"/>
          </w:tcPr>
          <w:p>
            <w:r>
              <w:t>Reject malformed or invalid input before business operations.</w:t>
            </w:r>
          </w:p>
        </w:tc>
        <w:tc>
          <w:tcPr>
            <w:tcW w:type="dxa" w:w="3312"/>
          </w:tcPr>
          <w:p>
            <w:r>
              <w:t>Confirm schemas and coverage across endpoints.</w:t>
            </w:r>
          </w:p>
        </w:tc>
      </w:tr>
      <w:tr>
        <w:tc>
          <w:tcPr>
            <w:tcW w:type="dxa" w:w="3312"/>
          </w:tcPr>
          <w:p>
            <w:r>
              <w:t>Domain modules</w:t>
            </w:r>
          </w:p>
        </w:tc>
        <w:tc>
          <w:tcPr>
            <w:tcW w:type="dxa" w:w="3312"/>
          </w:tcPr>
          <w:p>
            <w:r>
              <w:t>Implement healthcare workflows and business rules.</w:t>
            </w:r>
          </w:p>
        </w:tc>
        <w:tc>
          <w:tcPr>
            <w:tcW w:type="dxa" w:w="3312"/>
          </w:tcPr>
          <w:p>
            <w:r>
              <w:t>Match module names and routes to source.</w:t>
            </w:r>
          </w:p>
        </w:tc>
      </w:tr>
      <w:tr>
        <w:tc>
          <w:tcPr>
            <w:tcW w:type="dxa" w:w="3312"/>
          </w:tcPr>
          <w:p>
            <w:r>
              <w:t>PostgreSQL</w:t>
            </w:r>
          </w:p>
        </w:tc>
        <w:tc>
          <w:tcPr>
            <w:tcW w:type="dxa" w:w="3312"/>
          </w:tcPr>
          <w:p>
            <w:r>
              <w:t>Persist users, availability, bookings and other implemented data.</w:t>
            </w:r>
          </w:p>
        </w:tc>
        <w:tc>
          <w:tcPr>
            <w:tcW w:type="dxa" w:w="3312"/>
          </w:tcPr>
          <w:p>
            <w:r>
              <w:t>Confirm actual tables, keys, indexes and constraints.</w:t>
            </w:r>
          </w:p>
        </w:tc>
      </w:tr>
      <w:tr>
        <w:tc>
          <w:tcPr>
            <w:tcW w:type="dxa" w:w="3312"/>
          </w:tcPr>
          <w:p>
            <w:r>
              <w:t>Redis</w:t>
            </w:r>
          </w:p>
        </w:tc>
        <w:tc>
          <w:tcPr>
            <w:tcW w:type="dxa" w:w="3312"/>
          </w:tcPr>
          <w:p>
            <w:r>
              <w:t>Transient support if used by application features.</w:t>
            </w:r>
          </w:p>
        </w:tc>
        <w:tc>
          <w:tcPr>
            <w:tcW w:type="dxa" w:w="3312"/>
          </w:tcPr>
          <w:p>
            <w:r>
              <w:t>Confirm exact usage, TTLs and outage behavior.</w:t>
            </w:r>
          </w:p>
        </w:tc>
      </w:tr>
    </w:tbl>
    <w:p/>
    <w:p>
      <w:pPr>
        <w:pStyle w:val="Heading1"/>
      </w:pPr>
      <w:r>
        <w:t>4. Request and Authentication Flow</w:t>
      </w:r>
    </w:p>
    <w:p>
      <w:pPr>
        <w:pStyle w:val="ListNumber"/>
      </w:pPr>
      <w:r>
        <w:t>A client sends a request to the configured API base URL.</w:t>
      </w:r>
    </w:p>
    <w:p>
      <w:pPr>
        <w:pStyle w:val="ListNumber"/>
      </w:pPr>
      <w:r>
        <w:t>Express applies the global middleware configured by the application.</w:t>
      </w:r>
    </w:p>
    <w:p>
      <w:pPr>
        <w:pStyle w:val="ListNumber"/>
      </w:pPr>
      <w:r>
        <w:t>For protected routes, authentication middleware validates the supplied credentials or token.</w:t>
      </w:r>
    </w:p>
    <w:p>
      <w:pPr>
        <w:pStyle w:val="ListNumber"/>
      </w:pPr>
      <w:r>
        <w:t>Authorization checks determine whether the identity may perform the requested action and access the target resource.</w:t>
      </w:r>
    </w:p>
    <w:p>
      <w:pPr>
        <w:pStyle w:val="ListNumber"/>
      </w:pPr>
      <w:r>
        <w:t>Validation checks request parameters and body fields before invoking domain logic.</w:t>
      </w:r>
    </w:p>
    <w:p>
      <w:pPr>
        <w:pStyle w:val="ListNumber"/>
      </w:pPr>
      <w:r>
        <w:t>The domain layer executes business rules and interacts with PostgreSQL, and with Redis only where the implementation requires it.</w:t>
      </w:r>
    </w:p>
    <w:p>
      <w:pPr>
        <w:pStyle w:val="ListNumber"/>
      </w:pPr>
      <w:r>
        <w:t>The API returns the existing response envelope and status code. The central error handler should avoid leaking stack traces or sensitive values.</w:t>
      </w:r>
    </w:p>
    <w:p>
      <w:r>
        <w:t>Authentication and authorization must remain distinct. A valid patient token must not automatically allow access to another patient's consultation, and a doctor must not be able to change another doctor's availability without explicit permission.</w:t>
      </w:r>
    </w:p>
    <w:p>
      <w:pPr>
        <w:pStyle w:val="Heading1"/>
      </w:pPr>
      <w:r>
        <w:t>5. Booking Workflow and Concurrency</w:t>
      </w:r>
    </w:p>
    <w:p>
      <w:r>
        <w:t>Booking is a critical consistency workflow. An application-level availability check followed by an insert is not enough to prevent two simultaneous requests from selecting the same slot. PostgreSQL should enforce the final invariant through a transaction and a database-level uniqueness/exclusion rule or a suitable row-locking strategy.</w:t>
      </w:r>
    </w:p>
    <w:p>
      <w:pPr>
        <w:pStyle w:val="ListNumber"/>
      </w:pPr>
      <w:r>
        <w:t>Authenticate the patient and validate the requested doctor, slot, and booking details.</w:t>
      </w:r>
    </w:p>
    <w:p>
      <w:pPr>
        <w:pStyle w:val="ListNumber"/>
      </w:pPr>
      <w:r>
        <w:t>Begin a database transaction.</w:t>
      </w:r>
    </w:p>
    <w:p>
      <w:pPr>
        <w:pStyle w:val="ListNumber"/>
      </w:pPr>
      <w:r>
        <w:t>Read and validate availability while protecting the relevant slot against concurrent booking.</w:t>
      </w:r>
    </w:p>
    <w:p>
      <w:pPr>
        <w:pStyle w:val="ListNumber"/>
      </w:pPr>
      <w:r>
        <w:t>Create the booking and any database state that must change atomically.</w:t>
      </w:r>
    </w:p>
    <w:p>
      <w:pPr>
        <w:pStyle w:val="ListNumber"/>
      </w:pPr>
      <w:r>
        <w:t>Commit on success; roll back on conflict or failure.</w:t>
      </w:r>
    </w:p>
    <w:p>
      <w:pPr>
        <w:pStyle w:val="ListNumber"/>
      </w:pPr>
      <w:r>
        <w:t>Return a conflict response when the slot is no longer available, using the actual API contract.</w:t>
      </w:r>
    </w:p>
    <w:p>
      <w:r>
        <w:t>The earlier audit summary reported booking concurrency/idempotency tests, but the exact transaction and idempotency implementation was not available for direct source verification. Confirm whether idempotency keys are persisted, how payload mismatches are handled, and whether duplicate requests replay the original response. Payment idempotency was previously flagged as partial and should not be represented as complete.</w:t>
      </w:r>
    </w:p>
    <w:p>
      <w:pPr>
        <w:pStyle w:val="Heading1"/>
      </w:pPr>
      <w:r>
        <w:t>6. Database Model and Transaction Boundaries</w:t>
      </w:r>
    </w:p>
    <w:p>
      <w:r>
        <w:t>The assignment's core data model names users, profiles, doctors, availability_slots, consultations, prescriptions, payments, and audit_logs. These are assignment requirements; their presence and exact relationships in the current schema must be checked before treating them as implemented.</w:t>
      </w:r>
    </w:p>
    <w:p>
      <w:pPr>
        <w:pStyle w:val="ListBullet"/>
      </w:pPr>
      <w:r>
        <w:t>Document primary keys, foreign keys, uniqueness constraints, indexes, nullability, and state constraints from the real schema.</w:t>
      </w:r>
    </w:p>
    <w:p>
      <w:pPr>
        <w:pStyle w:val="ListBullet"/>
      </w:pPr>
      <w:r>
        <w:t>Keep related writes in one transaction when they must succeed or fail together.</w:t>
      </w:r>
    </w:p>
    <w:p>
      <w:pPr>
        <w:pStyle w:val="ListBullet"/>
      </w:pPr>
      <w:r>
        <w:t>Avoid long-running transactions around external HTTP/payment calls.</w:t>
      </w:r>
    </w:p>
    <w:p>
      <w:pPr>
        <w:pStyle w:val="ListBullet"/>
      </w:pPr>
      <w:r>
        <w:t>For payment flows, use explicit state transitions, verified provider callbacks, and provider idempotency where available.</w:t>
      </w:r>
    </w:p>
    <w:p>
      <w:pPr>
        <w:pStyle w:val="ListBullet"/>
      </w:pPr>
      <w:r>
        <w:t>If audit logs are written separately from business data, assess crash windows that could leave an incomplete audit trail.</w:t>
      </w:r>
    </w:p>
    <w:p>
      <w:r>
        <w:t>The ER diagram should be regenerated from the actual schema rather than treating the assignment's expected entities as proof that each table already exists.</w:t>
      </w:r>
    </w:p>
    <w:p>
      <w:pPr>
        <w:pStyle w:val="Heading1"/>
      </w:pPr>
      <w:r>
        <w:t>7. Redis and Caching Strategy</w:t>
      </w:r>
    </w:p>
    <w:p>
      <w:r>
        <w:t>Redis is mentioned in the project audit context, but its exact responsibilities were not verified during this document pass. Do not claim that Redis provides caching, distributed locks, rate limiting, or presence until call sites confirm that behavior.</w:t>
      </w:r>
    </w:p>
    <w:p>
      <w:pPr>
        <w:pStyle w:val="ListBullet"/>
      </w:pPr>
      <w:r>
        <w:t>For every cached value, document its key format, TTL, invalidation strategy, and sensitivity.</w:t>
      </w:r>
    </w:p>
    <w:p>
      <w:pPr>
        <w:pStyle w:val="ListBullet"/>
      </w:pPr>
      <w:r>
        <w:t>Use PostgreSQL constraints as the final booking-integrity control; do not rely solely on a cache lock.</w:t>
      </w:r>
    </w:p>
    <w:p>
      <w:pPr>
        <w:pStyle w:val="ListBullet"/>
      </w:pPr>
      <w:r>
        <w:t>Set connection timeouts and define behavior during Redis outages.</w:t>
      </w:r>
    </w:p>
    <w:p>
      <w:pPr>
        <w:pStyle w:val="ListBullet"/>
      </w:pPr>
      <w:r>
        <w:t>If Redis supports rate limiting, test whether an outage fails open or fails closed.</w:t>
      </w:r>
    </w:p>
    <w:p>
      <w:pPr>
        <w:pStyle w:val="ListBullet"/>
      </w:pPr>
      <w:r>
        <w:t>Avoid caching clinical information without a defined access-control and retention policy.</w:t>
      </w:r>
    </w:p>
    <w:p>
      <w:pPr>
        <w:pStyle w:val="Heading1"/>
      </w:pPr>
      <w:r>
        <w:t>8. Idempotency, Retries, and Background Work</w:t>
      </w:r>
    </w:p>
    <w:p>
      <w:r>
        <w:t>The earlier audit reported booking idempotency/concurrency tests but flagged payment idempotency as partial. Every write endpoint should define its duplicate-request behavior. A robust idempotency record usually binds a key to a request fingerprint and the completed result; reuse of the same key with a different payload should be rejected.</w:t>
      </w:r>
    </w:p>
    <w:p>
      <w:r>
        <w:t>Recommended retry policy: retry only transient failures, use exponential backoff with jitter, cap attempts, and apply a deadline. Do not retry non-idempotent booking/payment operations unless idempotency is guaranteed. A durable queue or worker is a proposed scaling option; the earlier audit did not verify background processing as implemented.</w:t>
      </w:r>
    </w:p>
    <w:p>
      <w:pPr>
        <w:pStyle w:val="Heading1"/>
      </w:pPr>
      <w:r>
        <w:t>9. Scalability and Performance</w:t>
      </w:r>
    </w:p>
    <w:p>
      <w:r>
        <w:t>The target of 100,000 consultations per day should be validated with representative traffic and data distributions. Average daily volume alone does not establish peak throughput, latency, or database capacity.</w:t>
      </w:r>
    </w:p>
    <w:p>
      <w:pPr>
        <w:pStyle w:val="ListNumber"/>
      </w:pPr>
      <w:r>
        <w:t>Measure endpoint-level p50/p95/p99 latency, request rate, error rate, and database pool wait time.</w:t>
      </w:r>
    </w:p>
    <w:p>
      <w:pPr>
        <w:pStyle w:val="ListNumber"/>
      </w:pPr>
      <w:r>
        <w:t>Inspect query plans and add indexes based on actual filters, joins, and ordering.</w:t>
      </w:r>
    </w:p>
    <w:p>
      <w:pPr>
        <w:pStyle w:val="ListNumber"/>
      </w:pPr>
      <w:r>
        <w:t>Bound connection pools, request body sizes, and request/dependency timeouts.</w:t>
      </w:r>
    </w:p>
    <w:p>
      <w:pPr>
        <w:pStyle w:val="ListNumber"/>
      </w:pPr>
      <w:r>
        <w:t>Move slow, non-critical work to a durable background queue if the workload requires it.</w:t>
      </w:r>
    </w:p>
    <w:p>
      <w:pPr>
        <w:pStyle w:val="ListNumber"/>
      </w:pPr>
      <w:r>
        <w:t>Evaluate read replicas or table partitioning only after measurements show a bottleneck.</w:t>
      </w:r>
    </w:p>
    <w:p>
      <w:pPr>
        <w:pStyle w:val="ListNumber"/>
      </w:pPr>
      <w:r>
        <w:t>Run load tests for concurrent booking attempts and verify database conflict handling.</w:t>
      </w:r>
    </w:p>
    <w:p>
      <w:pPr>
        <w:pStyle w:val="Heading1"/>
      </w:pPr>
      <w:r>
        <w:t>10. Security Considerations</w:t>
      </w:r>
    </w:p>
    <w:p>
      <w:pPr>
        <w:pStyle w:val="ListBullet"/>
      </w:pPr>
      <w:r>
        <w:t>Enforce role-based and object-level authorization on all sensitive routes.</w:t>
      </w:r>
    </w:p>
    <w:p>
      <w:pPr>
        <w:pStyle w:val="ListBullet"/>
      </w:pPr>
      <w:r>
        <w:t>Use parameterized SQL queries and validate all external input.</w:t>
      </w:r>
    </w:p>
    <w:p>
      <w:pPr>
        <w:pStyle w:val="ListBullet"/>
      </w:pPr>
      <w:r>
        <w:t>Apply rate limiting to login, token refresh, booking, and other abuse-prone endpoints.</w:t>
      </w:r>
    </w:p>
    <w:p>
      <w:pPr>
        <w:pStyle w:val="ListBullet"/>
      </w:pPr>
      <w:r>
        <w:t>Keep secrets out of source control and logs; use deployment secret management where available.</w:t>
      </w:r>
    </w:p>
    <w:p>
      <w:pPr>
        <w:pStyle w:val="ListBullet"/>
      </w:pPr>
      <w:r>
        <w:t>Use HTTPS and verify database/cache transport and at-rest encryption in the actual deployment.</w:t>
      </w:r>
    </w:p>
    <w:p>
      <w:pPr>
        <w:pStyle w:val="ListBullet"/>
      </w:pPr>
      <w:r>
        <w:t>Define token revocation, key rotation, audit retention, and dependency scanning procedures.</w:t>
      </w:r>
    </w:p>
    <w:p>
      <w:pPr>
        <w:pStyle w:val="ListBullet"/>
      </w:pPr>
      <w:r>
        <w:t>Do not claim MFA, encryption, key rotation, or automated scanning unless supported by code/configuration and evidence.</w:t>
      </w:r>
    </w:p>
    <w:p>
      <w:r>
        <w:t>The earlier audit summary identified MFA and several security/operational controls as missing or unverified. See the separate threat model and security checklist for the threat register and verification actions.</w:t>
      </w:r>
    </w:p>
    <w:p>
      <w:pPr>
        <w:pStyle w:val="Heading1"/>
      </w:pPr>
      <w:r>
        <w:t>11. Observability and Operations</w:t>
      </w:r>
    </w:p>
    <w:p>
      <w:r>
        <w:t>The assignment expects logs, metrics, and traces. The earlier audit did not verify a complete metrics/tracing/alerting setup. Confirm the actual health endpoint, log format, correlation-ID behavior, and metrics before documenting them as available.</w:t>
      </w:r>
    </w:p>
    <w:p>
      <w:pPr>
        <w:pStyle w:val="ListBullet"/>
      </w:pPr>
      <w:r>
        <w:t>Capture request duration, status code, route template, and correlation ID without logging tokens or clinical payloads.</w:t>
      </w:r>
    </w:p>
    <w:p>
      <w:pPr>
        <w:pStyle w:val="ListBullet"/>
      </w:pPr>
      <w:r>
        <w:t>Monitor p95/p99 latency, 5xx rate, throughput, database pool saturation, query latency, and dependency failures.</w:t>
      </w:r>
    </w:p>
    <w:p>
      <w:pPr>
        <w:pStyle w:val="ListBullet"/>
      </w:pPr>
      <w:r>
        <w:t>Define liveness separately from readiness; readiness should reflect required dependencies.</w:t>
      </w:r>
    </w:p>
    <w:p>
      <w:pPr>
        <w:pStyle w:val="ListBullet"/>
      </w:pPr>
      <w:r>
        <w:t>Add distributed tracing if cross-component diagnosis is required.</w:t>
      </w:r>
    </w:p>
    <w:p>
      <w:pPr>
        <w:pStyle w:val="ListBullet"/>
      </w:pPr>
      <w:r>
        <w:t>Create operational runbooks for database outages, Redis outages, payment failures, and elevated booking conflicts.</w:t>
      </w:r>
    </w:p>
    <w:p>
      <w:pPr>
        <w:pStyle w:val="Heading1"/>
      </w:pPr>
      <w:r>
        <w:t>12. Deployment, Backup, and Recovery</w:t>
      </w:r>
    </w:p>
    <w:p>
      <w:r>
        <w:t>Local Docker configuration does not itself prove production deployment or CI/CD. Confirm whether Compose starts the API or only its dependencies, and verify all actual environment-variable names from .env.example and configuration code.</w:t>
      </w:r>
    </w:p>
    <w:p>
      <w:pPr>
        <w:pStyle w:val="ListBullet"/>
      </w:pPr>
      <w:r>
        <w:t>Keep database and Redis private; expose only the required API ingress.</w:t>
      </w:r>
    </w:p>
    <w:p>
      <w:pPr>
        <w:pStyle w:val="ListBullet"/>
      </w:pPr>
      <w:r>
        <w:t>Use separate development, test, and production secrets with least-privilege credentials.</w:t>
      </w:r>
    </w:p>
    <w:p>
      <w:pPr>
        <w:pStyle w:val="ListBullet"/>
      </w:pPr>
      <w:r>
        <w:t>Run migrations as a controlled release step and avoid concurrent migration processes.</w:t>
      </w:r>
    </w:p>
    <w:p>
      <w:pPr>
        <w:pStyle w:val="ListBullet"/>
      </w:pPr>
      <w:r>
        <w:t>Define backup frequency, retention, encryption, recovery point objective (RPO), and recovery time objective (RTO).</w:t>
      </w:r>
    </w:p>
    <w:p>
      <w:pPr>
        <w:pStyle w:val="ListBullet"/>
      </w:pPr>
      <w:r>
        <w:t>Test restoration regularly; a backup is not validated until a restore succeeds.</w:t>
      </w:r>
    </w:p>
    <w:p>
      <w:pPr>
        <w:pStyle w:val="ListBullet"/>
      </w:pPr>
      <w:r>
        <w:t>Add CI checks for install, type-check/build, tests, dependency scanning, and OpenAPI validation if no pipeline exists.</w:t>
      </w:r>
    </w:p>
    <w:p>
      <w:pPr>
        <w:pStyle w:val="Heading1"/>
      </w:pPr>
      <w:r>
        <w:t>13. Known Gaps and Recommended Priorities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Priority</w:t>
            </w:r>
          </w:p>
        </w:tc>
        <w:tc>
          <w:tcPr>
            <w:tcW w:type="dxa" w:w="3312"/>
          </w:tcPr>
          <w:p>
            <w:r>
              <w:rPr>
                <w:b/>
              </w:rPr>
              <w:t>Gap / uncertainty</w:t>
            </w:r>
          </w:p>
        </w:tc>
        <w:tc>
          <w:tcPr>
            <w:tcW w:type="dxa" w:w="3312"/>
          </w:tcPr>
          <w:p>
            <w:r>
              <w:rPr>
                <w:b/>
              </w:rPr>
              <w:t>Recommended next action</w:t>
            </w:r>
          </w:p>
        </w:tc>
      </w:tr>
      <w:tr>
        <w:tc>
          <w:tcPr>
            <w:tcW w:type="dxa" w:w="3312"/>
          </w:tcPr>
          <w:p>
            <w:r>
              <w:t>P0</w:t>
            </w:r>
          </w:p>
        </w:tc>
        <w:tc>
          <w:tcPr>
            <w:tcW w:type="dxa" w:w="3312"/>
          </w:tcPr>
          <w:p>
            <w:r>
              <w:t>Exact route and schema details not reverified for this document</w:t>
            </w:r>
          </w:p>
        </w:tc>
        <w:tc>
          <w:tcPr>
            <w:tcW w:type="dxa" w:w="3312"/>
          </w:tcPr>
          <w:p>
            <w:r>
              <w:t>Inspect current checkout and make docs code-exact.</w:t>
            </w:r>
          </w:p>
        </w:tc>
      </w:tr>
      <w:tr>
        <w:tc>
          <w:tcPr>
            <w:tcW w:type="dxa" w:w="3312"/>
          </w:tcPr>
          <w:p>
            <w:r>
              <w:t>P0</w:t>
            </w:r>
          </w:p>
        </w:tc>
        <w:tc>
          <w:tcPr>
            <w:tcW w:type="dxa" w:w="3312"/>
          </w:tcPr>
          <w:p>
            <w:r>
              <w:t>OpenAPI contract is a scaffold until routes are inventoried</w:t>
            </w:r>
          </w:p>
        </w:tc>
        <w:tc>
          <w:tcPr>
            <w:tcW w:type="dxa" w:w="3312"/>
          </w:tcPr>
          <w:p>
            <w:r>
              <w:t>Document every implemented method/path, body, response, auth rule and status.</w:t>
            </w:r>
          </w:p>
        </w:tc>
      </w:tr>
      <w:tr>
        <w:tc>
          <w:tcPr>
            <w:tcW w:type="dxa" w:w="3312"/>
          </w:tcPr>
          <w:p>
            <w:r>
              <w:t>P0</w:t>
            </w:r>
          </w:p>
        </w:tc>
        <w:tc>
          <w:tcPr>
            <w:tcW w:type="dxa" w:w="3312"/>
          </w:tcPr>
          <w:p>
            <w:r>
              <w:t>Booking/payment idempotency semantics need confirmation</w:t>
            </w:r>
          </w:p>
        </w:tc>
        <w:tc>
          <w:tcPr>
            <w:tcW w:type="dxa" w:w="3312"/>
          </w:tcPr>
          <w:p>
            <w:r>
              <w:t>Verify database constraints and test concurrent/replayed requests.</w:t>
            </w:r>
          </w:p>
        </w:tc>
      </w:tr>
      <w:tr>
        <w:tc>
          <w:tcPr>
            <w:tcW w:type="dxa" w:w="3312"/>
          </w:tcPr>
          <w:p>
            <w:r>
              <w:t>P1</w:t>
            </w:r>
          </w:p>
        </w:tc>
        <w:tc>
          <w:tcPr>
            <w:tcW w:type="dxa" w:w="3312"/>
          </w:tcPr>
          <w:p>
            <w:r>
              <w:t>MFA, encryption and key rotation evidence unverified</w:t>
            </w:r>
          </w:p>
        </w:tc>
        <w:tc>
          <w:tcPr>
            <w:tcW w:type="dxa" w:w="3312"/>
          </w:tcPr>
          <w:p>
            <w:r>
              <w:t>Implement or explicitly document gaps and deployment controls.</w:t>
            </w:r>
          </w:p>
        </w:tc>
      </w:tr>
      <w:tr>
        <w:tc>
          <w:tcPr>
            <w:tcW w:type="dxa" w:w="3312"/>
          </w:tcPr>
          <w:p>
            <w:r>
              <w:t>P1</w:t>
            </w:r>
          </w:p>
        </w:tc>
        <w:tc>
          <w:tcPr>
            <w:tcW w:type="dxa" w:w="3312"/>
          </w:tcPr>
          <w:p>
            <w:r>
              <w:t>Metrics, tracing, alerting and CI/CD not fully verified</w:t>
            </w:r>
          </w:p>
        </w:tc>
        <w:tc>
          <w:tcPr>
            <w:tcW w:type="dxa" w:w="3312"/>
          </w:tcPr>
          <w:p>
            <w:r>
              <w:t>Add measurable signals and automated checks.</w:t>
            </w:r>
          </w:p>
        </w:tc>
      </w:tr>
      <w:tr>
        <w:tc>
          <w:tcPr>
            <w:tcW w:type="dxa" w:w="3312"/>
          </w:tcPr>
          <w:p>
            <w:r>
              <w:t>P1</w:t>
            </w:r>
          </w:p>
        </w:tc>
        <w:tc>
          <w:tcPr>
            <w:tcW w:type="dxa" w:w="3312"/>
          </w:tcPr>
          <w:p>
            <w:r>
              <w:t>Backup/restore and DR procedure not verified</w:t>
            </w:r>
          </w:p>
        </w:tc>
        <w:tc>
          <w:tcPr>
            <w:tcW w:type="dxa" w:w="3312"/>
          </w:tcPr>
          <w:p>
            <w:r>
              <w:t>Define RPO/RTO and perform a restore drill.</w:t>
            </w:r>
          </w:p>
        </w:tc>
      </w:tr>
      <w:tr>
        <w:tc>
          <w:tcPr>
            <w:tcW w:type="dxa" w:w="3312"/>
          </w:tcPr>
          <w:p>
            <w:r>
              <w:t>P2</w:t>
            </w:r>
          </w:p>
        </w:tc>
        <w:tc>
          <w:tcPr>
            <w:tcW w:type="dxa" w:w="3312"/>
          </w:tcPr>
          <w:p>
            <w:r>
              <w:t>Capacity targets have no benchmark evidence</w:t>
            </w:r>
          </w:p>
        </w:tc>
        <w:tc>
          <w:tcPr>
            <w:tcW w:type="dxa" w:w="3312"/>
          </w:tcPr>
          <w:p>
            <w:r>
              <w:t>Run load tests and publish measured results.</w:t>
            </w:r>
          </w:p>
        </w:tc>
      </w:tr>
      <w:tr>
        <w:tc>
          <w:tcPr>
            <w:tcW w:type="dxa" w:w="3312"/>
          </w:tcPr>
          <w:p>
            <w:r>
              <w:t>P2</w:t>
            </w:r>
          </w:p>
        </w:tc>
        <w:tc>
          <w:tcPr>
            <w:tcW w:type="dxa" w:w="3312"/>
          </w:tcPr>
          <w:p>
            <w:r>
              <w:t>Five-minute demo video is a submission deliverable</w:t>
            </w:r>
          </w:p>
        </w:tc>
        <w:tc>
          <w:tcPr>
            <w:tcW w:type="dxa" w:w="3312"/>
          </w:tcPr>
          <w:p>
            <w:r>
              <w:t>Record core workflows, tests, and known limitations.</w:t>
            </w:r>
          </w:p>
        </w:tc>
      </w:tr>
    </w:tbl>
    <w:p/>
    <w:p>
      <w:r>
        <w:t>This document is a design and documentation artifact, not proof that every recommended control is already implemented. Before submission, cross-check all implementation claims against source code, configuration, and test output.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Amrutam Backend •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AMRUTAM BACKEND  |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