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Project 4: Volatility Strategy Backtester</w:t>
      </w:r>
    </w:p>
    <w:p>
      <w:pPr>
        <w:spacing w:after="40"/>
      </w:pPr>
      <w:r>
        <w:rPr>
          <w:rFonts w:ascii="Calibri" w:cs="Calibri" w:eastAsia="Calibri" w:hAnsi="Calibri"/>
          <w:i/>
          <w:iCs/>
          <w:color w:val="444444"/>
          <w:sz w:val="26"/>
          <w:szCs w:val="26"/>
        </w:rPr>
        <w:t xml:space="preserve">Build Log &amp; Methodology</w:t>
      </w:r>
    </w:p>
    <w:p>
      <w:pPr>
        <w:pBdr>
          <w:bottom w:val="single" w:color="1F3864" w:sz="6"/>
        </w:pBdr>
        <w:spacing w:after="300"/>
      </w:pPr>
      <w:r>
        <w:rPr>
          <w:rFonts w:ascii="Calibri" w:cs="Calibri" w:eastAsia="Calibri" w:hAnsi="Calibri"/>
          <w:i/>
          <w:iCs/>
          <w:color w:val="1E7B34"/>
          <w:sz w:val="20"/>
          <w:szCs w:val="20"/>
        </w:rPr>
        <w:t xml:space="preserve">Status: Steps 1–10 complete. Backtest has been run end-to-end and produced real results — see Section 8.</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bCs/>
          <w:i w:val="false"/>
          <w:iCs w:val="false"/>
          <w:sz w:val="22"/>
          <w:szCs w:val="22"/>
        </w:rPr>
        <w:t xml:space="preserve">Note on ticker consistency (fix before presenting this):</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val="false"/>
          <w:bCs w:val="false"/>
          <w:i/>
          <w:iCs/>
          <w:sz w:val="22"/>
          <w:szCs w:val="22"/>
        </w:rPr>
        <w:t xml:space="preserve">Steps 1–9 above walk through AAPL as the single worked example (the $112.18 → $105.50 test case). The final run() / stats() function defaults to ticker="TSLA", so the 24-event results in Section 8 are for TSLA, not AAPL. The code is ticker-agnostic and correct either way — this is just a documentation/consistency point, but it's the kind of detail an interviewer will probe ("wait, which stock is this?"), so either rerun stats("AAPL") for consistency with the walkthrough, or explicitly note in the README that AAPL was used to illustrate the mechanics and TSLA was used for the full historical test.</w:t>
      </w:r>
    </w:p>
    <w:p>
      <w:pPr>
        <w:spacing w:after="200"/>
      </w:pPr>
    </w:p>
    <w:p>
      <w:pPr>
        <w:pStyle w:val="Heading1"/>
        <w:spacing w:after="160" w:before="320"/>
      </w:pPr>
      <w:r>
        <w:t xml:space="preserve">1. Goal</w:t>
      </w:r>
    </w:p>
    <w:p>
      <w:pPr>
        <w:spacing w:after="160"/>
      </w:pPr>
      <w:r>
        <w:rPr>
          <w:rFonts w:ascii="Calibri" w:cs="Calibri" w:eastAsia="Calibri" w:hAnsi="Calibri"/>
          <w:sz w:val="22"/>
          <w:szCs w:val="22"/>
        </w:rPr>
        <w:t xml:space="preserve">Backtest a simple, honest volatility trading strategy: buying an at-the-money straddle (one call + one put, same strike and expiry) ahead of a stock's earnings announcement, then closing it out shortly after — to see whether the strategy would have made money historically, and more importantly, to understand under what conditions it does or doesn't.</w:t>
      </w:r>
    </w:p>
    <w:p>
      <w:pPr>
        <w:spacing w:after="160"/>
      </w:pPr>
      <w:r>
        <w:rPr>
          <w:rFonts w:ascii="Calibri" w:cs="Calibri" w:eastAsia="Calibri" w:hAnsi="Calibri"/>
          <w:i/>
          <w:iCs/>
          <w:sz w:val="22"/>
          <w:szCs w:val="22"/>
        </w:rPr>
        <w:t xml:space="preserve">Core question being tested: did the stock's actual (realized) move around each earnings event exceed what was already priced into the straddle at entry (via the assumed volatility), or not?</w:t>
      </w:r>
    </w:p>
    <w:p>
      <w:pPr>
        <w:pStyle w:val="Heading1"/>
        <w:spacing w:after="160" w:before="320"/>
      </w:pPr>
      <w:r>
        <w:t xml:space="preserve">2. Why a Straddle, and Why Earnings</w:t>
      </w:r>
    </w:p>
    <w:p>
      <w:pPr>
        <w:pStyle w:val="Heading3"/>
        <w:spacing w:after="100" w:before="200"/>
      </w:pPr>
      <w:r>
        <w:t xml:space="preserve">Straddle</w:t>
      </w:r>
    </w:p>
    <w:p>
      <w:pPr>
        <w:spacing w:after="160"/>
      </w:pPr>
      <w:r>
        <w:rPr>
          <w:rFonts w:ascii="Calibri" w:cs="Calibri" w:eastAsia="Calibri" w:hAnsi="Calibri"/>
          <w:sz w:val="22"/>
          <w:szCs w:val="22"/>
        </w:rPr>
        <w:t xml:space="preserve">Buying both a call and a put at the same strike/expiry is a pure bet on the size of a move, not its direction. If the stock moves a lot either way, the combined position can profit even though only one leg ends up in-the-money.</w:t>
      </w:r>
    </w:p>
    <w:p>
      <w:pPr>
        <w:pStyle w:val="Heading3"/>
        <w:spacing w:after="100" w:before="200"/>
      </w:pPr>
      <w:r>
        <w:t xml:space="preserve">Earnings</w:t>
      </w:r>
    </w:p>
    <w:p>
      <w:pPr>
        <w:spacing w:after="160"/>
      </w:pPr>
      <w:r>
        <w:rPr>
          <w:rFonts w:ascii="Calibri" w:cs="Calibri" w:eastAsia="Calibri" w:hAnsi="Calibri"/>
          <w:sz w:val="22"/>
          <w:szCs w:val="22"/>
        </w:rPr>
        <w:t xml:space="preserve">A known, recurring, dated event where realized volatility tends to jump — a natural, repeatable test case for a volatility strategy, and directly connected to the term-structure concept from Project 3 (implied volatility typically rises into the event and collapses right after, an effect known as “IV crush”).</w:t>
      </w:r>
    </w:p>
    <w:p>
      <w:pPr>
        <w:pStyle w:val="Heading1"/>
        <w:spacing w:after="160" w:before="320"/>
      </w:pPr>
      <w:r>
        <w:t xml:space="preserve">3. The Real-Data Limitation We Had to Work Around</w:t>
      </w:r>
    </w:p>
    <w:p>
      <w:pPr>
        <w:spacing w:after="160"/>
      </w:pPr>
      <w:r>
        <w:rPr>
          <w:rFonts w:ascii="Calibri" w:cs="Calibri" w:eastAsia="Calibri" w:hAnsi="Calibri"/>
          <w:sz w:val="22"/>
          <w:szCs w:val="22"/>
        </w:rPr>
        <w:t xml:space="preserve">yfinance only provides current options chains, not historical ones — you can't ask it “what was this option actually priced at back in October 2020.” Two honest options were considered:</w:t>
      </w:r>
    </w:p>
    <w:p>
      <w:pPr>
        <w:pStyle w:val="ListParagraph"/>
        <w:numPr>
          <w:ilvl w:val="0"/>
          <w:numId w:val="2"/>
        </w:numPr>
        <w:spacing w:after="80"/>
      </w:pPr>
      <w:r>
        <w:rPr>
          <w:rFonts w:ascii="Calibri" w:cs="Calibri" w:eastAsia="Calibri" w:hAnsi="Calibri"/>
          <w:sz w:val="22"/>
          <w:szCs w:val="22"/>
        </w:rPr>
        <w:t xml:space="preserve">Option A (chosen): approximate the entry/exit option prices ourselves using our own Black-Scholes pricer, fed with a historical/realized volatility estimate as a stand-in for what implied volatility probably was at the time.</w:t>
      </w:r>
    </w:p>
    <w:p>
      <w:pPr>
        <w:pStyle w:val="ListParagraph"/>
        <w:numPr>
          <w:ilvl w:val="0"/>
          <w:numId w:val="2"/>
        </w:numPr>
        <w:spacing w:after="80"/>
      </w:pPr>
      <w:r>
        <w:rPr>
          <w:rFonts w:ascii="Calibri" w:cs="Calibri" w:eastAsia="Calibri" w:hAnsi="Calibri"/>
          <w:sz w:val="22"/>
          <w:szCs w:val="22"/>
        </w:rPr>
        <w:t xml:space="preserve">Option B (not pursued): find a real historical options data source — more authentic, but out of scope for a quick project and generally not available for free.</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bCs/>
          <w:i w:val="false"/>
          <w:iCs w:val="false"/>
          <w:sz w:val="22"/>
          <w:szCs w:val="22"/>
        </w:rPr>
        <w:t xml:space="preserve">Explicit caveat:</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val="false"/>
          <w:bCs w:val="false"/>
          <w:i/>
          <w:iCs/>
          <w:sz w:val="22"/>
          <w:szCs w:val="22"/>
        </w:rPr>
        <w:t xml:space="preserve">This is a simulation built on a stated, transparent assumption — not real historical option prices. This limitation is worth stating explicitly in any writeup or interview discussion of this project, exactly the way a real quant researcher would caveat a backtest built on approximated inputs.</w:t>
      </w:r>
    </w:p>
    <w:p>
      <w:pPr>
        <w:spacing w:after="200"/>
      </w:pPr>
    </w:p>
    <w:p>
      <w:pPr>
        <w:pStyle w:val="Heading1"/>
        <w:spacing w:after="160" w:before="320"/>
      </w:pPr>
      <w:r>
        <w:t xml:space="preserve">4. Design Decisions Made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shd w:fill="1F3864" w:val="clear"/>
          </w:tcPr>
          <w:p>
            <w:r>
              <w:rPr>
                <w:rFonts w:ascii="Calibri" w:cs="Calibri" w:eastAsia="Calibri" w:hAnsi="Calibri"/>
                <w:b/>
                <w:bCs/>
                <w:color w:val="FFFFFF"/>
                <w:sz w:val="20"/>
                <w:szCs w:val="20"/>
              </w:rPr>
              <w:t xml:space="preserve">Decision</w:t>
            </w:r>
          </w:p>
        </w:tc>
        <w:tc>
          <w:tcPr>
            <w:tcW w:type="dxa" w:w="3400"/>
            <w:shd w:fill="1F3864" w:val="clear"/>
          </w:tcPr>
          <w:p>
            <w:r>
              <w:rPr>
                <w:rFonts w:ascii="Calibri" w:cs="Calibri" w:eastAsia="Calibri" w:hAnsi="Calibri"/>
                <w:b/>
                <w:bCs/>
                <w:color w:val="FFFFFF"/>
                <w:sz w:val="20"/>
                <w:szCs w:val="20"/>
              </w:rPr>
              <w:t xml:space="preserve">Choice Made</w:t>
            </w:r>
          </w:p>
        </w:tc>
        <w:tc>
          <w:tcPr>
            <w:tcW w:type="dxa" w:w="3800"/>
            <w:shd w:fill="1F3864" w:val="clear"/>
          </w:tcPr>
          <w:p>
            <w:r>
              <w:rPr>
                <w:rFonts w:ascii="Calibri" w:cs="Calibri" w:eastAsia="Calibri" w:hAnsi="Calibri"/>
                <w:b/>
                <w:bCs/>
                <w:color w:val="FFFFFF"/>
                <w:sz w:val="20"/>
                <w:szCs w:val="20"/>
              </w:rPr>
              <w:t xml:space="preserve">Reasoning</w:t>
            </w:r>
          </w:p>
        </w:tc>
      </w:tr>
      <w:tr>
        <w:tc>
          <w:tcPr>
            <w:tcW w:type="dxa" w:w="2200"/>
            <w:shd w:fill="FFFFFF" w:val="clear"/>
          </w:tcPr>
          <w:p>
            <w:r>
              <w:rPr>
                <w:rFonts w:ascii="Calibri" w:cs="Calibri" w:eastAsia="Calibri" w:hAnsi="Calibri"/>
                <w:sz w:val="20"/>
                <w:szCs w:val="20"/>
              </w:rPr>
              <w:t xml:space="preserve">Strategy</w:t>
            </w:r>
          </w:p>
        </w:tc>
        <w:tc>
          <w:tcPr>
            <w:tcW w:type="dxa" w:w="3400"/>
            <w:shd w:fill="FFFFFF" w:val="clear"/>
          </w:tcPr>
          <w:p>
            <w:r>
              <w:rPr>
                <w:rFonts w:ascii="Calibri" w:cs="Calibri" w:eastAsia="Calibri" w:hAnsi="Calibri"/>
                <w:sz w:val="20"/>
                <w:szCs w:val="20"/>
              </w:rPr>
              <w:t xml:space="preserve">Long straddle (buy call + put, same strike/expiry)</w:t>
            </w:r>
          </w:p>
        </w:tc>
        <w:tc>
          <w:tcPr>
            <w:tcW w:type="dxa" w:w="3800"/>
            <w:shd w:fill="FFFFFF" w:val="clear"/>
          </w:tcPr>
          <w:p>
            <w:r>
              <w:rPr>
                <w:rFonts w:ascii="Calibri" w:cs="Calibri" w:eastAsia="Calibri" w:hAnsi="Calibri"/>
                <w:sz w:val="20"/>
                <w:szCs w:val="20"/>
              </w:rPr>
              <w:t xml:space="preserve">Pure bet on move size, not direction</w:t>
            </w:r>
          </w:p>
        </w:tc>
      </w:tr>
      <w:tr>
        <w:tc>
          <w:tcPr>
            <w:tcW w:type="dxa" w:w="2200"/>
            <w:shd w:fill="F2F5FA" w:val="clear"/>
          </w:tcPr>
          <w:p>
            <w:r>
              <w:rPr>
                <w:rFonts w:ascii="Calibri" w:cs="Calibri" w:eastAsia="Calibri" w:hAnsi="Calibri"/>
                <w:sz w:val="20"/>
                <w:szCs w:val="20"/>
              </w:rPr>
              <w:t xml:space="preserve">Event type</w:t>
            </w:r>
          </w:p>
        </w:tc>
        <w:tc>
          <w:tcPr>
            <w:tcW w:type="dxa" w:w="3400"/>
            <w:shd w:fill="F2F5FA" w:val="clear"/>
          </w:tcPr>
          <w:p>
            <w:r>
              <w:rPr>
                <w:rFonts w:ascii="Calibri" w:cs="Calibri" w:eastAsia="Calibri" w:hAnsi="Calibri"/>
                <w:sz w:val="20"/>
                <w:szCs w:val="20"/>
              </w:rPr>
              <w:t xml:space="preserve">Earnings announcements</w:t>
            </w:r>
          </w:p>
        </w:tc>
        <w:tc>
          <w:tcPr>
            <w:tcW w:type="dxa" w:w="3800"/>
            <w:shd w:fill="F2F5FA" w:val="clear"/>
          </w:tcPr>
          <w:p>
            <w:r>
              <w:rPr>
                <w:rFonts w:ascii="Calibri" w:cs="Calibri" w:eastAsia="Calibri" w:hAnsi="Calibri"/>
                <w:sz w:val="20"/>
                <w:szCs w:val="20"/>
              </w:rPr>
              <w:t xml:space="preserve">Known, recurring, historically volatile events</w:t>
            </w:r>
          </w:p>
        </w:tc>
      </w:tr>
      <w:tr>
        <w:tc>
          <w:tcPr>
            <w:tcW w:type="dxa" w:w="2200"/>
            <w:shd w:fill="FFFFFF" w:val="clear"/>
          </w:tcPr>
          <w:p>
            <w:r>
              <w:rPr>
                <w:rFonts w:ascii="Calibri" w:cs="Calibri" w:eastAsia="Calibri" w:hAnsi="Calibri"/>
                <w:sz w:val="20"/>
                <w:szCs w:val="20"/>
              </w:rPr>
              <w:t xml:space="preserve">Entry timing</w:t>
            </w:r>
          </w:p>
        </w:tc>
        <w:tc>
          <w:tcPr>
            <w:tcW w:type="dxa" w:w="3400"/>
            <w:shd w:fill="FFFFFF" w:val="clear"/>
          </w:tcPr>
          <w:p>
            <w:r>
              <w:rPr>
                <w:rFonts w:ascii="Calibri" w:cs="Calibri" w:eastAsia="Calibri" w:hAnsi="Calibri"/>
                <w:sz w:val="20"/>
                <w:szCs w:val="20"/>
              </w:rPr>
              <w:t xml:space="preserve">5 trading days before earnings</w:t>
            </w:r>
          </w:p>
        </w:tc>
        <w:tc>
          <w:tcPr>
            <w:tcW w:type="dxa" w:w="3800"/>
            <w:shd w:fill="FFFFFF" w:val="clear"/>
          </w:tcPr>
          <w:p>
            <w:r>
              <w:rPr>
                <w:rFonts w:ascii="Calibri" w:cs="Calibri" w:eastAsia="Calibri" w:hAnsi="Calibri"/>
                <w:sz w:val="20"/>
                <w:szCs w:val="20"/>
              </w:rPr>
              <w:t xml:space="preserve">Balances avoiding excess time decay against staying close enough that the strike remains near-the-money</w:t>
            </w:r>
          </w:p>
        </w:tc>
      </w:tr>
      <w:tr>
        <w:tc>
          <w:tcPr>
            <w:tcW w:type="dxa" w:w="2200"/>
            <w:shd w:fill="F2F5FA" w:val="clear"/>
          </w:tcPr>
          <w:p>
            <w:r>
              <w:rPr>
                <w:rFonts w:ascii="Calibri" w:cs="Calibri" w:eastAsia="Calibri" w:hAnsi="Calibri"/>
                <w:sz w:val="20"/>
                <w:szCs w:val="20"/>
              </w:rPr>
              <w:t xml:space="preserve">Exit timing</w:t>
            </w:r>
          </w:p>
        </w:tc>
        <w:tc>
          <w:tcPr>
            <w:tcW w:type="dxa" w:w="3400"/>
            <w:shd w:fill="F2F5FA" w:val="clear"/>
          </w:tcPr>
          <w:p>
            <w:r>
              <w:rPr>
                <w:rFonts w:ascii="Calibri" w:cs="Calibri" w:eastAsia="Calibri" w:hAnsi="Calibri"/>
                <w:sz w:val="20"/>
                <w:szCs w:val="20"/>
              </w:rPr>
              <w:t xml:space="preserve">1 trading day after earnings</w:t>
            </w:r>
          </w:p>
        </w:tc>
        <w:tc>
          <w:tcPr>
            <w:tcW w:type="dxa" w:w="3800"/>
            <w:shd w:fill="F2F5FA" w:val="clear"/>
          </w:tcPr>
          <w:p>
            <w:r>
              <w:rPr>
                <w:rFonts w:ascii="Calibri" w:cs="Calibri" w:eastAsia="Calibri" w:hAnsi="Calibri"/>
                <w:sz w:val="20"/>
                <w:szCs w:val="20"/>
              </w:rPr>
              <w:t xml:space="preserve">Captures the immediate reaction; avoids mixing in unrelated later drift</w:t>
            </w:r>
          </w:p>
        </w:tc>
      </w:tr>
      <w:tr>
        <w:tc>
          <w:tcPr>
            <w:tcW w:type="dxa" w:w="2200"/>
            <w:shd w:fill="FFFFFF" w:val="clear"/>
          </w:tcPr>
          <w:p>
            <w:r>
              <w:rPr>
                <w:rFonts w:ascii="Calibri" w:cs="Calibri" w:eastAsia="Calibri" w:hAnsi="Calibri"/>
                <w:sz w:val="20"/>
                <w:szCs w:val="20"/>
              </w:rPr>
              <w:t xml:space="preserve">Strike selection</w:t>
            </w:r>
          </w:p>
        </w:tc>
        <w:tc>
          <w:tcPr>
            <w:tcW w:type="dxa" w:w="3400"/>
            <w:shd w:fill="FFFFFF" w:val="clear"/>
          </w:tcPr>
          <w:p>
            <w:r>
              <w:rPr>
                <w:rFonts w:ascii="Calibri" w:cs="Calibri" w:eastAsia="Calibri" w:hAnsi="Calibri"/>
                <w:sz w:val="20"/>
                <w:szCs w:val="20"/>
              </w:rPr>
              <w:t xml:space="preserve">Rounded to nearest $5 from entry price</w:t>
            </w:r>
          </w:p>
        </w:tc>
        <w:tc>
          <w:tcPr>
            <w:tcW w:type="dxa" w:w="3800"/>
            <w:shd w:fill="FFFFFF" w:val="clear"/>
          </w:tcPr>
          <w:p>
            <w:r>
              <w:rPr>
                <w:rFonts w:ascii="Calibri" w:cs="Calibri" w:eastAsia="Calibri" w:hAnsi="Calibri"/>
                <w:sz w:val="20"/>
                <w:szCs w:val="20"/>
              </w:rPr>
              <w:t xml:space="preserve">Approximates a realistic, tradeable at-the-money strike</w:t>
            </w:r>
          </w:p>
        </w:tc>
      </w:tr>
      <w:tr>
        <w:tc>
          <w:tcPr>
            <w:tcW w:type="dxa" w:w="2200"/>
            <w:shd w:fill="F2F5FA" w:val="clear"/>
          </w:tcPr>
          <w:p>
            <w:r>
              <w:rPr>
                <w:rFonts w:ascii="Calibri" w:cs="Calibri" w:eastAsia="Calibri" w:hAnsi="Calibri"/>
                <w:sz w:val="20"/>
                <w:szCs w:val="20"/>
              </w:rPr>
              <w:t xml:space="preserve">Assumed expiry</w:t>
            </w:r>
          </w:p>
        </w:tc>
        <w:tc>
          <w:tcPr>
            <w:tcW w:type="dxa" w:w="3400"/>
            <w:shd w:fill="F2F5FA" w:val="clear"/>
          </w:tcPr>
          <w:p>
            <w:r>
              <w:rPr>
                <w:rFonts w:ascii="Calibri" w:cs="Calibri" w:eastAsia="Calibri" w:hAnsi="Calibri"/>
                <w:sz w:val="20"/>
                <w:szCs w:val="20"/>
              </w:rPr>
              <w:t xml:space="preserve">30 days from entry</w:t>
            </w:r>
          </w:p>
        </w:tc>
        <w:tc>
          <w:tcPr>
            <w:tcW w:type="dxa" w:w="3800"/>
            <w:shd w:fill="F2F5FA" w:val="clear"/>
          </w:tcPr>
          <w:p>
            <w:r>
              <w:rPr>
                <w:rFonts w:ascii="Calibri" w:cs="Calibri" w:eastAsia="Calibri" w:hAnsi="Calibri"/>
                <w:sz w:val="20"/>
                <w:szCs w:val="20"/>
              </w:rPr>
              <w:t xml:space="preserve">Long enough to survive to the event, short enough to be realistic</w:t>
            </w:r>
          </w:p>
        </w:tc>
      </w:tr>
      <w:tr>
        <w:tc>
          <w:tcPr>
            <w:tcW w:type="dxa" w:w="2200"/>
            <w:shd w:fill="FFFFFF" w:val="clear"/>
          </w:tcPr>
          <w:p>
            <w:r>
              <w:rPr>
                <w:rFonts w:ascii="Calibri" w:cs="Calibri" w:eastAsia="Calibri" w:hAnsi="Calibri"/>
                <w:sz w:val="20"/>
                <w:szCs w:val="20"/>
              </w:rPr>
              <w:t xml:space="preserve">Entry volatility source</w:t>
            </w:r>
          </w:p>
        </w:tc>
        <w:tc>
          <w:tcPr>
            <w:tcW w:type="dxa" w:w="3400"/>
            <w:shd w:fill="FFFFFF" w:val="clear"/>
          </w:tcPr>
          <w:p>
            <w:r>
              <w:rPr>
                <w:rFonts w:ascii="Calibri" w:cs="Calibri" w:eastAsia="Calibri" w:hAnsi="Calibri"/>
                <w:sz w:val="20"/>
                <w:szCs w:val="20"/>
              </w:rPr>
              <w:t xml:space="preserve">Historical (realized) close-to-close vol, 30-day lookback, reused from Project 2</w:t>
            </w:r>
          </w:p>
        </w:tc>
        <w:tc>
          <w:tcPr>
            <w:tcW w:type="dxa" w:w="3800"/>
            <w:shd w:fill="FFFFFF" w:val="clear"/>
          </w:tcPr>
          <w:p>
            <w:r>
              <w:rPr>
                <w:rFonts w:ascii="Calibri" w:cs="Calibri" w:eastAsia="Calibri" w:hAnsi="Calibri"/>
                <w:sz w:val="20"/>
                <w:szCs w:val="20"/>
              </w:rPr>
              <w:t xml:space="preserve">No real historical option quotes available via yfinance; this is an honest, stated approximation</w:t>
            </w:r>
          </w:p>
        </w:tc>
      </w:tr>
      <w:tr>
        <w:tc>
          <w:tcPr>
            <w:tcW w:type="dxa" w:w="2200"/>
            <w:shd w:fill="F2F5FA" w:val="clear"/>
          </w:tcPr>
          <w:p>
            <w:r>
              <w:rPr>
                <w:rFonts w:ascii="Calibri" w:cs="Calibri" w:eastAsia="Calibri" w:hAnsi="Calibri"/>
                <w:sz w:val="20"/>
                <w:szCs w:val="20"/>
              </w:rPr>
              <w:t xml:space="preserve">Exit volatility assumption</w:t>
            </w:r>
          </w:p>
        </w:tc>
        <w:tc>
          <w:tcPr>
            <w:tcW w:type="dxa" w:w="3400"/>
            <w:shd w:fill="F2F5FA" w:val="clear"/>
          </w:tcPr>
          <w:p>
            <w:r>
              <w:rPr>
                <w:rFonts w:ascii="Calibri" w:cs="Calibri" w:eastAsia="Calibri" w:hAnsi="Calibri"/>
                <w:sz w:val="20"/>
                <w:szCs w:val="20"/>
              </w:rPr>
              <w:t xml:space="preserve">Same as entry vol (simplification, flagged as a limitation)</w:t>
            </w:r>
          </w:p>
        </w:tc>
        <w:tc>
          <w:tcPr>
            <w:tcW w:type="dxa" w:w="3800"/>
            <w:shd w:fill="F2F5FA" w:val="clear"/>
          </w:tcPr>
          <w:p>
            <w:r>
              <w:rPr>
                <w:rFonts w:ascii="Calibri" w:cs="Calibri" w:eastAsia="Calibri" w:hAnsi="Calibri"/>
                <w:sz w:val="20"/>
                <w:szCs w:val="20"/>
              </w:rPr>
              <w:t xml:space="preserve">Isolates the effect of the stock price move alone; ignores IV crush for now</w:t>
            </w:r>
          </w:p>
        </w:tc>
      </w:tr>
    </w:tbl>
    <w:p>
      <w:pPr>
        <w:spacing w:after="200"/>
      </w:pPr>
    </w:p>
    <w:p>
      <w:pPr>
        <w:pStyle w:val="Heading1"/>
        <w:spacing w:after="160" w:before="320"/>
      </w:pPr>
      <w:r>
        <w:t xml:space="preserve">5. Step-by-Step Build Log</w:t>
      </w:r>
    </w:p>
    <w:p>
      <w:pPr>
        <w:pStyle w:val="Heading2"/>
        <w:spacing w:after="120" w:before="240"/>
      </w:pPr>
      <w:r>
        <w:t xml:space="preserve">Step 1 — Pull historical earnings dates</w:t>
      </w:r>
    </w:p>
    <w:p>
      <w:pPr>
        <w:shd w:fill="F2F2F2" w:val="clear"/>
        <w:spacing w:after="0" w:line="240"/>
        <w:ind w:left="215"/>
      </w:pPr>
      <w:r>
        <w:rPr>
          <w:rFonts w:ascii="Consolas" w:cs="Consolas" w:eastAsia="Consolas" w:hAnsi="Consolas"/>
          <w:sz w:val="18"/>
          <w:szCs w:val="18"/>
        </w:rPr>
        <w:t xml:space="preserve">import yfinance as yf</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ticker = "AAPL"</w:t>
      </w:r>
    </w:p>
    <w:p>
      <w:pPr>
        <w:shd w:fill="F2F2F2" w:val="clear"/>
        <w:spacing w:after="0" w:line="240"/>
        <w:ind w:left="215"/>
      </w:pPr>
      <w:r>
        <w:rPr>
          <w:rFonts w:ascii="Consolas" w:cs="Consolas" w:eastAsia="Consolas" w:hAnsi="Consolas"/>
          <w:sz w:val="18"/>
          <w:szCs w:val="18"/>
        </w:rPr>
        <w:t xml:space="preserve">stock = yf.Ticker(ticker)</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earnings_dates = stock.get_earnings_dates(limit=20)</w:t>
      </w:r>
    </w:p>
    <w:p>
      <w:pPr>
        <w:shd w:fill="F2F2F2" w:val="clear"/>
        <w:spacing w:after="0" w:line="240"/>
        <w:ind w:left="215"/>
      </w:pPr>
      <w:r>
        <w:rPr>
          <w:rFonts w:ascii="Consolas" w:cs="Consolas" w:eastAsia="Consolas" w:hAnsi="Consolas"/>
          <w:sz w:val="18"/>
          <w:szCs w:val="18"/>
        </w:rPr>
        <w:t xml:space="preserve">print(earnings_dates)</w:t>
      </w:r>
    </w:p>
    <w:p>
      <w:pPr>
        <w:spacing w:after="160"/>
      </w:pPr>
      <w:r>
        <w:rPr>
          <w:rFonts w:ascii="Calibri" w:cs="Calibri" w:eastAsia="Calibri" w:hAnsi="Calibri"/>
          <w:sz w:val="22"/>
          <w:szCs w:val="22"/>
        </w:rPr>
        <w:t xml:space="preserve">Result: returned 25 rows (more than the requested limit of 20), going back to 2020, with columns EPS Estimate, Reported EPS, and Surprise(%). The most recent row (2026-10-29) had Reported EPS = NaN, since that earnings date hasn't happened yet.</w:t>
      </w:r>
    </w:p>
    <w:p>
      <w:pPr>
        <w:spacing w:after="160"/>
      </w:pPr>
      <w:r>
        <w:rPr>
          <w:rFonts w:ascii="Calibri" w:cs="Calibri" w:eastAsia="Calibri" w:hAnsi="Calibri"/>
          <w:i/>
          <w:iCs/>
          <w:sz w:val="22"/>
          <w:szCs w:val="22"/>
        </w:rPr>
        <w:t xml:space="preserve">Notable finding: 2021-04-28 (42.16% surprise) and 2021-07-27 (28.18% surprise) stood out as the largest earnings surprises in the dataset — good candidates to check individually once results are aggregated, since large surprises should, in theory, be where this strategy performs best.</w:t>
      </w:r>
    </w:p>
    <w:p>
      <w:pPr>
        <w:pStyle w:val="Heading2"/>
        <w:spacing w:after="120" w:before="240"/>
      </w:pPr>
      <w:r>
        <w:t xml:space="preserve">Step 2 — Clean the earnings data</w:t>
      </w:r>
    </w:p>
    <w:p>
      <w:pPr>
        <w:shd w:fill="F2F2F2" w:val="clear"/>
        <w:spacing w:after="0" w:line="240"/>
        <w:ind w:left="215"/>
      </w:pPr>
      <w:r>
        <w:rPr>
          <w:rFonts w:ascii="Consolas" w:cs="Consolas" w:eastAsia="Consolas" w:hAnsi="Consolas"/>
          <w:sz w:val="18"/>
          <w:szCs w:val="18"/>
        </w:rPr>
        <w:t xml:space="preserve">earnings_dates = earnings_dates.dropna(subset=['Reported EPS'])</w:t>
      </w:r>
    </w:p>
    <w:p>
      <w:pPr>
        <w:shd w:fill="F2F2F2" w:val="clear"/>
        <w:spacing w:after="0" w:line="240"/>
        <w:ind w:left="215"/>
      </w:pPr>
      <w:r>
        <w:rPr>
          <w:rFonts w:ascii="Consolas" w:cs="Consolas" w:eastAsia="Consolas" w:hAnsi="Consolas"/>
          <w:sz w:val="18"/>
          <w:szCs w:val="18"/>
        </w:rPr>
        <w:t xml:space="preserve">earnings_dates = earnings_dates.sort_index()</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print(f"Number of usable historical earnings events: {len(earnings_dates)}")</w:t>
      </w:r>
    </w:p>
    <w:p>
      <w:pPr>
        <w:shd w:fill="F2F2F2" w:val="clear"/>
        <w:spacing w:after="0" w:line="240"/>
        <w:ind w:left="215"/>
      </w:pPr>
      <w:r>
        <w:rPr>
          <w:rFonts w:ascii="Consolas" w:cs="Consolas" w:eastAsia="Consolas" w:hAnsi="Consolas"/>
          <w:sz w:val="18"/>
          <w:szCs w:val="18"/>
        </w:rPr>
        <w:t xml:space="preserve">print(earnings_dates.index[:5])</w:t>
      </w:r>
    </w:p>
    <w:p>
      <w:pPr>
        <w:spacing w:after="160"/>
      </w:pPr>
      <w:r>
        <w:rPr>
          <w:rFonts w:ascii="Calibri" w:cs="Calibri" w:eastAsia="Calibri" w:hAnsi="Calibri"/>
          <w:sz w:val="22"/>
          <w:szCs w:val="22"/>
        </w:rPr>
        <w:t xml:space="preserve">Result: 24 usable historical events remained after dropping the future, not-yet-reported date, sorted chronologically from 2020-10-29 onward.</w:t>
      </w:r>
    </w:p>
    <w:p>
      <w:pPr>
        <w:pStyle w:val="Heading2"/>
        <w:spacing w:after="120" w:before="240"/>
      </w:pPr>
      <w:r>
        <w:t xml:space="preserve">Steps 3–4 — Decide entry/exit timing rules</w:t>
      </w:r>
    </w:p>
    <w:p>
      <w:pPr>
        <w:spacing w:after="160"/>
      </w:pPr>
      <w:r>
        <w:rPr>
          <w:rFonts w:ascii="Calibri" w:cs="Calibri" w:eastAsia="Calibri" w:hAnsi="Calibri"/>
          <w:sz w:val="22"/>
          <w:szCs w:val="22"/>
        </w:rPr>
        <w:t xml:space="preserve">Discussed and settled on: entry 5 trading days before earnings, exit 1 trading day after, ~30 days to expiry at entry. Rejected buying earlier than 5 days despite the intuitive appeal of “cheaper premium,” because:</w:t>
      </w:r>
    </w:p>
    <w:p>
      <w:pPr>
        <w:pStyle w:val="ListParagraph"/>
        <w:numPr>
          <w:ilvl w:val="0"/>
          <w:numId w:val="2"/>
        </w:numPr>
        <w:spacing w:after="80"/>
      </w:pPr>
      <w:r>
        <w:rPr>
          <w:rFonts w:ascii="Calibri" w:cs="Calibri" w:eastAsia="Calibri" w:hAnsi="Calibri"/>
          <w:sz w:val="22"/>
          <w:szCs w:val="22"/>
        </w:rPr>
        <w:t xml:space="preserve">More days between entry and the event mean more Theta (time decay) paid for no additional event-specific exposure.</w:t>
      </w:r>
    </w:p>
    <w:p>
      <w:pPr>
        <w:pStyle w:val="ListParagraph"/>
        <w:numPr>
          <w:ilvl w:val="0"/>
          <w:numId w:val="2"/>
        </w:numPr>
        <w:spacing w:after="80"/>
      </w:pPr>
      <w:r>
        <w:rPr>
          <w:rFonts w:ascii="Calibri" w:cs="Calibri" w:eastAsia="Calibri" w:hAnsi="Calibri"/>
          <w:sz w:val="22"/>
          <w:szCs w:val="22"/>
        </w:rPr>
        <w:t xml:space="preserve">The stock can drift away from the strike before the event even happens, contaminating the strike's at-the-money status with unrelated price movement.</w:t>
      </w:r>
    </w:p>
    <w:p>
      <w:pPr>
        <w:pStyle w:val="ListParagraph"/>
        <w:numPr>
          <w:ilvl w:val="0"/>
          <w:numId w:val="2"/>
        </w:numPr>
        <w:spacing w:after="80"/>
      </w:pPr>
      <w:r>
        <w:rPr>
          <w:rFonts w:ascii="Calibri" w:cs="Calibri" w:eastAsia="Calibri" w:hAnsi="Calibri"/>
          <w:sz w:val="22"/>
          <w:szCs w:val="22"/>
        </w:rPr>
        <w:t xml:space="preserve">Buying too far ahead captures the wrong effect entirely (the IV run-up itself, a separate strategy) rather than isolating the realized-move-vs-priced-in-move question this project is testing.</w:t>
      </w:r>
    </w:p>
    <w:p>
      <w:pPr>
        <w:pStyle w:val="Heading2"/>
        <w:spacing w:after="120" w:before="240"/>
      </w:pPr>
      <w:r>
        <w:t xml:space="preserve">Step 5 — Pull historical stock prices covering all events</w:t>
      </w:r>
    </w:p>
    <w:p>
      <w:pPr>
        <w:shd w:fill="F2F2F2" w:val="clear"/>
        <w:spacing w:after="0" w:line="240"/>
        <w:ind w:left="215"/>
      </w:pPr>
      <w:r>
        <w:rPr>
          <w:rFonts w:ascii="Consolas" w:cs="Consolas" w:eastAsia="Consolas" w:hAnsi="Consolas"/>
          <w:sz w:val="18"/>
          <w:szCs w:val="18"/>
        </w:rPr>
        <w:t xml:space="preserve">history = stock.history(period="6y")</w:t>
      </w:r>
    </w:p>
    <w:p>
      <w:pPr>
        <w:shd w:fill="F2F2F2" w:val="clear"/>
        <w:spacing w:after="0" w:line="240"/>
        <w:ind w:left="215"/>
      </w:pPr>
      <w:r>
        <w:rPr>
          <w:rFonts w:ascii="Consolas" w:cs="Consolas" w:eastAsia="Consolas" w:hAnsi="Consolas"/>
          <w:sz w:val="18"/>
          <w:szCs w:val="18"/>
        </w:rPr>
        <w:t xml:space="preserve">history.index = history.index.tz_localize(None)</w:t>
      </w:r>
    </w:p>
    <w:p>
      <w:pPr>
        <w:shd w:fill="F2F2F2" w:val="clear"/>
        <w:spacing w:after="0" w:line="240"/>
        <w:ind w:left="215"/>
      </w:pPr>
      <w:r>
        <w:rPr>
          <w:rFonts w:ascii="Consolas" w:cs="Consolas" w:eastAsia="Consolas" w:hAnsi="Consolas"/>
          <w:sz w:val="18"/>
          <w:szCs w:val="18"/>
        </w:rPr>
        <w:t xml:space="preserve">print(history.index.min(), "to", history.index.max())</w:t>
      </w:r>
    </w:p>
    <w:p>
      <w:pPr>
        <w:spacing w:after="160"/>
      </w:pPr>
      <w:r>
        <w:rPr>
          <w:rFonts w:ascii="Calibri" w:cs="Calibri" w:eastAsia="Calibri" w:hAnsi="Calibri"/>
          <w:sz w:val="22"/>
          <w:szCs w:val="22"/>
        </w:rPr>
        <w:t xml:space="preserve">Result: data spanned 2020-09-14 to 2026-09-11 — comfortably covering all 24 earnings events. The timezone was explicitly stripped (tz_localize(None)) since the earnings_dates index carries an America/New_York timezone while stock.history()'s index format can differ, and mismatched timezones are a common, easy-to-miss source of bugs when matching dates across two different data sources.</w:t>
      </w:r>
    </w:p>
    <w:p>
      <w:pPr>
        <w:pStyle w:val="Heading2"/>
        <w:spacing w:after="120" w:before="240"/>
      </w:pPr>
      <w:r>
        <w:t xml:space="preserve">Step 6 — Find entry/exit trading days (not calendar days)</w:t>
      </w:r>
    </w:p>
    <w:p>
      <w:pPr>
        <w:shd w:fill="F2F2F2" w:val="clear"/>
        <w:spacing w:after="0" w:line="240"/>
        <w:ind w:left="215"/>
      </w:pPr>
      <w:r>
        <w:rPr>
          <w:rFonts w:ascii="Consolas" w:cs="Consolas" w:eastAsia="Consolas" w:hAnsi="Consolas"/>
          <w:sz w:val="18"/>
          <w:szCs w:val="18"/>
        </w:rPr>
        <w:t xml:space="preserve">def get_trading_day_offset(price_history, target_date, offset):</w:t>
      </w:r>
    </w:p>
    <w:p>
      <w:pPr>
        <w:shd w:fill="F2F2F2" w:val="clear"/>
        <w:spacing w:after="0" w:line="240"/>
        <w:ind w:left="215"/>
      </w:pPr>
      <w:r>
        <w:rPr>
          <w:rFonts w:ascii="Consolas" w:cs="Consolas" w:eastAsia="Consolas" w:hAnsi="Consolas"/>
          <w:sz w:val="18"/>
          <w:szCs w:val="18"/>
        </w:rPr>
        <w:t xml:space="preserve">    idx = price_history.index.get_indexer([target_date], method='nearest')[0]</w:t>
      </w:r>
    </w:p>
    <w:p>
      <w:pPr>
        <w:shd w:fill="F2F2F2" w:val="clear"/>
        <w:spacing w:after="0" w:line="240"/>
        <w:ind w:left="215"/>
      </w:pPr>
      <w:r>
        <w:rPr>
          <w:rFonts w:ascii="Consolas" w:cs="Consolas" w:eastAsia="Consolas" w:hAnsi="Consolas"/>
          <w:sz w:val="18"/>
          <w:szCs w:val="18"/>
        </w:rPr>
        <w:t xml:space="preserve">    new_idx = idx + offset</w:t>
      </w:r>
    </w:p>
    <w:p>
      <w:pPr>
        <w:shd w:fill="F2F2F2" w:val="clear"/>
        <w:spacing w:after="0" w:line="240"/>
        <w:ind w:left="215"/>
      </w:pPr>
      <w:r>
        <w:rPr>
          <w:rFonts w:ascii="Consolas" w:cs="Consolas" w:eastAsia="Consolas" w:hAnsi="Consolas"/>
          <w:sz w:val="18"/>
          <w:szCs w:val="18"/>
        </w:rPr>
        <w:t xml:space="preserve">    if new_idx &lt; 0 or new_idx &gt;= len(price_history):</w:t>
      </w:r>
    </w:p>
    <w:p>
      <w:pPr>
        <w:shd w:fill="F2F2F2" w:val="clear"/>
        <w:spacing w:after="0" w:line="240"/>
        <w:ind w:left="215"/>
      </w:pPr>
      <w:r>
        <w:rPr>
          <w:rFonts w:ascii="Consolas" w:cs="Consolas" w:eastAsia="Consolas" w:hAnsi="Consolas"/>
          <w:sz w:val="18"/>
          <w:szCs w:val="18"/>
        </w:rPr>
        <w:t xml:space="preserve">        return None</w:t>
      </w:r>
    </w:p>
    <w:p>
      <w:pPr>
        <w:shd w:fill="F2F2F2" w:val="clear"/>
        <w:spacing w:after="0" w:line="240"/>
        <w:ind w:left="215"/>
      </w:pPr>
      <w:r>
        <w:rPr>
          <w:rFonts w:ascii="Consolas" w:cs="Consolas" w:eastAsia="Consolas" w:hAnsi="Consolas"/>
          <w:sz w:val="18"/>
          <w:szCs w:val="18"/>
        </w:rPr>
        <w:t xml:space="preserve">    return price_history.index[new_idx]</w:t>
      </w:r>
    </w:p>
    <w:p>
      <w:pPr>
        <w:spacing w:after="160"/>
      </w:pPr>
      <w:r>
        <w:rPr>
          <w:rFonts w:ascii="Calibri" w:cs="Calibri" w:eastAsia="Calibri" w:hAnsi="Calibri"/>
          <w:sz w:val="22"/>
          <w:szCs w:val="22"/>
        </w:rPr>
        <w:t xml:space="preserve">This moves by row position in the price history, not by calendar days, so weekends/holidays are automatically skipped since they simply don't appear as rows. Tested on the 2020-10-29 event: entry date correctly resolved to 2020-10-22 (5 trading days prior) and exit to 2020-10-30 (the next trading day) — confirmed correct by manual calendar count.</w:t>
      </w:r>
    </w:p>
    <w:p>
      <w:pPr>
        <w:spacing w:after="160"/>
      </w:pPr>
      <w:r>
        <w:rPr>
          <w:rFonts w:ascii="Calibri" w:cs="Calibri" w:eastAsia="Calibri" w:hAnsi="Calibri"/>
          <w:i/>
          <w:iCs/>
          <w:sz w:val="22"/>
          <w:szCs w:val="22"/>
        </w:rPr>
        <w:t xml:space="preserve">Test case prices: entry $112.18, exit $105.50 — a real, sizeable ~6% single-day drop, a good first test case for the strategy.</w:t>
      </w:r>
    </w:p>
    <w:p>
      <w:pPr>
        <w:pStyle w:val="Heading2"/>
        <w:spacing w:after="120" w:before="240"/>
      </w:pPr>
      <w:r>
        <w:t xml:space="preserve">Step 7 — Estimate historical volatility at entry (reusing Project 2)</w:t>
      </w:r>
    </w:p>
    <w:p>
      <w:pPr>
        <w:spacing w:after="160"/>
      </w:pPr>
      <w:r>
        <w:rPr>
          <w:rFonts w:ascii="Calibri" w:cs="Calibri" w:eastAsia="Calibri" w:hAnsi="Calibri"/>
          <w:sz w:val="22"/>
          <w:szCs w:val="22"/>
        </w:rPr>
        <w:t xml:space="preserve">Initially written as a standalone function, then correctly identified that this duplicated logic already built and verified in Project 2 (the calculate_all_volatilities function and its Close-to-Close estimator). Refactored to reuse it directly instead of rewriting the same formula:</w:t>
      </w:r>
    </w:p>
    <w:p>
      <w:pPr>
        <w:shd w:fill="F2F2F2" w:val="clear"/>
        <w:spacing w:after="0" w:line="240"/>
        <w:ind w:left="215"/>
      </w:pPr>
      <w:r>
        <w:rPr>
          <w:rFonts w:ascii="Consolas" w:cs="Consolas" w:eastAsia="Consolas" w:hAnsi="Consolas"/>
          <w:sz w:val="18"/>
          <w:szCs w:val="18"/>
        </w:rPr>
        <w:t xml:space="preserve">import sys</w:t>
      </w:r>
    </w:p>
    <w:p>
      <w:pPr>
        <w:shd w:fill="F2F2F2" w:val="clear"/>
        <w:spacing w:after="0" w:line="240"/>
        <w:ind w:left="215"/>
      </w:pPr>
      <w:r>
        <w:rPr>
          <w:rFonts w:ascii="Consolas" w:cs="Consolas" w:eastAsia="Consolas" w:hAnsi="Consolas"/>
          <w:sz w:val="18"/>
          <w:szCs w:val="18"/>
        </w:rPr>
        <w:t xml:space="preserve">from pathlib import Path</w:t>
      </w:r>
    </w:p>
    <w:p>
      <w:pPr>
        <w:shd w:fill="F2F2F2" w:val="clear"/>
        <w:spacing w:after="0" w:line="240"/>
        <w:ind w:left="215"/>
      </w:pPr>
      <w:r>
        <w:rPr>
          <w:rFonts w:ascii="Consolas" w:cs="Consolas" w:eastAsia="Consolas" w:hAnsi="Consolas"/>
          <w:sz w:val="18"/>
          <w:szCs w:val="18"/>
        </w:rPr>
        <w:t xml:space="preserve">sys.path.append(str(Path(__file__).resolve().parent.parent))</w:t>
      </w:r>
    </w:p>
    <w:p>
      <w:pPr>
        <w:shd w:fill="F2F2F2" w:val="clear"/>
        <w:spacing w:after="0" w:line="240"/>
        <w:ind w:left="215"/>
      </w:pPr>
      <w:r>
        <w:rPr>
          <w:rFonts w:ascii="Consolas" w:cs="Consolas" w:eastAsia="Consolas" w:hAnsi="Consolas"/>
          <w:sz w:val="18"/>
          <w:szCs w:val="18"/>
        </w:rPr>
        <w:t xml:space="preserve">from P1.pricer import black_scholes</w:t>
      </w:r>
    </w:p>
    <w:p>
      <w:pPr>
        <w:shd w:fill="F2F2F2" w:val="clear"/>
        <w:spacing w:after="0" w:line="240"/>
        <w:ind w:left="215"/>
      </w:pPr>
      <w:r>
        <w:rPr>
          <w:rFonts w:ascii="Consolas" w:cs="Consolas" w:eastAsia="Consolas" w:hAnsi="Consolas"/>
          <w:sz w:val="18"/>
          <w:szCs w:val="18"/>
        </w:rPr>
        <w:t xml:space="preserve">from P2.historical_vol import calculate_all_volatilities, Mode</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def estimate_historical_vol(price_history, as_of_date, lookback=30):</w:t>
      </w:r>
    </w:p>
    <w:p>
      <w:pPr>
        <w:shd w:fill="F2F2F2" w:val="clear"/>
        <w:spacing w:after="0" w:line="240"/>
        <w:ind w:left="215"/>
      </w:pPr>
      <w:r>
        <w:rPr>
          <w:rFonts w:ascii="Consolas" w:cs="Consolas" w:eastAsia="Consolas" w:hAnsi="Consolas"/>
          <w:sz w:val="18"/>
          <w:szCs w:val="18"/>
        </w:rPr>
        <w:t xml:space="preserve">    idx = price_history.index.get_indexer([as_of_date], method='nearest')[0]</w:t>
      </w:r>
    </w:p>
    <w:p>
      <w:pPr>
        <w:shd w:fill="F2F2F2" w:val="clear"/>
        <w:spacing w:after="0" w:line="240"/>
        <w:ind w:left="215"/>
      </w:pPr>
      <w:r>
        <w:rPr>
          <w:rFonts w:ascii="Consolas" w:cs="Consolas" w:eastAsia="Consolas" w:hAnsi="Consolas"/>
          <w:sz w:val="18"/>
          <w:szCs w:val="18"/>
        </w:rPr>
        <w:t xml:space="preserve">    window = price_history.iloc[max(0, idx - lookback):idx + 1]</w:t>
      </w:r>
    </w:p>
    <w:p>
      <w:pPr>
        <w:shd w:fill="F2F2F2" w:val="clear"/>
        <w:spacing w:after="0" w:line="240"/>
        <w:ind w:left="215"/>
      </w:pPr>
      <w:r>
        <w:rPr>
          <w:rFonts w:ascii="Consolas" w:cs="Consolas" w:eastAsia="Consolas" w:hAnsi="Consolas"/>
          <w:sz w:val="18"/>
          <w:szCs w:val="18"/>
        </w:rPr>
        <w:t xml:space="preserve">    results = calculate_all_volatilities(window, mode=Mode.VALS)</w:t>
      </w:r>
    </w:p>
    <w:p>
      <w:pPr>
        <w:shd w:fill="F2F2F2" w:val="clear"/>
        <w:spacing w:after="0" w:line="240"/>
        <w:ind w:left="215"/>
      </w:pPr>
      <w:r>
        <w:rPr>
          <w:rFonts w:ascii="Consolas" w:cs="Consolas" w:eastAsia="Consolas" w:hAnsi="Consolas"/>
          <w:sz w:val="18"/>
          <w:szCs w:val="18"/>
        </w:rPr>
        <w:t xml:space="preserve">    return results["Close-to-Close"]</w:t>
      </w:r>
    </w:p>
    <w:p>
      <w:pPr>
        <w:spacing w:after="160"/>
      </w:pPr>
      <w:r>
        <w:rPr>
          <w:rFonts w:ascii="Calibri" w:cs="Calibri" w:eastAsia="Calibri" w:hAnsi="Calibri"/>
          <w:sz w:val="22"/>
          <w:szCs w:val="22"/>
        </w:rPr>
        <w:t xml:space="preserve">The dynamic path-resolution pattern (Path(__file__).resolve().parent.parent) was reused from the Project 3 script rather than hardcoding an absolute file path — a better, more portable approach than what was initially suggested.</w:t>
      </w:r>
    </w:p>
    <w:p>
      <w:pPr>
        <w:spacing w:after="160"/>
      </w:pPr>
      <w:r>
        <w:rPr>
          <w:rFonts w:ascii="Calibri" w:cs="Calibri" w:eastAsia="Calibri" w:hAnsi="Calibri"/>
          <w:sz w:val="22"/>
          <w:szCs w:val="22"/>
        </w:rPr>
        <w:t xml:space="preserve">Result for the test case: 39.43% estimated historical volatility at entry (2020-10-22) — plausible for that period, given elevated volatility levels in the post-COVID-crash market of late 2020.</w:t>
      </w:r>
    </w:p>
    <w:p>
      <w:pPr>
        <w:pStyle w:val="Heading2"/>
        <w:spacing w:after="120" w:before="240"/>
      </w:pPr>
      <w:r>
        <w:t xml:space="preserve">Step 8 — Price the straddle at entry</w:t>
      </w:r>
    </w:p>
    <w:p>
      <w:pPr>
        <w:shd w:fill="F2F2F2" w:val="clear"/>
        <w:spacing w:after="0" w:line="240"/>
        <w:ind w:left="215"/>
      </w:pPr>
      <w:r>
        <w:rPr>
          <w:rFonts w:ascii="Consolas" w:cs="Consolas" w:eastAsia="Consolas" w:hAnsi="Consolas"/>
          <w:sz w:val="18"/>
          <w:szCs w:val="18"/>
        </w:rPr>
        <w:t xml:space="preserve">S_entry = history.loc[entry_date, 'Close']</w:t>
      </w:r>
    </w:p>
    <w:p>
      <w:pPr>
        <w:shd w:fill="F2F2F2" w:val="clear"/>
        <w:spacing w:after="0" w:line="240"/>
        <w:ind w:left="215"/>
      </w:pPr>
      <w:r>
        <w:rPr>
          <w:rFonts w:ascii="Consolas" w:cs="Consolas" w:eastAsia="Consolas" w:hAnsi="Consolas"/>
          <w:sz w:val="18"/>
          <w:szCs w:val="18"/>
        </w:rPr>
        <w:t xml:space="preserve">K = round(S_entry / 5) * 5</w:t>
      </w:r>
    </w:p>
    <w:p>
      <w:pPr>
        <w:shd w:fill="F2F2F2" w:val="clear"/>
        <w:spacing w:after="0" w:line="240"/>
        <w:ind w:left="215"/>
      </w:pPr>
      <w:r>
        <w:rPr>
          <w:rFonts w:ascii="Consolas" w:cs="Consolas" w:eastAsia="Consolas" w:hAnsi="Consolas"/>
          <w:sz w:val="18"/>
          <w:szCs w:val="18"/>
        </w:rPr>
        <w:t xml:space="preserve">T_entry = 30 / 365</w:t>
      </w:r>
    </w:p>
    <w:p>
      <w:pPr>
        <w:shd w:fill="F2F2F2" w:val="clear"/>
        <w:spacing w:after="0" w:line="240"/>
        <w:ind w:left="215"/>
      </w:pPr>
      <w:r>
        <w:rPr>
          <w:rFonts w:ascii="Consolas" w:cs="Consolas" w:eastAsia="Consolas" w:hAnsi="Consolas"/>
          <w:sz w:val="18"/>
          <w:szCs w:val="18"/>
        </w:rPr>
        <w:t xml:space="preserve">r = 0.05</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call_price = black_scholes(S_entry, K, T_entry, r, entry_vol, option_type="call")</w:t>
      </w:r>
    </w:p>
    <w:p>
      <w:pPr>
        <w:shd w:fill="F2F2F2" w:val="clear"/>
        <w:spacing w:after="0" w:line="240"/>
        <w:ind w:left="215"/>
      </w:pPr>
      <w:r>
        <w:rPr>
          <w:rFonts w:ascii="Consolas" w:cs="Consolas" w:eastAsia="Consolas" w:hAnsi="Consolas"/>
          <w:sz w:val="18"/>
          <w:szCs w:val="18"/>
        </w:rPr>
        <w:t xml:space="preserve">put_price = black_scholes(S_entry, K, T_entry, r, entry_vol, option_type="put")</w:t>
      </w:r>
    </w:p>
    <w:p>
      <w:pPr>
        <w:shd w:fill="F2F2F2" w:val="clear"/>
        <w:spacing w:after="0" w:line="240"/>
        <w:ind w:left="215"/>
      </w:pPr>
      <w:r>
        <w:rPr>
          <w:rFonts w:ascii="Consolas" w:cs="Consolas" w:eastAsia="Consolas" w:hAnsi="Consolas"/>
          <w:sz w:val="18"/>
          <w:szCs w:val="18"/>
        </w:rPr>
        <w:t xml:space="preserve">straddle_cost = call_price + put_price</w:t>
      </w:r>
    </w:p>
    <w:p>
      <w:pPr>
        <w:spacing w:after="160"/>
      </w:pPr>
      <w:r>
        <w:rPr>
          <w:rFonts w:ascii="Calibri" w:cs="Calibri" w:eastAsia="Calibri" w:hAnsi="Calibri"/>
          <w:sz w:val="22"/>
          <w:szCs w:val="22"/>
        </w:rPr>
        <w:t xml:space="preserve">Result: strike rounded to $110 (from S_entry=$112.18), straddle cost = $10.21.</w:t>
      </w:r>
    </w:p>
    <w:p>
      <w:pPr>
        <w:spacing w:after="160"/>
      </w:pPr>
      <w:r>
        <w:rPr>
          <w:rFonts w:ascii="Calibri" w:cs="Calibri" w:eastAsia="Calibri" w:hAnsi="Calibri"/>
          <w:sz w:val="22"/>
          <w:szCs w:val="22"/>
        </w:rPr>
        <w:t xml:space="preserve">Verified against the standard trader's rule-of-thumb approximation for an ATM straddle, straddle ≈ 0.8 × S × σ × √T, which gave $10.14 — close agreement, confirming the pricing pipeline is working correctly.</w:t>
      </w:r>
    </w:p>
    <w:p>
      <w:pPr>
        <w:pStyle w:val="Heading2"/>
        <w:spacing w:after="120" w:before="240"/>
      </w:pPr>
      <w:r>
        <w:t xml:space="preserve">Step 9 — Price the straddle at exit</w:t>
      </w:r>
    </w:p>
    <w:p>
      <w:pPr>
        <w:shd w:fill="F2F2F2" w:val="clear"/>
        <w:spacing w:after="0" w:line="240"/>
        <w:ind w:left="215"/>
      </w:pPr>
      <w:r>
        <w:rPr>
          <w:rFonts w:ascii="Consolas" w:cs="Consolas" w:eastAsia="Consolas" w:hAnsi="Consolas"/>
          <w:sz w:val="18"/>
          <w:szCs w:val="18"/>
        </w:rPr>
        <w:t xml:space="preserve">T_exit = (30 - 6) / 365  # 6 trading days elapsed (5 before + 1 after)</w:t>
      </w:r>
    </w:p>
    <w:p>
      <w:pPr>
        <w:shd w:fill="F2F2F2" w:val="clear"/>
        <w:spacing w:after="0" w:line="240"/>
        <w:ind w:left="215"/>
      </w:pPr>
      <w:r>
        <w:rPr>
          <w:rFonts w:ascii="Consolas" w:cs="Consolas" w:eastAsia="Consolas" w:hAnsi="Consolas"/>
          <w:sz w:val="18"/>
          <w:szCs w:val="18"/>
        </w:rPr>
        <w:t xml:space="preserve">S_exit = history.loc[exit_date, 'Close']</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call_price_exit = black_scholes(S_exit, K, T_exit, r, entry_vol, option_type="call")</w:t>
      </w:r>
    </w:p>
    <w:p>
      <w:pPr>
        <w:shd w:fill="F2F2F2" w:val="clear"/>
        <w:spacing w:after="0" w:line="240"/>
        <w:ind w:left="215"/>
      </w:pPr>
      <w:r>
        <w:rPr>
          <w:rFonts w:ascii="Consolas" w:cs="Consolas" w:eastAsia="Consolas" w:hAnsi="Consolas"/>
          <w:sz w:val="18"/>
          <w:szCs w:val="18"/>
        </w:rPr>
        <w:t xml:space="preserve">put_price_exit = black_scholes(S_exit, K, T_exit, r, entry_vol, option_type="put")</w:t>
      </w:r>
    </w:p>
    <w:p>
      <w:pPr>
        <w:shd w:fill="F2F2F2" w:val="clear"/>
        <w:spacing w:after="0" w:line="240"/>
        <w:ind w:left="215"/>
      </w:pPr>
      <w:r>
        <w:rPr>
          <w:rFonts w:ascii="Consolas" w:cs="Consolas" w:eastAsia="Consolas" w:hAnsi="Consolas"/>
          <w:sz w:val="18"/>
          <w:szCs w:val="18"/>
        </w:rPr>
        <w:t xml:space="preserve">straddle_value_exit = call_price_exit + put_price_exit</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pnl = straddle_value_exit - straddle_cost</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bCs/>
          <w:i w:val="false"/>
          <w:iCs w:val="false"/>
          <w:sz w:val="22"/>
          <w:szCs w:val="22"/>
        </w:rPr>
        <w:t xml:space="preserve">Explicit simplification flagged:</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val="false"/>
          <w:bCs w:val="false"/>
          <w:i/>
          <w:iCs/>
          <w:sz w:val="22"/>
          <w:szCs w:val="22"/>
        </w:rPr>
        <w:t xml:space="preserve">The same entry_vol is reused for exit pricing, rather than modeling any “IV crush” after the event. This isolates the effect of the stock price move alone for this first version — a documented limitation, not an oversight.</w:t>
      </w:r>
    </w:p>
    <w:p>
      <w:pPr>
        <w:spacing w:after="160"/>
      </w:pPr>
    </w:p>
    <w:p>
      <w:pPr>
        <w:spacing w:after="160"/>
      </w:pPr>
      <w:r>
        <w:rPr>
          <w:rFonts w:ascii="Calibri" w:cs="Calibri" w:eastAsia="Calibri" w:hAnsi="Calibri"/>
          <w:sz w:val="22"/>
          <w:szCs w:val="22"/>
        </w:rPr>
        <w:t xml:space="preserve">Result: S_exit = $105.50, straddle value at exit = $9.29, P&amp;L = −$0.92.</w:t>
      </w:r>
    </w:p>
    <w:p>
      <w:pPr>
        <w:spacing w:after="160"/>
      </w:pPr>
      <w:r>
        <w:rPr>
          <w:rFonts w:ascii="Calibri" w:cs="Calibri" w:eastAsia="Calibri" w:hAnsi="Calibri"/>
          <w:sz w:val="22"/>
          <w:szCs w:val="22"/>
        </w:rPr>
        <w:t xml:space="preserve">Verified by breaking the exit value into intrinsic vs. time value: the put's $6.72 value was $4.50 intrinsic (the stock genuinely fell below the $110 strike) plus $2.22 time value; the call's $2.58 was entirely time value (now out-of-the-money). Total matched the $9.29 straddle value exactly.</w:t>
      </w:r>
    </w:p>
    <w:p>
      <w:pPr>
        <w:spacing w:after="160"/>
      </w:pPr>
      <w:r>
        <w:rPr>
          <w:rFonts w:ascii="Calibri" w:cs="Calibri" w:eastAsia="Calibri" w:hAnsi="Calibri"/>
          <w:i/>
          <w:iCs/>
          <w:sz w:val="22"/>
          <w:szCs w:val="22"/>
        </w:rPr>
        <w:t xml:space="preserve">Why a real ~6% move still produced a small loss: the straddle was priced assuming a high 39.43% annualized volatility already. A straddle only profits when the actual move exceeds what was already priced in — not simply whenever the stock moves at all. At that vol level, a 6% one-day move was close to already “expected,” so the position roughly broke even. This is the exact mechanic the whole project is designed to illustrate, not a bug.</w:t>
      </w:r>
    </w:p>
    <w:p>
      <w:pPr>
        <w:pStyle w:val="Heading1"/>
        <w:spacing w:after="160" w:before="320"/>
      </w:pPr>
      <w:r>
        <w:t xml:space="preserve">6. Step 10 — Running the Full Backtest (24 events)</w:t>
      </w:r>
    </w:p>
    <w:p>
      <w:pPr>
        <w:spacing w:after="160"/>
      </w:pPr>
      <w:r>
        <w:rPr>
          <w:rFonts w:ascii="Calibri" w:cs="Calibri" w:eastAsia="Calibri" w:hAnsi="Calibri"/>
          <w:sz w:val="22"/>
          <w:szCs w:val="22"/>
        </w:rPr>
        <w:t xml:space="preserve">Steps 6–9 are wrapped into a single reusable function and looped across all 24 historical earnings events to build the full results table:</w:t>
      </w:r>
    </w:p>
    <w:p>
      <w:pPr>
        <w:shd w:fill="F2F2F2" w:val="clear"/>
        <w:spacing w:after="0" w:line="240"/>
        <w:ind w:left="215"/>
      </w:pPr>
      <w:r>
        <w:rPr>
          <w:rFonts w:ascii="Consolas" w:cs="Consolas" w:eastAsia="Consolas" w:hAnsi="Consolas"/>
          <w:sz w:val="18"/>
          <w:szCs w:val="18"/>
        </w:rPr>
        <w:t xml:space="preserve">def backtest_one_event(earnings_date, price_history, offset_entry=-5,</w:t>
      </w:r>
    </w:p>
    <w:p>
      <w:pPr>
        <w:shd w:fill="F2F2F2" w:val="clear"/>
        <w:spacing w:after="0" w:line="240"/>
        <w:ind w:left="215"/>
      </w:pPr>
      <w:r>
        <w:rPr>
          <w:rFonts w:ascii="Consolas" w:cs="Consolas" w:eastAsia="Consolas" w:hAnsi="Consolas"/>
          <w:sz w:val="18"/>
          <w:szCs w:val="18"/>
        </w:rPr>
        <w:t xml:space="preserve">                        offset_exit=1, days_to_expiry=30, r=0.05):</w:t>
      </w:r>
    </w:p>
    <w:p>
      <w:pPr>
        <w:shd w:fill="F2F2F2" w:val="clear"/>
        <w:spacing w:after="0" w:line="240"/>
        <w:ind w:left="215"/>
      </w:pPr>
      <w:r>
        <w:rPr>
          <w:rFonts w:ascii="Consolas" w:cs="Consolas" w:eastAsia="Consolas" w:hAnsi="Consolas"/>
          <w:sz w:val="18"/>
          <w:szCs w:val="18"/>
        </w:rPr>
        <w:t xml:space="preserve">    entry_date = get_trading_day_offset(price_history, earnings_date, offset_entry)</w:t>
      </w:r>
    </w:p>
    <w:p>
      <w:pPr>
        <w:shd w:fill="F2F2F2" w:val="clear"/>
        <w:spacing w:after="0" w:line="240"/>
        <w:ind w:left="215"/>
      </w:pPr>
      <w:r>
        <w:rPr>
          <w:rFonts w:ascii="Consolas" w:cs="Consolas" w:eastAsia="Consolas" w:hAnsi="Consolas"/>
          <w:sz w:val="18"/>
          <w:szCs w:val="18"/>
        </w:rPr>
        <w:t xml:space="preserve">    exit_date = get_trading_day_offset(price_history, earnings_date, offset_exit)</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if entry_date is None or exit_date is None:</w:t>
      </w:r>
    </w:p>
    <w:p>
      <w:pPr>
        <w:shd w:fill="F2F2F2" w:val="clear"/>
        <w:spacing w:after="0" w:line="240"/>
        <w:ind w:left="215"/>
      </w:pPr>
      <w:r>
        <w:rPr>
          <w:rFonts w:ascii="Consolas" w:cs="Consolas" w:eastAsia="Consolas" w:hAnsi="Consolas"/>
          <w:sz w:val="18"/>
          <w:szCs w:val="18"/>
        </w:rPr>
        <w:t xml:space="preserve">        return None</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S_entry = price_history.loc[entry_date, 'Close']</w:t>
      </w:r>
    </w:p>
    <w:p>
      <w:pPr>
        <w:shd w:fill="F2F2F2" w:val="clear"/>
        <w:spacing w:after="0" w:line="240"/>
        <w:ind w:left="215"/>
      </w:pPr>
      <w:r>
        <w:rPr>
          <w:rFonts w:ascii="Consolas" w:cs="Consolas" w:eastAsia="Consolas" w:hAnsi="Consolas"/>
          <w:sz w:val="18"/>
          <w:szCs w:val="18"/>
        </w:rPr>
        <w:t xml:space="preserve">    S_exit = price_history.loc[exit_date, 'Close']</w:t>
      </w:r>
    </w:p>
    <w:p>
      <w:pPr>
        <w:shd w:fill="F2F2F2" w:val="clear"/>
        <w:spacing w:after="0" w:line="240"/>
        <w:ind w:left="215"/>
      </w:pPr>
      <w:r>
        <w:rPr>
          <w:rFonts w:ascii="Consolas" w:cs="Consolas" w:eastAsia="Consolas" w:hAnsi="Consolas"/>
          <w:sz w:val="18"/>
          <w:szCs w:val="18"/>
        </w:rPr>
        <w:t xml:space="preserve">    K = round(S_entry / 5) * 5</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entry_vol = estimate_historical_vol(price_history, entry_date)</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T_entry = days_to_expiry / 365</w:t>
      </w:r>
    </w:p>
    <w:p>
      <w:pPr>
        <w:shd w:fill="F2F2F2" w:val="clear"/>
        <w:spacing w:after="0" w:line="240"/>
        <w:ind w:left="215"/>
      </w:pPr>
      <w:r>
        <w:rPr>
          <w:rFonts w:ascii="Consolas" w:cs="Consolas" w:eastAsia="Consolas" w:hAnsi="Consolas"/>
          <w:sz w:val="18"/>
          <w:szCs w:val="18"/>
        </w:rPr>
        <w:t xml:space="preserve">    days_elapsed = offset_exit - offset_entry</w:t>
      </w:r>
    </w:p>
    <w:p>
      <w:pPr>
        <w:shd w:fill="F2F2F2" w:val="clear"/>
        <w:spacing w:after="0" w:line="240"/>
        <w:ind w:left="215"/>
      </w:pPr>
      <w:r>
        <w:rPr>
          <w:rFonts w:ascii="Consolas" w:cs="Consolas" w:eastAsia="Consolas" w:hAnsi="Consolas"/>
          <w:sz w:val="18"/>
          <w:szCs w:val="18"/>
        </w:rPr>
        <w:t xml:space="preserve">    T_exit = (days_to_expiry - days_elapsed) / 365</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straddle_cost = (</w:t>
      </w:r>
    </w:p>
    <w:p>
      <w:pPr>
        <w:shd w:fill="F2F2F2" w:val="clear"/>
        <w:spacing w:after="0" w:line="240"/>
        <w:ind w:left="215"/>
      </w:pPr>
      <w:r>
        <w:rPr>
          <w:rFonts w:ascii="Consolas" w:cs="Consolas" w:eastAsia="Consolas" w:hAnsi="Consolas"/>
          <w:sz w:val="18"/>
          <w:szCs w:val="18"/>
        </w:rPr>
        <w:t xml:space="preserve">        black_scholes(S_entry, K, T_entry, r, entry_vol, "call")</w:t>
      </w:r>
    </w:p>
    <w:p>
      <w:pPr>
        <w:shd w:fill="F2F2F2" w:val="clear"/>
        <w:spacing w:after="0" w:line="240"/>
        <w:ind w:left="215"/>
      </w:pPr>
      <w:r>
        <w:rPr>
          <w:rFonts w:ascii="Consolas" w:cs="Consolas" w:eastAsia="Consolas" w:hAnsi="Consolas"/>
          <w:sz w:val="18"/>
          <w:szCs w:val="18"/>
        </w:rPr>
        <w:t xml:space="preserve">        + black_scholes(S_entry, K, T_entry, r, entry_vol, "put")</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straddle_value_exit = (</w:t>
      </w:r>
    </w:p>
    <w:p>
      <w:pPr>
        <w:shd w:fill="F2F2F2" w:val="clear"/>
        <w:spacing w:after="0" w:line="240"/>
        <w:ind w:left="215"/>
      </w:pPr>
      <w:r>
        <w:rPr>
          <w:rFonts w:ascii="Consolas" w:cs="Consolas" w:eastAsia="Consolas" w:hAnsi="Consolas"/>
          <w:sz w:val="18"/>
          <w:szCs w:val="18"/>
        </w:rPr>
        <w:t xml:space="preserve">        black_scholes(S_exit, K, T_exit, r, entry_vol, "call")</w:t>
      </w:r>
    </w:p>
    <w:p>
      <w:pPr>
        <w:shd w:fill="F2F2F2" w:val="clear"/>
        <w:spacing w:after="0" w:line="240"/>
        <w:ind w:left="215"/>
      </w:pPr>
      <w:r>
        <w:rPr>
          <w:rFonts w:ascii="Consolas" w:cs="Consolas" w:eastAsia="Consolas" w:hAnsi="Consolas"/>
          <w:sz w:val="18"/>
          <w:szCs w:val="18"/>
        </w:rPr>
        <w:t xml:space="preserve">        + black_scholes(S_exit, K, T_exit, r, entry_vol, "put")</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return {</w:t>
      </w:r>
    </w:p>
    <w:p>
      <w:pPr>
        <w:shd w:fill="F2F2F2" w:val="clear"/>
        <w:spacing w:after="0" w:line="240"/>
        <w:ind w:left="215"/>
      </w:pPr>
      <w:r>
        <w:rPr>
          <w:rFonts w:ascii="Consolas" w:cs="Consolas" w:eastAsia="Consolas" w:hAnsi="Consolas"/>
          <w:sz w:val="18"/>
          <w:szCs w:val="18"/>
        </w:rPr>
        <w:t xml:space="preserve">        "earnings_date": earnings_date,</w:t>
      </w:r>
    </w:p>
    <w:p>
      <w:pPr>
        <w:shd w:fill="F2F2F2" w:val="clear"/>
        <w:spacing w:after="0" w:line="240"/>
        <w:ind w:left="215"/>
      </w:pPr>
      <w:r>
        <w:rPr>
          <w:rFonts w:ascii="Consolas" w:cs="Consolas" w:eastAsia="Consolas" w:hAnsi="Consolas"/>
          <w:sz w:val="18"/>
          <w:szCs w:val="18"/>
        </w:rPr>
        <w:t xml:space="preserve">        "entry_date": entry_date,</w:t>
      </w:r>
    </w:p>
    <w:p>
      <w:pPr>
        <w:shd w:fill="F2F2F2" w:val="clear"/>
        <w:spacing w:after="0" w:line="240"/>
        <w:ind w:left="215"/>
      </w:pPr>
      <w:r>
        <w:rPr>
          <w:rFonts w:ascii="Consolas" w:cs="Consolas" w:eastAsia="Consolas" w:hAnsi="Consolas"/>
          <w:sz w:val="18"/>
          <w:szCs w:val="18"/>
        </w:rPr>
        <w:t xml:space="preserve">        "exit_date": exit_date,</w:t>
      </w:r>
    </w:p>
    <w:p>
      <w:pPr>
        <w:shd w:fill="F2F2F2" w:val="clear"/>
        <w:spacing w:after="0" w:line="240"/>
        <w:ind w:left="215"/>
      </w:pPr>
      <w:r>
        <w:rPr>
          <w:rFonts w:ascii="Consolas" w:cs="Consolas" w:eastAsia="Consolas" w:hAnsi="Consolas"/>
          <w:sz w:val="18"/>
          <w:szCs w:val="18"/>
        </w:rPr>
        <w:t xml:space="preserve">        "S_entry": S_entry,</w:t>
      </w:r>
    </w:p>
    <w:p>
      <w:pPr>
        <w:shd w:fill="F2F2F2" w:val="clear"/>
        <w:spacing w:after="0" w:line="240"/>
        <w:ind w:left="215"/>
      </w:pPr>
      <w:r>
        <w:rPr>
          <w:rFonts w:ascii="Consolas" w:cs="Consolas" w:eastAsia="Consolas" w:hAnsi="Consolas"/>
          <w:sz w:val="18"/>
          <w:szCs w:val="18"/>
        </w:rPr>
        <w:t xml:space="preserve">        "S_exit": S_exit,</w:t>
      </w:r>
    </w:p>
    <w:p>
      <w:pPr>
        <w:shd w:fill="F2F2F2" w:val="clear"/>
        <w:spacing w:after="0" w:line="240"/>
        <w:ind w:left="215"/>
      </w:pPr>
      <w:r>
        <w:rPr>
          <w:rFonts w:ascii="Consolas" w:cs="Consolas" w:eastAsia="Consolas" w:hAnsi="Consolas"/>
          <w:sz w:val="18"/>
          <w:szCs w:val="18"/>
        </w:rPr>
        <w:t xml:space="preserve">        "strike": K,</w:t>
      </w:r>
    </w:p>
    <w:p>
      <w:pPr>
        <w:shd w:fill="F2F2F2" w:val="clear"/>
        <w:spacing w:after="0" w:line="240"/>
        <w:ind w:left="215"/>
      </w:pPr>
      <w:r>
        <w:rPr>
          <w:rFonts w:ascii="Consolas" w:cs="Consolas" w:eastAsia="Consolas" w:hAnsi="Consolas"/>
          <w:sz w:val="18"/>
          <w:szCs w:val="18"/>
        </w:rPr>
        <w:t xml:space="preserve">        "entry_vol": entry_vol,</w:t>
      </w:r>
    </w:p>
    <w:p>
      <w:pPr>
        <w:shd w:fill="F2F2F2" w:val="clear"/>
        <w:spacing w:after="0" w:line="240"/>
        <w:ind w:left="215"/>
      </w:pPr>
      <w:r>
        <w:rPr>
          <w:rFonts w:ascii="Consolas" w:cs="Consolas" w:eastAsia="Consolas" w:hAnsi="Consolas"/>
          <w:sz w:val="18"/>
          <w:szCs w:val="18"/>
        </w:rPr>
        <w:t xml:space="preserve">        "straddle_cost": straddle_cost,</w:t>
      </w:r>
    </w:p>
    <w:p>
      <w:pPr>
        <w:shd w:fill="F2F2F2" w:val="clear"/>
        <w:spacing w:after="0" w:line="240"/>
        <w:ind w:left="215"/>
      </w:pPr>
      <w:r>
        <w:rPr>
          <w:rFonts w:ascii="Consolas" w:cs="Consolas" w:eastAsia="Consolas" w:hAnsi="Consolas"/>
          <w:sz w:val="18"/>
          <w:szCs w:val="18"/>
        </w:rPr>
        <w:t xml:space="preserve">        "straddle_value_exit": straddle_value_exit,</w:t>
      </w:r>
    </w:p>
    <w:p>
      <w:pPr>
        <w:shd w:fill="F2F2F2" w:val="clear"/>
        <w:spacing w:after="0" w:line="240"/>
        <w:ind w:left="215"/>
      </w:pPr>
      <w:r>
        <w:rPr>
          <w:rFonts w:ascii="Consolas" w:cs="Consolas" w:eastAsia="Consolas" w:hAnsi="Consolas"/>
          <w:sz w:val="18"/>
          <w:szCs w:val="18"/>
        </w:rPr>
        <w:t xml:space="preserve">        "pnl": straddle_value_exit - straddle_cost,</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results = []</w:t>
      </w:r>
    </w:p>
    <w:p>
      <w:pPr>
        <w:shd w:fill="F2F2F2" w:val="clear"/>
        <w:spacing w:after="0" w:line="240"/>
        <w:ind w:left="215"/>
      </w:pPr>
      <w:r>
        <w:rPr>
          <w:rFonts w:ascii="Consolas" w:cs="Consolas" w:eastAsia="Consolas" w:hAnsi="Consolas"/>
          <w:sz w:val="18"/>
          <w:szCs w:val="18"/>
        </w:rPr>
        <w:t xml:space="preserve">for earnings_date in earnings_dates.index:</w:t>
      </w:r>
    </w:p>
    <w:p>
      <w:pPr>
        <w:shd w:fill="F2F2F2" w:val="clear"/>
        <w:spacing w:after="0" w:line="240"/>
        <w:ind w:left="215"/>
      </w:pPr>
      <w:r>
        <w:rPr>
          <w:rFonts w:ascii="Consolas" w:cs="Consolas" w:eastAsia="Consolas" w:hAnsi="Consolas"/>
          <w:sz w:val="18"/>
          <w:szCs w:val="18"/>
        </w:rPr>
        <w:t xml:space="preserve">    row = backtest_one_event(earnings_date, history)</w:t>
      </w:r>
    </w:p>
    <w:p>
      <w:pPr>
        <w:shd w:fill="F2F2F2" w:val="clear"/>
        <w:spacing w:after="0" w:line="240"/>
        <w:ind w:left="215"/>
      </w:pPr>
      <w:r>
        <w:rPr>
          <w:rFonts w:ascii="Consolas" w:cs="Consolas" w:eastAsia="Consolas" w:hAnsi="Consolas"/>
          <w:sz w:val="18"/>
          <w:szCs w:val="18"/>
        </w:rPr>
        <w:t xml:space="preserve">    if row is not None:</w:t>
      </w:r>
    </w:p>
    <w:p>
      <w:pPr>
        <w:shd w:fill="F2F2F2" w:val="clear"/>
        <w:spacing w:after="0" w:line="240"/>
        <w:ind w:left="215"/>
      </w:pPr>
      <w:r>
        <w:rPr>
          <w:rFonts w:ascii="Consolas" w:cs="Consolas" w:eastAsia="Consolas" w:hAnsi="Consolas"/>
          <w:sz w:val="18"/>
          <w:szCs w:val="18"/>
        </w:rPr>
        <w:t xml:space="preserve">        results.append(row)</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results_df = pd.DataFrame(results)</w:t>
      </w:r>
    </w:p>
    <w:p>
      <w:pPr>
        <w:shd w:fill="F2F2F2" w:val="clear"/>
        <w:spacing w:after="0" w:line="240"/>
        <w:ind w:left="215"/>
      </w:pPr>
      <w:r>
        <w:rPr>
          <w:rFonts w:ascii="Consolas" w:cs="Consolas" w:eastAsia="Consolas" w:hAnsi="Consolas"/>
          <w:sz w:val="18"/>
          <w:szCs w:val="18"/>
        </w:rPr>
        <w:t xml:space="preserve">print(results_df[['earnings_date', 'S_entry', 'S_exit', 'strike', 'entry_vol', 'pnl']])</w:t>
      </w:r>
    </w:p>
    <w:p>
      <w:pPr>
        <w:pStyle w:val="Heading1"/>
        <w:spacing w:after="160" w:before="320"/>
      </w:pPr>
      <w:r>
        <w:t xml:space="preserve">7. Post-Run Analysis Plan (code ready, to run alongside Step 10)</w:t>
      </w:r>
    </w:p>
    <w:p>
      <w:pPr>
        <w:spacing w:after="160"/>
      </w:pPr>
      <w:r>
        <w:rPr>
          <w:rFonts w:ascii="Calibri" w:cs="Calibri" w:eastAsia="Calibri" w:hAnsi="Calibri"/>
          <w:sz w:val="22"/>
          <w:szCs w:val="22"/>
        </w:rPr>
        <w:t xml:space="preserve">Once results_df exists, run the following to turn the raw per-event rows into the summary this project is actually meant to produce:</w:t>
      </w:r>
    </w:p>
    <w:p>
      <w:pPr>
        <w:shd w:fill="F2F2F2" w:val="clear"/>
        <w:spacing w:after="0" w:line="240"/>
        <w:ind w:left="215"/>
      </w:pPr>
      <w:r>
        <w:rPr>
          <w:rFonts w:ascii="Consolas" w:cs="Consolas" w:eastAsia="Consolas" w:hAnsi="Consolas"/>
          <w:sz w:val="18"/>
          <w:szCs w:val="18"/>
        </w:rPr>
        <w:t xml:space="preserve"># --- Aggregate statistics ---</w:t>
      </w:r>
    </w:p>
    <w:p>
      <w:pPr>
        <w:shd w:fill="F2F2F2" w:val="clear"/>
        <w:spacing w:after="0" w:line="240"/>
        <w:ind w:left="215"/>
      </w:pPr>
      <w:r>
        <w:rPr>
          <w:rFonts w:ascii="Consolas" w:cs="Consolas" w:eastAsia="Consolas" w:hAnsi="Consolas"/>
          <w:sz w:val="18"/>
          <w:szCs w:val="18"/>
        </w:rPr>
        <w:t xml:space="preserve">win_rate = (results_df['pnl'] &gt; 0).mean()</w:t>
      </w:r>
    </w:p>
    <w:p>
      <w:pPr>
        <w:shd w:fill="F2F2F2" w:val="clear"/>
        <w:spacing w:after="0" w:line="240"/>
        <w:ind w:left="215"/>
      </w:pPr>
      <w:r>
        <w:rPr>
          <w:rFonts w:ascii="Consolas" w:cs="Consolas" w:eastAsia="Consolas" w:hAnsi="Consolas"/>
          <w:sz w:val="18"/>
          <w:szCs w:val="18"/>
        </w:rPr>
        <w:t xml:space="preserve">avg_pnl = results_df['pnl'].mean()</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cumulative = results_df['pnl'].cumsum()</w:t>
      </w:r>
    </w:p>
    <w:p>
      <w:pPr>
        <w:shd w:fill="F2F2F2" w:val="clear"/>
        <w:spacing w:after="0" w:line="240"/>
        <w:ind w:left="215"/>
      </w:pPr>
      <w:r>
        <w:rPr>
          <w:rFonts w:ascii="Consolas" w:cs="Consolas" w:eastAsia="Consolas" w:hAnsi="Consolas"/>
          <w:sz w:val="18"/>
          <w:szCs w:val="18"/>
        </w:rPr>
        <w:t xml:space="preserve">running_max = cumulative.cummax()</w:t>
      </w:r>
    </w:p>
    <w:p>
      <w:pPr>
        <w:shd w:fill="F2F2F2" w:val="clear"/>
        <w:spacing w:after="0" w:line="240"/>
        <w:ind w:left="215"/>
      </w:pPr>
      <w:r>
        <w:rPr>
          <w:rFonts w:ascii="Consolas" w:cs="Consolas" w:eastAsia="Consolas" w:hAnsi="Consolas"/>
          <w:sz w:val="18"/>
          <w:szCs w:val="18"/>
        </w:rPr>
        <w:t xml:space="preserve">drawdown = cumulative - running_max</w:t>
      </w:r>
    </w:p>
    <w:p>
      <w:pPr>
        <w:shd w:fill="F2F2F2" w:val="clear"/>
        <w:spacing w:after="0" w:line="240"/>
        <w:ind w:left="215"/>
      </w:pPr>
      <w:r>
        <w:rPr>
          <w:rFonts w:ascii="Consolas" w:cs="Consolas" w:eastAsia="Consolas" w:hAnsi="Consolas"/>
          <w:sz w:val="18"/>
          <w:szCs w:val="18"/>
        </w:rPr>
        <w:t xml:space="preserve">max_drawdown = drawdown.min()</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print(f"Win rate: {win_rate:.1%}")</w:t>
      </w:r>
    </w:p>
    <w:p>
      <w:pPr>
        <w:shd w:fill="F2F2F2" w:val="clear"/>
        <w:spacing w:after="0" w:line="240"/>
        <w:ind w:left="215"/>
      </w:pPr>
      <w:r>
        <w:rPr>
          <w:rFonts w:ascii="Consolas" w:cs="Consolas" w:eastAsia="Consolas" w:hAnsi="Consolas"/>
          <w:sz w:val="18"/>
          <w:szCs w:val="18"/>
        </w:rPr>
        <w:t xml:space="preserve">print(f"Average P&amp;L per trade: ${avg_pnl:.2f}")</w:t>
      </w:r>
    </w:p>
    <w:p>
      <w:pPr>
        <w:shd w:fill="F2F2F2" w:val="clear"/>
        <w:spacing w:after="0" w:line="240"/>
        <w:ind w:left="215"/>
      </w:pPr>
      <w:r>
        <w:rPr>
          <w:rFonts w:ascii="Consolas" w:cs="Consolas" w:eastAsia="Consolas" w:hAnsi="Consolas"/>
          <w:sz w:val="18"/>
          <w:szCs w:val="18"/>
        </w:rPr>
        <w:t xml:space="preserve">print(f"Max drawdown: ${max_drawdown:.2f}")</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 Plot cumulative P&amp;L ---</w:t>
      </w:r>
    </w:p>
    <w:p>
      <w:pPr>
        <w:shd w:fill="F2F2F2" w:val="clear"/>
        <w:spacing w:after="0" w:line="240"/>
        <w:ind w:left="215"/>
      </w:pPr>
      <w:r>
        <w:rPr>
          <w:rFonts w:ascii="Consolas" w:cs="Consolas" w:eastAsia="Consolas" w:hAnsi="Consolas"/>
          <w:sz w:val="18"/>
          <w:szCs w:val="18"/>
        </w:rPr>
        <w:t xml:space="preserve">import matplotlib.pyplot as plt</w:t>
      </w:r>
    </w:p>
    <w:p>
      <w:pPr>
        <w:shd w:fill="F2F2F2" w:val="clear"/>
        <w:spacing w:after="0" w:line="240"/>
        <w:ind w:left="215"/>
      </w:pPr>
      <w:r>
        <w:rPr>
          <w:rFonts w:ascii="Consolas" w:cs="Consolas" w:eastAsia="Consolas" w:hAnsi="Consolas"/>
          <w:sz w:val="18"/>
          <w:szCs w:val="18"/>
        </w:rPr>
        <w:t xml:space="preserve">plt.plot(results_df['earnings_date'], cumulative, marker='o')</w:t>
      </w:r>
    </w:p>
    <w:p>
      <w:pPr>
        <w:shd w:fill="F2F2F2" w:val="clear"/>
        <w:spacing w:after="0" w:line="240"/>
        <w:ind w:left="215"/>
      </w:pPr>
      <w:r>
        <w:rPr>
          <w:rFonts w:ascii="Consolas" w:cs="Consolas" w:eastAsia="Consolas" w:hAnsi="Consolas"/>
          <w:sz w:val="18"/>
          <w:szCs w:val="18"/>
        </w:rPr>
        <w:t xml:space="preserve">plt.axhline(0, color='gray', linewidth=0.8)</w:t>
      </w:r>
    </w:p>
    <w:p>
      <w:pPr>
        <w:shd w:fill="F2F2F2" w:val="clear"/>
        <w:spacing w:after="0" w:line="240"/>
        <w:ind w:left="215"/>
      </w:pPr>
      <w:r>
        <w:rPr>
          <w:rFonts w:ascii="Consolas" w:cs="Consolas" w:eastAsia="Consolas" w:hAnsi="Consolas"/>
          <w:sz w:val="18"/>
          <w:szCs w:val="18"/>
        </w:rPr>
        <w:t xml:space="preserve">plt.title('Cumulative P&amp;L — AAPL Earnings Straddle Backtest')</w:t>
      </w:r>
    </w:p>
    <w:p>
      <w:pPr>
        <w:shd w:fill="F2F2F2" w:val="clear"/>
        <w:spacing w:after="0" w:line="240"/>
        <w:ind w:left="215"/>
      </w:pPr>
      <w:r>
        <w:rPr>
          <w:rFonts w:ascii="Consolas" w:cs="Consolas" w:eastAsia="Consolas" w:hAnsi="Consolas"/>
          <w:sz w:val="18"/>
          <w:szCs w:val="18"/>
        </w:rPr>
        <w:t xml:space="preserve">plt.ylabel('Cumulative P&amp;L ($)')</w:t>
      </w:r>
    </w:p>
    <w:p>
      <w:pPr>
        <w:shd w:fill="F2F2F2" w:val="clear"/>
        <w:spacing w:after="0" w:line="240"/>
        <w:ind w:left="215"/>
      </w:pPr>
      <w:r>
        <w:rPr>
          <w:rFonts w:ascii="Consolas" w:cs="Consolas" w:eastAsia="Consolas" w:hAnsi="Consolas"/>
          <w:sz w:val="18"/>
          <w:szCs w:val="18"/>
        </w:rPr>
        <w:t xml:space="preserve">plt.xticks(rotation=45)</w:t>
      </w:r>
    </w:p>
    <w:p>
      <w:pPr>
        <w:shd w:fill="F2F2F2" w:val="clear"/>
        <w:spacing w:after="0" w:line="240"/>
        <w:ind w:left="215"/>
      </w:pPr>
      <w:r>
        <w:rPr>
          <w:rFonts w:ascii="Consolas" w:cs="Consolas" w:eastAsia="Consolas" w:hAnsi="Consolas"/>
          <w:sz w:val="18"/>
          <w:szCs w:val="18"/>
        </w:rPr>
        <w:t xml:space="preserve">plt.tight_layout()</w:t>
      </w:r>
    </w:p>
    <w:p>
      <w:pPr>
        <w:shd w:fill="F2F2F2" w:val="clear"/>
        <w:spacing w:after="0" w:line="240"/>
        <w:ind w:left="215"/>
      </w:pPr>
      <w:r>
        <w:rPr>
          <w:rFonts w:ascii="Consolas" w:cs="Consolas" w:eastAsia="Consolas" w:hAnsi="Consolas"/>
          <w:sz w:val="18"/>
          <w:szCs w:val="18"/>
        </w:rPr>
        <w:t xml:space="preserve">plt.savefig('cumulative_pnl.png')</w:t>
      </w:r>
    </w:p>
    <w:p>
      <w:pPr>
        <w:shd w:fill="F2F2F2" w:val="clear"/>
        <w:spacing w:after="0" w:line="240"/>
        <w:ind w:left="215"/>
      </w:pPr>
      <w:r>
        <w:rPr>
          <w:rFonts w:ascii="Consolas" w:cs="Consolas" w:eastAsia="Consolas" w:hAnsi="Consolas"/>
          <w:sz w:val="18"/>
          <w:szCs w:val="18"/>
        </w:rPr>
        <w:t xml:space="preserve"> </w:t>
      </w:r>
    </w:p>
    <w:p>
      <w:pPr>
        <w:shd w:fill="F2F2F2" w:val="clear"/>
        <w:spacing w:after="0" w:line="240"/>
        <w:ind w:left="215"/>
      </w:pPr>
      <w:r>
        <w:rPr>
          <w:rFonts w:ascii="Consolas" w:cs="Consolas" w:eastAsia="Consolas" w:hAnsi="Consolas"/>
          <w:sz w:val="18"/>
          <w:szCs w:val="18"/>
        </w:rPr>
        <w:t xml:space="preserve"># --- Inspect the two largest-surprise events individually ---</w:t>
      </w:r>
    </w:p>
    <w:p>
      <w:pPr>
        <w:shd w:fill="F2F2F2" w:val="clear"/>
        <w:spacing w:after="0" w:line="240"/>
        <w:ind w:left="215"/>
      </w:pPr>
      <w:r>
        <w:rPr>
          <w:rFonts w:ascii="Consolas" w:cs="Consolas" w:eastAsia="Consolas" w:hAnsi="Consolas"/>
          <w:sz w:val="18"/>
          <w:szCs w:val="18"/>
        </w:rPr>
        <w:t xml:space="preserve">for d in ['2021-04-28', '2021-07-27']:</w:t>
      </w:r>
    </w:p>
    <w:p>
      <w:pPr>
        <w:shd w:fill="F2F2F2" w:val="clear"/>
        <w:spacing w:after="0" w:line="240"/>
        <w:ind w:left="215"/>
      </w:pPr>
      <w:r>
        <w:rPr>
          <w:rFonts w:ascii="Consolas" w:cs="Consolas" w:eastAsia="Consolas" w:hAnsi="Consolas"/>
          <w:sz w:val="18"/>
          <w:szCs w:val="18"/>
        </w:rPr>
        <w:t xml:space="preserve">    match = results_df[results_df['earnings_date'].astype(str).str.startswith(d)]</w:t>
      </w:r>
    </w:p>
    <w:p>
      <w:pPr>
        <w:shd w:fill="F2F2F2" w:val="clear"/>
        <w:spacing w:after="0" w:line="240"/>
        <w:ind w:left="215"/>
      </w:pPr>
      <w:r>
        <w:rPr>
          <w:rFonts w:ascii="Consolas" w:cs="Consolas" w:eastAsia="Consolas" w:hAnsi="Consolas"/>
          <w:sz w:val="18"/>
          <w:szCs w:val="18"/>
        </w:rPr>
        <w:t xml:space="preserve">    print(match)</w:t>
      </w:r>
    </w:p>
    <w:p>
      <w:pPr>
        <w:pStyle w:val="Heading1"/>
        <w:spacing w:after="160" w:before="320"/>
      </w:pPr>
      <w:r>
        <w:t xml:space="preserve">8. Results — Actual Run (TSLA, 24 events)</w:t>
      </w:r>
    </w:p>
    <w:p>
      <w:pPr>
        <w:spacing w:after="160"/>
      </w:pPr>
      <w:r>
        <w:rPr>
          <w:rFonts w:ascii="Calibri" w:cs="Calibri" w:eastAsia="Calibri" w:hAnsi="Calibri"/>
          <w:sz w:val="22"/>
          <w:szCs w:val="22"/>
        </w:rPr>
        <w:t xml:space="preserve">Full output from running vol_backtest.py end-to-end:</w:t>
      </w:r>
    </w:p>
    <w:p>
      <w:pPr>
        <w:pStyle w:val="Heading3"/>
        <w:spacing w:after="100" w:before="200"/>
      </w:pPr>
      <w:r>
        <w:t xml:space="preserve">8.1 Full results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200"/>
        <w:gridCol w:w="1500"/>
        <w:gridCol w:w="1400"/>
      </w:tblGrid>
      <w:tr>
        <w:trPr>
          <w:tblHeader/>
        </w:trPr>
        <w:tc>
          <w:tcPr>
            <w:tcW w:type="dxa" w:w="1900"/>
            <w:shd w:fill="1F3864" w:val="clear"/>
          </w:tcPr>
          <w:p>
            <w:r>
              <w:rPr>
                <w:rFonts w:ascii="Calibri" w:cs="Calibri" w:eastAsia="Calibri" w:hAnsi="Calibri"/>
                <w:b/>
                <w:bCs/>
                <w:color w:val="FFFFFF"/>
                <w:sz w:val="18"/>
                <w:szCs w:val="18"/>
              </w:rPr>
              <w:t xml:space="preserve">Earnings Date</w:t>
            </w:r>
          </w:p>
        </w:tc>
        <w:tc>
          <w:tcPr>
            <w:tcW w:type="dxa" w:w="1500"/>
            <w:shd w:fill="1F3864" w:val="clear"/>
          </w:tcPr>
          <w:p>
            <w:r>
              <w:rPr>
                <w:rFonts w:ascii="Calibri" w:cs="Calibri" w:eastAsia="Calibri" w:hAnsi="Calibri"/>
                <w:b/>
                <w:bCs/>
                <w:color w:val="FFFFFF"/>
                <w:sz w:val="18"/>
                <w:szCs w:val="18"/>
              </w:rPr>
              <w:t xml:space="preserve">S_entry</w:t>
            </w:r>
          </w:p>
        </w:tc>
        <w:tc>
          <w:tcPr>
            <w:tcW w:type="dxa" w:w="1500"/>
            <w:shd w:fill="1F3864" w:val="clear"/>
          </w:tcPr>
          <w:p>
            <w:r>
              <w:rPr>
                <w:rFonts w:ascii="Calibri" w:cs="Calibri" w:eastAsia="Calibri" w:hAnsi="Calibri"/>
                <w:b/>
                <w:bCs/>
                <w:color w:val="FFFFFF"/>
                <w:sz w:val="18"/>
                <w:szCs w:val="18"/>
              </w:rPr>
              <w:t xml:space="preserve">S_exit</w:t>
            </w:r>
          </w:p>
        </w:tc>
        <w:tc>
          <w:tcPr>
            <w:tcW w:type="dxa" w:w="1200"/>
            <w:shd w:fill="1F3864" w:val="clear"/>
          </w:tcPr>
          <w:p>
            <w:r>
              <w:rPr>
                <w:rFonts w:ascii="Calibri" w:cs="Calibri" w:eastAsia="Calibri" w:hAnsi="Calibri"/>
                <w:b/>
                <w:bCs/>
                <w:color w:val="FFFFFF"/>
                <w:sz w:val="18"/>
                <w:szCs w:val="18"/>
              </w:rPr>
              <w:t xml:space="preserve">Strike</w:t>
            </w:r>
          </w:p>
        </w:tc>
        <w:tc>
          <w:tcPr>
            <w:tcW w:type="dxa" w:w="1500"/>
            <w:shd w:fill="1F3864" w:val="clear"/>
          </w:tcPr>
          <w:p>
            <w:r>
              <w:rPr>
                <w:rFonts w:ascii="Calibri" w:cs="Calibri" w:eastAsia="Calibri" w:hAnsi="Calibri"/>
                <w:b/>
                <w:bCs/>
                <w:color w:val="FFFFFF"/>
                <w:sz w:val="18"/>
                <w:szCs w:val="18"/>
              </w:rPr>
              <w:t xml:space="preserve">Entry Vol</w:t>
            </w:r>
          </w:p>
        </w:tc>
        <w:tc>
          <w:tcPr>
            <w:tcW w:type="dxa" w:w="1400"/>
            <w:shd w:fill="1F3864" w:val="clear"/>
          </w:tcPr>
          <w:p>
            <w:r>
              <w:rPr>
                <w:rFonts w:ascii="Calibri" w:cs="Calibri" w:eastAsia="Calibri" w:hAnsi="Calibri"/>
                <w:b/>
                <w:bCs/>
                <w:color w:val="FFFFFF"/>
                <w:sz w:val="18"/>
                <w:szCs w:val="18"/>
              </w:rPr>
              <w:t xml:space="preserve">P&amp;L</w:t>
            </w:r>
          </w:p>
        </w:tc>
      </w:tr>
      <w:tr>
        <w:tc>
          <w:tcPr>
            <w:tcW w:type="dxa" w:w="1900"/>
            <w:shd w:fill="FFFFFF" w:val="clear"/>
          </w:tcPr>
          <w:p>
            <w:r>
              <w:rPr>
                <w:rFonts w:ascii="Calibri" w:cs="Calibri" w:eastAsia="Calibri" w:hAnsi="Calibri"/>
                <w:b w:val="false"/>
                <w:bCs w:val="false"/>
                <w:color w:val="000000"/>
                <w:sz w:val="18"/>
                <w:szCs w:val="18"/>
              </w:rPr>
              <w:t xml:space="preserve">2020-10-21</w:t>
            </w:r>
          </w:p>
        </w:tc>
        <w:tc>
          <w:tcPr>
            <w:tcW w:type="dxa" w:w="1500"/>
            <w:shd w:fill="FFFFFF" w:val="clear"/>
          </w:tcPr>
          <w:p>
            <w:r>
              <w:rPr>
                <w:rFonts w:ascii="Calibri" w:cs="Calibri" w:eastAsia="Calibri" w:hAnsi="Calibri"/>
                <w:b w:val="false"/>
                <w:bCs w:val="false"/>
                <w:color w:val="000000"/>
                <w:sz w:val="18"/>
                <w:szCs w:val="18"/>
              </w:rPr>
              <w:t xml:space="preserve">153.77</w:t>
            </w:r>
          </w:p>
        </w:tc>
        <w:tc>
          <w:tcPr>
            <w:tcW w:type="dxa" w:w="1500"/>
            <w:shd w:fill="FFFFFF" w:val="clear"/>
          </w:tcPr>
          <w:p>
            <w:r>
              <w:rPr>
                <w:rFonts w:ascii="Calibri" w:cs="Calibri" w:eastAsia="Calibri" w:hAnsi="Calibri"/>
                <w:b w:val="false"/>
                <w:bCs w:val="false"/>
                <w:color w:val="000000"/>
                <w:sz w:val="18"/>
                <w:szCs w:val="18"/>
              </w:rPr>
              <w:t xml:space="preserve">141.93</w:t>
            </w:r>
          </w:p>
        </w:tc>
        <w:tc>
          <w:tcPr>
            <w:tcW w:type="dxa" w:w="1200"/>
            <w:shd w:fill="FFFFFF" w:val="clear"/>
          </w:tcPr>
          <w:p>
            <w:r>
              <w:rPr>
                <w:rFonts w:ascii="Calibri" w:cs="Calibri" w:eastAsia="Calibri" w:hAnsi="Calibri"/>
                <w:b w:val="false"/>
                <w:bCs w:val="false"/>
                <w:color w:val="000000"/>
                <w:sz w:val="18"/>
                <w:szCs w:val="18"/>
              </w:rPr>
              <w:t xml:space="preserve">155</w:t>
            </w:r>
          </w:p>
        </w:tc>
        <w:tc>
          <w:tcPr>
            <w:tcW w:type="dxa" w:w="1500"/>
            <w:shd w:fill="FFFFFF" w:val="clear"/>
          </w:tcPr>
          <w:p>
            <w:r>
              <w:rPr>
                <w:rFonts w:ascii="Calibri" w:cs="Calibri" w:eastAsia="Calibri" w:hAnsi="Calibri"/>
                <w:b w:val="false"/>
                <w:bCs w:val="false"/>
                <w:color w:val="000000"/>
                <w:sz w:val="18"/>
                <w:szCs w:val="18"/>
              </w:rPr>
              <w:t xml:space="preserve">69.4%</w:t>
            </w:r>
          </w:p>
        </w:tc>
        <w:tc>
          <w:tcPr>
            <w:tcW w:type="dxa" w:w="1400"/>
            <w:shd w:fill="FFFFFF" w:val="clear"/>
          </w:tcPr>
          <w:p>
            <w:r>
              <w:rPr>
                <w:rFonts w:ascii="Calibri" w:cs="Calibri" w:eastAsia="Calibri" w:hAnsi="Calibri"/>
                <w:b/>
                <w:bCs/>
                <w:color w:val="B00020"/>
                <w:sz w:val="18"/>
                <w:szCs w:val="18"/>
              </w:rPr>
              <w:t xml:space="preserve">-1.07</w:t>
            </w:r>
          </w:p>
        </w:tc>
      </w:tr>
      <w:tr>
        <w:tc>
          <w:tcPr>
            <w:tcW w:type="dxa" w:w="1900"/>
            <w:shd w:fill="F2F5FA" w:val="clear"/>
          </w:tcPr>
          <w:p>
            <w:r>
              <w:rPr>
                <w:rFonts w:ascii="Calibri" w:cs="Calibri" w:eastAsia="Calibri" w:hAnsi="Calibri"/>
                <w:b w:val="false"/>
                <w:bCs w:val="false"/>
                <w:color w:val="000000"/>
                <w:sz w:val="18"/>
                <w:szCs w:val="18"/>
              </w:rPr>
              <w:t xml:space="preserve">2021-01-27</w:t>
            </w:r>
          </w:p>
        </w:tc>
        <w:tc>
          <w:tcPr>
            <w:tcW w:type="dxa" w:w="1500"/>
            <w:shd w:fill="F2F5FA" w:val="clear"/>
          </w:tcPr>
          <w:p>
            <w:r>
              <w:rPr>
                <w:rFonts w:ascii="Calibri" w:cs="Calibri" w:eastAsia="Calibri" w:hAnsi="Calibri"/>
                <w:b w:val="false"/>
                <w:bCs w:val="false"/>
                <w:color w:val="000000"/>
                <w:sz w:val="18"/>
                <w:szCs w:val="18"/>
              </w:rPr>
              <w:t xml:space="preserve">283.48</w:t>
            </w:r>
          </w:p>
        </w:tc>
        <w:tc>
          <w:tcPr>
            <w:tcW w:type="dxa" w:w="1500"/>
            <w:shd w:fill="F2F5FA" w:val="clear"/>
          </w:tcPr>
          <w:p>
            <w:r>
              <w:rPr>
                <w:rFonts w:ascii="Calibri" w:cs="Calibri" w:eastAsia="Calibri" w:hAnsi="Calibri"/>
                <w:b w:val="false"/>
                <w:bCs w:val="false"/>
                <w:color w:val="000000"/>
                <w:sz w:val="18"/>
                <w:szCs w:val="18"/>
              </w:rPr>
              <w:t xml:space="preserve">278.48</w:t>
            </w:r>
          </w:p>
        </w:tc>
        <w:tc>
          <w:tcPr>
            <w:tcW w:type="dxa" w:w="1200"/>
            <w:shd w:fill="F2F5FA" w:val="clear"/>
          </w:tcPr>
          <w:p>
            <w:r>
              <w:rPr>
                <w:rFonts w:ascii="Calibri" w:cs="Calibri" w:eastAsia="Calibri" w:hAnsi="Calibri"/>
                <w:b w:val="false"/>
                <w:bCs w:val="false"/>
                <w:color w:val="000000"/>
                <w:sz w:val="18"/>
                <w:szCs w:val="18"/>
              </w:rPr>
              <w:t xml:space="preserve">285</w:t>
            </w:r>
          </w:p>
        </w:tc>
        <w:tc>
          <w:tcPr>
            <w:tcW w:type="dxa" w:w="1500"/>
            <w:shd w:fill="F2F5FA" w:val="clear"/>
          </w:tcPr>
          <w:p>
            <w:r>
              <w:rPr>
                <w:rFonts w:ascii="Calibri" w:cs="Calibri" w:eastAsia="Calibri" w:hAnsi="Calibri"/>
                <w:b w:val="false"/>
                <w:bCs w:val="false"/>
                <w:color w:val="000000"/>
                <w:sz w:val="18"/>
                <w:szCs w:val="18"/>
              </w:rPr>
              <w:t xml:space="preserve">64.4%</w:t>
            </w:r>
          </w:p>
        </w:tc>
        <w:tc>
          <w:tcPr>
            <w:tcW w:type="dxa" w:w="1400"/>
            <w:shd w:fill="F2F5FA" w:val="clear"/>
          </w:tcPr>
          <w:p>
            <w:r>
              <w:rPr>
                <w:rFonts w:ascii="Calibri" w:cs="Calibri" w:eastAsia="Calibri" w:hAnsi="Calibri"/>
                <w:b/>
                <w:bCs/>
                <w:color w:val="B00020"/>
                <w:sz w:val="18"/>
                <w:szCs w:val="18"/>
              </w:rPr>
              <w:t xml:space="preserve">-4.44</w:t>
            </w:r>
          </w:p>
        </w:tc>
      </w:tr>
      <w:tr>
        <w:tc>
          <w:tcPr>
            <w:tcW w:type="dxa" w:w="1900"/>
            <w:shd w:fill="FFFFFF" w:val="clear"/>
          </w:tcPr>
          <w:p>
            <w:r>
              <w:rPr>
                <w:rFonts w:ascii="Calibri" w:cs="Calibri" w:eastAsia="Calibri" w:hAnsi="Calibri"/>
                <w:b w:val="false"/>
                <w:bCs w:val="false"/>
                <w:color w:val="000000"/>
                <w:sz w:val="18"/>
                <w:szCs w:val="18"/>
              </w:rPr>
              <w:t xml:space="preserve">2021-04-26</w:t>
            </w:r>
          </w:p>
        </w:tc>
        <w:tc>
          <w:tcPr>
            <w:tcW w:type="dxa" w:w="1500"/>
            <w:shd w:fill="FFFFFF" w:val="clear"/>
          </w:tcPr>
          <w:p>
            <w:r>
              <w:rPr>
                <w:rFonts w:ascii="Calibri" w:cs="Calibri" w:eastAsia="Calibri" w:hAnsi="Calibri"/>
                <w:b w:val="false"/>
                <w:bCs w:val="false"/>
                <w:color w:val="000000"/>
                <w:sz w:val="18"/>
                <w:szCs w:val="18"/>
              </w:rPr>
              <w:t xml:space="preserve">238.21</w:t>
            </w:r>
          </w:p>
        </w:tc>
        <w:tc>
          <w:tcPr>
            <w:tcW w:type="dxa" w:w="1500"/>
            <w:shd w:fill="FFFFFF" w:val="clear"/>
          </w:tcPr>
          <w:p>
            <w:r>
              <w:rPr>
                <w:rFonts w:ascii="Calibri" w:cs="Calibri" w:eastAsia="Calibri" w:hAnsi="Calibri"/>
                <w:b w:val="false"/>
                <w:bCs w:val="false"/>
                <w:color w:val="000000"/>
                <w:sz w:val="18"/>
                <w:szCs w:val="18"/>
              </w:rPr>
              <w:t xml:space="preserve">234.91</w:t>
            </w:r>
          </w:p>
        </w:tc>
        <w:tc>
          <w:tcPr>
            <w:tcW w:type="dxa" w:w="1200"/>
            <w:shd w:fill="FFFFFF" w:val="clear"/>
          </w:tcPr>
          <w:p>
            <w:r>
              <w:rPr>
                <w:rFonts w:ascii="Calibri" w:cs="Calibri" w:eastAsia="Calibri" w:hAnsi="Calibri"/>
                <w:b w:val="false"/>
                <w:bCs w:val="false"/>
                <w:color w:val="000000"/>
                <w:sz w:val="18"/>
                <w:szCs w:val="18"/>
              </w:rPr>
              <w:t xml:space="preserve">240</w:t>
            </w:r>
          </w:p>
        </w:tc>
        <w:tc>
          <w:tcPr>
            <w:tcW w:type="dxa" w:w="1500"/>
            <w:shd w:fill="FFFFFF" w:val="clear"/>
          </w:tcPr>
          <w:p>
            <w:r>
              <w:rPr>
                <w:rFonts w:ascii="Calibri" w:cs="Calibri" w:eastAsia="Calibri" w:hAnsi="Calibri"/>
                <w:b w:val="false"/>
                <w:bCs w:val="false"/>
                <w:color w:val="000000"/>
                <w:sz w:val="18"/>
                <w:szCs w:val="18"/>
              </w:rPr>
              <w:t xml:space="preserve">77.4%</w:t>
            </w:r>
          </w:p>
        </w:tc>
        <w:tc>
          <w:tcPr>
            <w:tcW w:type="dxa" w:w="1400"/>
            <w:shd w:fill="FFFFFF" w:val="clear"/>
          </w:tcPr>
          <w:p>
            <w:r>
              <w:rPr>
                <w:rFonts w:ascii="Calibri" w:cs="Calibri" w:eastAsia="Calibri" w:hAnsi="Calibri"/>
                <w:b/>
                <w:bCs/>
                <w:color w:val="B00020"/>
                <w:sz w:val="18"/>
                <w:szCs w:val="18"/>
              </w:rPr>
              <w:t xml:space="preserve">-4.53</w:t>
            </w:r>
          </w:p>
        </w:tc>
      </w:tr>
      <w:tr>
        <w:tc>
          <w:tcPr>
            <w:tcW w:type="dxa" w:w="1900"/>
            <w:shd w:fill="F2F5FA" w:val="clear"/>
          </w:tcPr>
          <w:p>
            <w:r>
              <w:rPr>
                <w:rFonts w:ascii="Calibri" w:cs="Calibri" w:eastAsia="Calibri" w:hAnsi="Calibri"/>
                <w:b w:val="false"/>
                <w:bCs w:val="false"/>
                <w:color w:val="000000"/>
                <w:sz w:val="18"/>
                <w:szCs w:val="18"/>
              </w:rPr>
              <w:t xml:space="preserve">2021-07-26</w:t>
            </w:r>
          </w:p>
        </w:tc>
        <w:tc>
          <w:tcPr>
            <w:tcW w:type="dxa" w:w="1500"/>
            <w:shd w:fill="F2F5FA" w:val="clear"/>
          </w:tcPr>
          <w:p>
            <w:r>
              <w:rPr>
                <w:rFonts w:ascii="Calibri" w:cs="Calibri" w:eastAsia="Calibri" w:hAnsi="Calibri"/>
                <w:b w:val="false"/>
                <w:bCs w:val="false"/>
                <w:color w:val="000000"/>
                <w:sz w:val="18"/>
                <w:szCs w:val="18"/>
              </w:rPr>
              <w:t xml:space="preserve">215.41</w:t>
            </w:r>
          </w:p>
        </w:tc>
        <w:tc>
          <w:tcPr>
            <w:tcW w:type="dxa" w:w="1500"/>
            <w:shd w:fill="F2F5FA" w:val="clear"/>
          </w:tcPr>
          <w:p>
            <w:r>
              <w:rPr>
                <w:rFonts w:ascii="Calibri" w:cs="Calibri" w:eastAsia="Calibri" w:hAnsi="Calibri"/>
                <w:b w:val="false"/>
                <w:bCs w:val="false"/>
                <w:color w:val="000000"/>
                <w:sz w:val="18"/>
                <w:szCs w:val="18"/>
              </w:rPr>
              <w:t xml:space="preserve">214.93</w:t>
            </w:r>
          </w:p>
        </w:tc>
        <w:tc>
          <w:tcPr>
            <w:tcW w:type="dxa" w:w="1200"/>
            <w:shd w:fill="F2F5FA" w:val="clear"/>
          </w:tcPr>
          <w:p>
            <w:r>
              <w:rPr>
                <w:rFonts w:ascii="Calibri" w:cs="Calibri" w:eastAsia="Calibri" w:hAnsi="Calibri"/>
                <w:b w:val="false"/>
                <w:bCs w:val="false"/>
                <w:color w:val="000000"/>
                <w:sz w:val="18"/>
                <w:szCs w:val="18"/>
              </w:rPr>
              <w:t xml:space="preserve">215</w:t>
            </w:r>
          </w:p>
        </w:tc>
        <w:tc>
          <w:tcPr>
            <w:tcW w:type="dxa" w:w="1500"/>
            <w:shd w:fill="F2F5FA" w:val="clear"/>
          </w:tcPr>
          <w:p>
            <w:r>
              <w:rPr>
                <w:rFonts w:ascii="Calibri" w:cs="Calibri" w:eastAsia="Calibri" w:hAnsi="Calibri"/>
                <w:b w:val="false"/>
                <w:bCs w:val="false"/>
                <w:color w:val="000000"/>
                <w:sz w:val="18"/>
                <w:szCs w:val="18"/>
              </w:rPr>
              <w:t xml:space="preserve">31.5%</w:t>
            </w:r>
          </w:p>
        </w:tc>
        <w:tc>
          <w:tcPr>
            <w:tcW w:type="dxa" w:w="1400"/>
            <w:shd w:fill="F2F5FA" w:val="clear"/>
          </w:tcPr>
          <w:p>
            <w:r>
              <w:rPr>
                <w:rFonts w:ascii="Calibri" w:cs="Calibri" w:eastAsia="Calibri" w:hAnsi="Calibri"/>
                <w:b/>
                <w:bCs/>
                <w:color w:val="B00020"/>
                <w:sz w:val="18"/>
                <w:szCs w:val="18"/>
              </w:rPr>
              <w:t xml:space="preserve">-1.67</w:t>
            </w:r>
          </w:p>
        </w:tc>
      </w:tr>
      <w:tr>
        <w:tc>
          <w:tcPr>
            <w:tcW w:type="dxa" w:w="1900"/>
            <w:shd w:fill="FFFFFF" w:val="clear"/>
          </w:tcPr>
          <w:p>
            <w:r>
              <w:rPr>
                <w:rFonts w:ascii="Calibri" w:cs="Calibri" w:eastAsia="Calibri" w:hAnsi="Calibri"/>
                <w:b w:val="false"/>
                <w:bCs w:val="false"/>
                <w:color w:val="000000"/>
                <w:sz w:val="18"/>
                <w:szCs w:val="18"/>
              </w:rPr>
              <w:t xml:space="preserve">2021-10-20</w:t>
            </w:r>
          </w:p>
        </w:tc>
        <w:tc>
          <w:tcPr>
            <w:tcW w:type="dxa" w:w="1500"/>
            <w:shd w:fill="FFFFFF" w:val="clear"/>
          </w:tcPr>
          <w:p>
            <w:r>
              <w:rPr>
                <w:rFonts w:ascii="Calibri" w:cs="Calibri" w:eastAsia="Calibri" w:hAnsi="Calibri"/>
                <w:b w:val="false"/>
                <w:bCs w:val="false"/>
                <w:color w:val="000000"/>
                <w:sz w:val="18"/>
                <w:szCs w:val="18"/>
              </w:rPr>
              <w:t xml:space="preserve">270.36</w:t>
            </w:r>
          </w:p>
        </w:tc>
        <w:tc>
          <w:tcPr>
            <w:tcW w:type="dxa" w:w="1500"/>
            <w:shd w:fill="FFFFFF" w:val="clear"/>
          </w:tcPr>
          <w:p>
            <w:r>
              <w:rPr>
                <w:rFonts w:ascii="Calibri" w:cs="Calibri" w:eastAsia="Calibri" w:hAnsi="Calibri"/>
                <w:b w:val="false"/>
                <w:bCs w:val="false"/>
                <w:color w:val="000000"/>
                <w:sz w:val="18"/>
                <w:szCs w:val="18"/>
              </w:rPr>
              <w:t xml:space="preserve">298.00</w:t>
            </w:r>
          </w:p>
        </w:tc>
        <w:tc>
          <w:tcPr>
            <w:tcW w:type="dxa" w:w="1200"/>
            <w:shd w:fill="FFFFFF" w:val="clear"/>
          </w:tcPr>
          <w:p>
            <w:r>
              <w:rPr>
                <w:rFonts w:ascii="Calibri" w:cs="Calibri" w:eastAsia="Calibri" w:hAnsi="Calibri"/>
                <w:b w:val="false"/>
                <w:bCs w:val="false"/>
                <w:color w:val="000000"/>
                <w:sz w:val="18"/>
                <w:szCs w:val="18"/>
              </w:rPr>
              <w:t xml:space="preserve">270</w:t>
            </w:r>
          </w:p>
        </w:tc>
        <w:tc>
          <w:tcPr>
            <w:tcW w:type="dxa" w:w="1500"/>
            <w:shd w:fill="FFFFFF" w:val="clear"/>
          </w:tcPr>
          <w:p>
            <w:r>
              <w:rPr>
                <w:rFonts w:ascii="Calibri" w:cs="Calibri" w:eastAsia="Calibri" w:hAnsi="Calibri"/>
                <w:b w:val="false"/>
                <w:bCs w:val="false"/>
                <w:color w:val="000000"/>
                <w:sz w:val="18"/>
                <w:szCs w:val="18"/>
              </w:rPr>
              <w:t xml:space="preserve">22.3%</w:t>
            </w:r>
          </w:p>
        </w:tc>
        <w:tc>
          <w:tcPr>
            <w:tcW w:type="dxa" w:w="1400"/>
            <w:shd w:fill="FFFFFF" w:val="clear"/>
          </w:tcPr>
          <w:p>
            <w:r>
              <w:rPr>
                <w:rFonts w:ascii="Calibri" w:cs="Calibri" w:eastAsia="Calibri" w:hAnsi="Calibri"/>
                <w:b/>
                <w:bCs/>
                <w:color w:val="1E7B34"/>
                <w:sz w:val="18"/>
                <w:szCs w:val="18"/>
              </w:rPr>
              <w:t xml:space="preserve">+15.59</w:t>
            </w:r>
          </w:p>
        </w:tc>
      </w:tr>
      <w:tr>
        <w:tc>
          <w:tcPr>
            <w:tcW w:type="dxa" w:w="1900"/>
            <w:shd w:fill="F2F5FA" w:val="clear"/>
          </w:tcPr>
          <w:p>
            <w:r>
              <w:rPr>
                <w:rFonts w:ascii="Calibri" w:cs="Calibri" w:eastAsia="Calibri" w:hAnsi="Calibri"/>
                <w:b w:val="false"/>
                <w:bCs w:val="false"/>
                <w:color w:val="000000"/>
                <w:sz w:val="18"/>
                <w:szCs w:val="18"/>
              </w:rPr>
              <w:t xml:space="preserve">2022-01-26</w:t>
            </w:r>
          </w:p>
        </w:tc>
        <w:tc>
          <w:tcPr>
            <w:tcW w:type="dxa" w:w="1500"/>
            <w:shd w:fill="F2F5FA" w:val="clear"/>
          </w:tcPr>
          <w:p>
            <w:r>
              <w:rPr>
                <w:rFonts w:ascii="Calibri" w:cs="Calibri" w:eastAsia="Calibri" w:hAnsi="Calibri"/>
                <w:b w:val="false"/>
                <w:bCs w:val="false"/>
                <w:color w:val="000000"/>
                <w:sz w:val="18"/>
                <w:szCs w:val="18"/>
              </w:rPr>
              <w:t xml:space="preserve">331.88</w:t>
            </w:r>
          </w:p>
        </w:tc>
        <w:tc>
          <w:tcPr>
            <w:tcW w:type="dxa" w:w="1500"/>
            <w:shd w:fill="F2F5FA" w:val="clear"/>
          </w:tcPr>
          <w:p>
            <w:r>
              <w:rPr>
                <w:rFonts w:ascii="Calibri" w:cs="Calibri" w:eastAsia="Calibri" w:hAnsi="Calibri"/>
                <w:b w:val="false"/>
                <w:bCs w:val="false"/>
                <w:color w:val="000000"/>
                <w:sz w:val="18"/>
                <w:szCs w:val="18"/>
              </w:rPr>
              <w:t xml:space="preserve">276.37</w:t>
            </w:r>
          </w:p>
        </w:tc>
        <w:tc>
          <w:tcPr>
            <w:tcW w:type="dxa" w:w="1200"/>
            <w:shd w:fill="F2F5FA" w:val="clear"/>
          </w:tcPr>
          <w:p>
            <w:r>
              <w:rPr>
                <w:rFonts w:ascii="Calibri" w:cs="Calibri" w:eastAsia="Calibri" w:hAnsi="Calibri"/>
                <w:b w:val="false"/>
                <w:bCs w:val="false"/>
                <w:color w:val="000000"/>
                <w:sz w:val="18"/>
                <w:szCs w:val="18"/>
              </w:rPr>
              <w:t xml:space="preserve">330</w:t>
            </w:r>
          </w:p>
        </w:tc>
        <w:tc>
          <w:tcPr>
            <w:tcW w:type="dxa" w:w="1500"/>
            <w:shd w:fill="F2F5FA" w:val="clear"/>
          </w:tcPr>
          <w:p>
            <w:r>
              <w:rPr>
                <w:rFonts w:ascii="Calibri" w:cs="Calibri" w:eastAsia="Calibri" w:hAnsi="Calibri"/>
                <w:b w:val="false"/>
                <w:bCs w:val="false"/>
                <w:color w:val="000000"/>
                <w:sz w:val="18"/>
                <w:szCs w:val="18"/>
              </w:rPr>
              <w:t xml:space="preserve">69.8%</w:t>
            </w:r>
          </w:p>
        </w:tc>
        <w:tc>
          <w:tcPr>
            <w:tcW w:type="dxa" w:w="1400"/>
            <w:shd w:fill="F2F5FA" w:val="clear"/>
          </w:tcPr>
          <w:p>
            <w:r>
              <w:rPr>
                <w:rFonts w:ascii="Calibri" w:cs="Calibri" w:eastAsia="Calibri" w:hAnsi="Calibri"/>
                <w:b/>
                <w:bCs/>
                <w:color w:val="1E7B34"/>
                <w:sz w:val="18"/>
                <w:szCs w:val="18"/>
              </w:rPr>
              <w:t xml:space="preserve">+9.29</w:t>
            </w:r>
          </w:p>
        </w:tc>
      </w:tr>
      <w:tr>
        <w:tc>
          <w:tcPr>
            <w:tcW w:type="dxa" w:w="1900"/>
            <w:shd w:fill="FFFFFF" w:val="clear"/>
          </w:tcPr>
          <w:p>
            <w:r>
              <w:rPr>
                <w:rFonts w:ascii="Calibri" w:cs="Calibri" w:eastAsia="Calibri" w:hAnsi="Calibri"/>
                <w:b w:val="false"/>
                <w:bCs w:val="false"/>
                <w:color w:val="000000"/>
                <w:sz w:val="18"/>
                <w:szCs w:val="18"/>
              </w:rPr>
              <w:t xml:space="preserve">2022-04-20</w:t>
            </w:r>
          </w:p>
        </w:tc>
        <w:tc>
          <w:tcPr>
            <w:tcW w:type="dxa" w:w="1500"/>
            <w:shd w:fill="FFFFFF" w:val="clear"/>
          </w:tcPr>
          <w:p>
            <w:r>
              <w:rPr>
                <w:rFonts w:ascii="Calibri" w:cs="Calibri" w:eastAsia="Calibri" w:hAnsi="Calibri"/>
                <w:b w:val="false"/>
                <w:bCs w:val="false"/>
                <w:color w:val="000000"/>
                <w:sz w:val="18"/>
                <w:szCs w:val="18"/>
              </w:rPr>
              <w:t xml:space="preserve">328.98</w:t>
            </w:r>
          </w:p>
        </w:tc>
        <w:tc>
          <w:tcPr>
            <w:tcW w:type="dxa" w:w="1500"/>
            <w:shd w:fill="FFFFFF" w:val="clear"/>
          </w:tcPr>
          <w:p>
            <w:r>
              <w:rPr>
                <w:rFonts w:ascii="Calibri" w:cs="Calibri" w:eastAsia="Calibri" w:hAnsi="Calibri"/>
                <w:b w:val="false"/>
                <w:bCs w:val="false"/>
                <w:color w:val="000000"/>
                <w:sz w:val="18"/>
                <w:szCs w:val="18"/>
              </w:rPr>
              <w:t xml:space="preserve">336.26</w:t>
            </w:r>
          </w:p>
        </w:tc>
        <w:tc>
          <w:tcPr>
            <w:tcW w:type="dxa" w:w="1200"/>
            <w:shd w:fill="FFFFFF" w:val="clear"/>
          </w:tcPr>
          <w:p>
            <w:r>
              <w:rPr>
                <w:rFonts w:ascii="Calibri" w:cs="Calibri" w:eastAsia="Calibri" w:hAnsi="Calibri"/>
                <w:b w:val="false"/>
                <w:bCs w:val="false"/>
                <w:color w:val="000000"/>
                <w:sz w:val="18"/>
                <w:szCs w:val="18"/>
              </w:rPr>
              <w:t xml:space="preserve">330</w:t>
            </w:r>
          </w:p>
        </w:tc>
        <w:tc>
          <w:tcPr>
            <w:tcW w:type="dxa" w:w="1500"/>
            <w:shd w:fill="FFFFFF" w:val="clear"/>
          </w:tcPr>
          <w:p>
            <w:r>
              <w:rPr>
                <w:rFonts w:ascii="Calibri" w:cs="Calibri" w:eastAsia="Calibri" w:hAnsi="Calibri"/>
                <w:b w:val="false"/>
                <w:bCs w:val="false"/>
                <w:color w:val="000000"/>
                <w:sz w:val="18"/>
                <w:szCs w:val="18"/>
              </w:rPr>
              <w:t xml:space="preserve">59.8%</w:t>
            </w:r>
          </w:p>
        </w:tc>
        <w:tc>
          <w:tcPr>
            <w:tcW w:type="dxa" w:w="1400"/>
            <w:shd w:fill="FFFFFF" w:val="clear"/>
          </w:tcPr>
          <w:p>
            <w:r>
              <w:rPr>
                <w:rFonts w:ascii="Calibri" w:cs="Calibri" w:eastAsia="Calibri" w:hAnsi="Calibri"/>
                <w:b/>
                <w:bCs/>
                <w:color w:val="B00020"/>
                <w:sz w:val="18"/>
                <w:szCs w:val="18"/>
              </w:rPr>
              <w:t xml:space="preserve">-3.85</w:t>
            </w:r>
          </w:p>
        </w:tc>
      </w:tr>
      <w:tr>
        <w:tc>
          <w:tcPr>
            <w:tcW w:type="dxa" w:w="1900"/>
            <w:shd w:fill="F2F5FA" w:val="clear"/>
          </w:tcPr>
          <w:p>
            <w:r>
              <w:rPr>
                <w:rFonts w:ascii="Calibri" w:cs="Calibri" w:eastAsia="Calibri" w:hAnsi="Calibri"/>
                <w:b w:val="false"/>
                <w:bCs w:val="false"/>
                <w:color w:val="000000"/>
                <w:sz w:val="18"/>
                <w:szCs w:val="18"/>
              </w:rPr>
              <w:t xml:space="preserve">2022-07-20</w:t>
            </w:r>
          </w:p>
        </w:tc>
        <w:tc>
          <w:tcPr>
            <w:tcW w:type="dxa" w:w="1500"/>
            <w:shd w:fill="F2F5FA" w:val="clear"/>
          </w:tcPr>
          <w:p>
            <w:r>
              <w:rPr>
                <w:rFonts w:ascii="Calibri" w:cs="Calibri" w:eastAsia="Calibri" w:hAnsi="Calibri"/>
                <w:b w:val="false"/>
                <w:bCs w:val="false"/>
                <w:color w:val="000000"/>
                <w:sz w:val="18"/>
                <w:szCs w:val="18"/>
              </w:rPr>
              <w:t xml:space="preserve">237.04</w:t>
            </w:r>
          </w:p>
        </w:tc>
        <w:tc>
          <w:tcPr>
            <w:tcW w:type="dxa" w:w="1500"/>
            <w:shd w:fill="F2F5FA" w:val="clear"/>
          </w:tcPr>
          <w:p>
            <w:r>
              <w:rPr>
                <w:rFonts w:ascii="Calibri" w:cs="Calibri" w:eastAsia="Calibri" w:hAnsi="Calibri"/>
                <w:b w:val="false"/>
                <w:bCs w:val="false"/>
                <w:color w:val="000000"/>
                <w:sz w:val="18"/>
                <w:szCs w:val="18"/>
              </w:rPr>
              <w:t xml:space="preserve">271.71</w:t>
            </w:r>
          </w:p>
        </w:tc>
        <w:tc>
          <w:tcPr>
            <w:tcW w:type="dxa" w:w="1200"/>
            <w:shd w:fill="F2F5FA" w:val="clear"/>
          </w:tcPr>
          <w:p>
            <w:r>
              <w:rPr>
                <w:rFonts w:ascii="Calibri" w:cs="Calibri" w:eastAsia="Calibri" w:hAnsi="Calibri"/>
                <w:b w:val="false"/>
                <w:bCs w:val="false"/>
                <w:color w:val="000000"/>
                <w:sz w:val="18"/>
                <w:szCs w:val="18"/>
              </w:rPr>
              <w:t xml:space="preserve">235</w:t>
            </w:r>
          </w:p>
        </w:tc>
        <w:tc>
          <w:tcPr>
            <w:tcW w:type="dxa" w:w="1500"/>
            <w:shd w:fill="F2F5FA" w:val="clear"/>
          </w:tcPr>
          <w:p>
            <w:r>
              <w:rPr>
                <w:rFonts w:ascii="Calibri" w:cs="Calibri" w:eastAsia="Calibri" w:hAnsi="Calibri"/>
                <w:b w:val="false"/>
                <w:bCs w:val="false"/>
                <w:color w:val="000000"/>
                <w:sz w:val="18"/>
                <w:szCs w:val="18"/>
              </w:rPr>
              <w:t xml:space="preserve">67.9%</w:t>
            </w:r>
          </w:p>
        </w:tc>
        <w:tc>
          <w:tcPr>
            <w:tcW w:type="dxa" w:w="1400"/>
            <w:shd w:fill="F2F5FA" w:val="clear"/>
          </w:tcPr>
          <w:p>
            <w:r>
              <w:rPr>
                <w:rFonts w:ascii="Calibri" w:cs="Calibri" w:eastAsia="Calibri" w:hAnsi="Calibri"/>
                <w:b/>
                <w:bCs/>
                <w:color w:val="1E7B34"/>
                <w:sz w:val="18"/>
                <w:szCs w:val="18"/>
              </w:rPr>
              <w:t xml:space="preserve">+10.48</w:t>
            </w:r>
          </w:p>
        </w:tc>
      </w:tr>
      <w:tr>
        <w:tc>
          <w:tcPr>
            <w:tcW w:type="dxa" w:w="1900"/>
            <w:shd w:fill="FFFFFF" w:val="clear"/>
          </w:tcPr>
          <w:p>
            <w:r>
              <w:rPr>
                <w:rFonts w:ascii="Calibri" w:cs="Calibri" w:eastAsia="Calibri" w:hAnsi="Calibri"/>
                <w:b w:val="false"/>
                <w:bCs w:val="false"/>
                <w:color w:val="000000"/>
                <w:sz w:val="18"/>
                <w:szCs w:val="18"/>
              </w:rPr>
              <w:t xml:space="preserve">2022-10-19</w:t>
            </w:r>
          </w:p>
        </w:tc>
        <w:tc>
          <w:tcPr>
            <w:tcW w:type="dxa" w:w="1500"/>
            <w:shd w:fill="FFFFFF" w:val="clear"/>
          </w:tcPr>
          <w:p>
            <w:r>
              <w:rPr>
                <w:rFonts w:ascii="Calibri" w:cs="Calibri" w:eastAsia="Calibri" w:hAnsi="Calibri"/>
                <w:b w:val="false"/>
                <w:bCs w:val="false"/>
                <w:color w:val="000000"/>
                <w:sz w:val="18"/>
                <w:szCs w:val="18"/>
              </w:rPr>
              <w:t xml:space="preserve">217.24</w:t>
            </w:r>
          </w:p>
        </w:tc>
        <w:tc>
          <w:tcPr>
            <w:tcW w:type="dxa" w:w="1500"/>
            <w:shd w:fill="FFFFFF" w:val="clear"/>
          </w:tcPr>
          <w:p>
            <w:r>
              <w:rPr>
                <w:rFonts w:ascii="Calibri" w:cs="Calibri" w:eastAsia="Calibri" w:hAnsi="Calibri"/>
                <w:b w:val="false"/>
                <w:bCs w:val="false"/>
                <w:color w:val="000000"/>
                <w:sz w:val="18"/>
                <w:szCs w:val="18"/>
              </w:rPr>
              <w:t xml:space="preserve">207.28</w:t>
            </w:r>
          </w:p>
        </w:tc>
        <w:tc>
          <w:tcPr>
            <w:tcW w:type="dxa" w:w="1200"/>
            <w:shd w:fill="FFFFFF" w:val="clear"/>
          </w:tcPr>
          <w:p>
            <w:r>
              <w:rPr>
                <w:rFonts w:ascii="Calibri" w:cs="Calibri" w:eastAsia="Calibri" w:hAnsi="Calibri"/>
                <w:b w:val="false"/>
                <w:bCs w:val="false"/>
                <w:color w:val="000000"/>
                <w:sz w:val="18"/>
                <w:szCs w:val="18"/>
              </w:rPr>
              <w:t xml:space="preserve">215</w:t>
            </w:r>
          </w:p>
        </w:tc>
        <w:tc>
          <w:tcPr>
            <w:tcW w:type="dxa" w:w="1500"/>
            <w:shd w:fill="FFFFFF" w:val="clear"/>
          </w:tcPr>
          <w:p>
            <w:r>
              <w:rPr>
                <w:rFonts w:ascii="Calibri" w:cs="Calibri" w:eastAsia="Calibri" w:hAnsi="Calibri"/>
                <w:b w:val="false"/>
                <w:bCs w:val="false"/>
                <w:color w:val="000000"/>
                <w:sz w:val="18"/>
                <w:szCs w:val="18"/>
              </w:rPr>
              <w:t xml:space="preserve">52.2%</w:t>
            </w:r>
          </w:p>
        </w:tc>
        <w:tc>
          <w:tcPr>
            <w:tcW w:type="dxa" w:w="1400"/>
            <w:shd w:fill="FFFFFF" w:val="clear"/>
          </w:tcPr>
          <w:p>
            <w:r>
              <w:rPr>
                <w:rFonts w:ascii="Calibri" w:cs="Calibri" w:eastAsia="Calibri" w:hAnsi="Calibri"/>
                <w:b/>
                <w:bCs/>
                <w:color w:val="B00020"/>
                <w:sz w:val="18"/>
                <w:szCs w:val="18"/>
              </w:rPr>
              <w:t xml:space="preserve">-2.66</w:t>
            </w:r>
          </w:p>
        </w:tc>
      </w:tr>
      <w:tr>
        <w:tc>
          <w:tcPr>
            <w:tcW w:type="dxa" w:w="1900"/>
            <w:shd w:fill="F2F5FA" w:val="clear"/>
          </w:tcPr>
          <w:p>
            <w:r>
              <w:rPr>
                <w:rFonts w:ascii="Calibri" w:cs="Calibri" w:eastAsia="Calibri" w:hAnsi="Calibri"/>
                <w:b w:val="false"/>
                <w:bCs w:val="false"/>
                <w:color w:val="000000"/>
                <w:sz w:val="18"/>
                <w:szCs w:val="18"/>
              </w:rPr>
              <w:t xml:space="preserve">2023-01-25</w:t>
            </w:r>
          </w:p>
        </w:tc>
        <w:tc>
          <w:tcPr>
            <w:tcW w:type="dxa" w:w="1500"/>
            <w:shd w:fill="F2F5FA" w:val="clear"/>
          </w:tcPr>
          <w:p>
            <w:r>
              <w:rPr>
                <w:rFonts w:ascii="Calibri" w:cs="Calibri" w:eastAsia="Calibri" w:hAnsi="Calibri"/>
                <w:b w:val="false"/>
                <w:bCs w:val="false"/>
                <w:color w:val="000000"/>
                <w:sz w:val="18"/>
                <w:szCs w:val="18"/>
              </w:rPr>
              <w:t xml:space="preserve">128.78</w:t>
            </w:r>
          </w:p>
        </w:tc>
        <w:tc>
          <w:tcPr>
            <w:tcW w:type="dxa" w:w="1500"/>
            <w:shd w:fill="F2F5FA" w:val="clear"/>
          </w:tcPr>
          <w:p>
            <w:r>
              <w:rPr>
                <w:rFonts w:ascii="Calibri" w:cs="Calibri" w:eastAsia="Calibri" w:hAnsi="Calibri"/>
                <w:b w:val="false"/>
                <w:bCs w:val="false"/>
                <w:color w:val="000000"/>
                <w:sz w:val="18"/>
                <w:szCs w:val="18"/>
              </w:rPr>
              <w:t xml:space="preserve">160.27</w:t>
            </w:r>
          </w:p>
        </w:tc>
        <w:tc>
          <w:tcPr>
            <w:tcW w:type="dxa" w:w="1200"/>
            <w:shd w:fill="F2F5FA" w:val="clear"/>
          </w:tcPr>
          <w:p>
            <w:r>
              <w:rPr>
                <w:rFonts w:ascii="Calibri" w:cs="Calibri" w:eastAsia="Calibri" w:hAnsi="Calibri"/>
                <w:b w:val="false"/>
                <w:bCs w:val="false"/>
                <w:color w:val="000000"/>
                <w:sz w:val="18"/>
                <w:szCs w:val="18"/>
              </w:rPr>
              <w:t xml:space="preserve">130</w:t>
            </w:r>
          </w:p>
        </w:tc>
        <w:tc>
          <w:tcPr>
            <w:tcW w:type="dxa" w:w="1500"/>
            <w:shd w:fill="F2F5FA" w:val="clear"/>
          </w:tcPr>
          <w:p>
            <w:r>
              <w:rPr>
                <w:rFonts w:ascii="Calibri" w:cs="Calibri" w:eastAsia="Calibri" w:hAnsi="Calibri"/>
                <w:b w:val="false"/>
                <w:bCs w:val="false"/>
                <w:color w:val="000000"/>
                <w:sz w:val="18"/>
                <w:szCs w:val="18"/>
              </w:rPr>
              <w:t xml:space="preserve">83.0%</w:t>
            </w:r>
          </w:p>
        </w:tc>
        <w:tc>
          <w:tcPr>
            <w:tcW w:type="dxa" w:w="1400"/>
            <w:shd w:fill="F2F5FA" w:val="clear"/>
          </w:tcPr>
          <w:p>
            <w:r>
              <w:rPr>
                <w:rFonts w:ascii="Calibri" w:cs="Calibri" w:eastAsia="Calibri" w:hAnsi="Calibri"/>
                <w:b/>
                <w:bCs/>
                <w:color w:val="1E7B34"/>
                <w:sz w:val="18"/>
                <w:szCs w:val="18"/>
              </w:rPr>
              <w:t xml:space="preserve">+11.34</w:t>
            </w:r>
          </w:p>
        </w:tc>
      </w:tr>
      <w:tr>
        <w:tc>
          <w:tcPr>
            <w:tcW w:type="dxa" w:w="1900"/>
            <w:shd w:fill="FFFFFF" w:val="clear"/>
          </w:tcPr>
          <w:p>
            <w:r>
              <w:rPr>
                <w:rFonts w:ascii="Calibri" w:cs="Calibri" w:eastAsia="Calibri" w:hAnsi="Calibri"/>
                <w:b w:val="false"/>
                <w:bCs w:val="false"/>
                <w:color w:val="000000"/>
                <w:sz w:val="18"/>
                <w:szCs w:val="18"/>
              </w:rPr>
              <w:t xml:space="preserve">2023-04-19</w:t>
            </w:r>
          </w:p>
        </w:tc>
        <w:tc>
          <w:tcPr>
            <w:tcW w:type="dxa" w:w="1500"/>
            <w:shd w:fill="FFFFFF" w:val="clear"/>
          </w:tcPr>
          <w:p>
            <w:r>
              <w:rPr>
                <w:rFonts w:ascii="Calibri" w:cs="Calibri" w:eastAsia="Calibri" w:hAnsi="Calibri"/>
                <w:b w:val="false"/>
                <w:bCs w:val="false"/>
                <w:color w:val="000000"/>
                <w:sz w:val="18"/>
                <w:szCs w:val="18"/>
              </w:rPr>
              <w:t xml:space="preserve">180.54</w:t>
            </w:r>
          </w:p>
        </w:tc>
        <w:tc>
          <w:tcPr>
            <w:tcW w:type="dxa" w:w="1500"/>
            <w:shd w:fill="FFFFFF" w:val="clear"/>
          </w:tcPr>
          <w:p>
            <w:r>
              <w:rPr>
                <w:rFonts w:ascii="Calibri" w:cs="Calibri" w:eastAsia="Calibri" w:hAnsi="Calibri"/>
                <w:b w:val="false"/>
                <w:bCs w:val="false"/>
                <w:color w:val="000000"/>
                <w:sz w:val="18"/>
                <w:szCs w:val="18"/>
              </w:rPr>
              <w:t xml:space="preserve">162.99</w:t>
            </w:r>
          </w:p>
        </w:tc>
        <w:tc>
          <w:tcPr>
            <w:tcW w:type="dxa" w:w="1200"/>
            <w:shd w:fill="FFFFFF" w:val="clear"/>
          </w:tcPr>
          <w:p>
            <w:r>
              <w:rPr>
                <w:rFonts w:ascii="Calibri" w:cs="Calibri" w:eastAsia="Calibri" w:hAnsi="Calibri"/>
                <w:b w:val="false"/>
                <w:bCs w:val="false"/>
                <w:color w:val="000000"/>
                <w:sz w:val="18"/>
                <w:szCs w:val="18"/>
              </w:rPr>
              <w:t xml:space="preserve">180</w:t>
            </w:r>
          </w:p>
        </w:tc>
        <w:tc>
          <w:tcPr>
            <w:tcW w:type="dxa" w:w="1500"/>
            <w:shd w:fill="FFFFFF" w:val="clear"/>
          </w:tcPr>
          <w:p>
            <w:r>
              <w:rPr>
                <w:rFonts w:ascii="Calibri" w:cs="Calibri" w:eastAsia="Calibri" w:hAnsi="Calibri"/>
                <w:b w:val="false"/>
                <w:bCs w:val="false"/>
                <w:color w:val="000000"/>
                <w:sz w:val="18"/>
                <w:szCs w:val="18"/>
              </w:rPr>
              <w:t xml:space="preserve">52.5%</w:t>
            </w:r>
          </w:p>
        </w:tc>
        <w:tc>
          <w:tcPr>
            <w:tcW w:type="dxa" w:w="1400"/>
            <w:shd w:fill="FFFFFF" w:val="clear"/>
          </w:tcPr>
          <w:p>
            <w:r>
              <w:rPr>
                <w:rFonts w:ascii="Calibri" w:cs="Calibri" w:eastAsia="Calibri" w:hAnsi="Calibri"/>
                <w:b/>
                <w:bCs/>
                <w:color w:val="1E7B34"/>
                <w:sz w:val="18"/>
                <w:szCs w:val="18"/>
              </w:rPr>
              <w:t xml:space="preserve">+1.24</w:t>
            </w:r>
          </w:p>
        </w:tc>
      </w:tr>
      <w:tr>
        <w:tc>
          <w:tcPr>
            <w:tcW w:type="dxa" w:w="1900"/>
            <w:shd w:fill="F2F5FA" w:val="clear"/>
          </w:tcPr>
          <w:p>
            <w:r>
              <w:rPr>
                <w:rFonts w:ascii="Calibri" w:cs="Calibri" w:eastAsia="Calibri" w:hAnsi="Calibri"/>
                <w:b w:val="false"/>
                <w:bCs w:val="false"/>
                <w:color w:val="000000"/>
                <w:sz w:val="18"/>
                <w:szCs w:val="18"/>
              </w:rPr>
              <w:t xml:space="preserve">2023-07-19</w:t>
            </w:r>
          </w:p>
        </w:tc>
        <w:tc>
          <w:tcPr>
            <w:tcW w:type="dxa" w:w="1500"/>
            <w:shd w:fill="F2F5FA" w:val="clear"/>
          </w:tcPr>
          <w:p>
            <w:r>
              <w:rPr>
                <w:rFonts w:ascii="Calibri" w:cs="Calibri" w:eastAsia="Calibri" w:hAnsi="Calibri"/>
                <w:b w:val="false"/>
                <w:bCs w:val="false"/>
                <w:color w:val="000000"/>
                <w:sz w:val="18"/>
                <w:szCs w:val="18"/>
              </w:rPr>
              <w:t xml:space="preserve">271.99</w:t>
            </w:r>
          </w:p>
        </w:tc>
        <w:tc>
          <w:tcPr>
            <w:tcW w:type="dxa" w:w="1500"/>
            <w:shd w:fill="F2F5FA" w:val="clear"/>
          </w:tcPr>
          <w:p>
            <w:r>
              <w:rPr>
                <w:rFonts w:ascii="Calibri" w:cs="Calibri" w:eastAsia="Calibri" w:hAnsi="Calibri"/>
                <w:b w:val="false"/>
                <w:bCs w:val="false"/>
                <w:color w:val="000000"/>
                <w:sz w:val="18"/>
                <w:szCs w:val="18"/>
              </w:rPr>
              <w:t xml:space="preserve">262.90</w:t>
            </w:r>
          </w:p>
        </w:tc>
        <w:tc>
          <w:tcPr>
            <w:tcW w:type="dxa" w:w="1200"/>
            <w:shd w:fill="F2F5FA" w:val="clear"/>
          </w:tcPr>
          <w:p>
            <w:r>
              <w:rPr>
                <w:rFonts w:ascii="Calibri" w:cs="Calibri" w:eastAsia="Calibri" w:hAnsi="Calibri"/>
                <w:b w:val="false"/>
                <w:bCs w:val="false"/>
                <w:color w:val="000000"/>
                <w:sz w:val="18"/>
                <w:szCs w:val="18"/>
              </w:rPr>
              <w:t xml:space="preserve">270</w:t>
            </w:r>
          </w:p>
        </w:tc>
        <w:tc>
          <w:tcPr>
            <w:tcW w:type="dxa" w:w="1500"/>
            <w:shd w:fill="F2F5FA" w:val="clear"/>
          </w:tcPr>
          <w:p>
            <w:r>
              <w:rPr>
                <w:rFonts w:ascii="Calibri" w:cs="Calibri" w:eastAsia="Calibri" w:hAnsi="Calibri"/>
                <w:b w:val="false"/>
                <w:bCs w:val="false"/>
                <w:color w:val="000000"/>
                <w:sz w:val="18"/>
                <w:szCs w:val="18"/>
              </w:rPr>
              <w:t xml:space="preserve">46.1%</w:t>
            </w:r>
          </w:p>
        </w:tc>
        <w:tc>
          <w:tcPr>
            <w:tcW w:type="dxa" w:w="1400"/>
            <w:shd w:fill="F2F5FA" w:val="clear"/>
          </w:tcPr>
          <w:p>
            <w:r>
              <w:rPr>
                <w:rFonts w:ascii="Calibri" w:cs="Calibri" w:eastAsia="Calibri" w:hAnsi="Calibri"/>
                <w:b/>
                <w:bCs/>
                <w:color w:val="B00020"/>
                <w:sz w:val="18"/>
                <w:szCs w:val="18"/>
              </w:rPr>
              <w:t xml:space="preserve">-3.04</w:t>
            </w:r>
          </w:p>
        </w:tc>
      </w:tr>
      <w:tr>
        <w:tc>
          <w:tcPr>
            <w:tcW w:type="dxa" w:w="1900"/>
            <w:shd w:fill="FFFFFF" w:val="clear"/>
          </w:tcPr>
          <w:p>
            <w:r>
              <w:rPr>
                <w:rFonts w:ascii="Calibri" w:cs="Calibri" w:eastAsia="Calibri" w:hAnsi="Calibri"/>
                <w:b w:val="false"/>
                <w:bCs w:val="false"/>
                <w:color w:val="000000"/>
                <w:sz w:val="18"/>
                <w:szCs w:val="18"/>
              </w:rPr>
              <w:t xml:space="preserve">2023-10-18</w:t>
            </w:r>
          </w:p>
        </w:tc>
        <w:tc>
          <w:tcPr>
            <w:tcW w:type="dxa" w:w="1500"/>
            <w:shd w:fill="FFFFFF" w:val="clear"/>
          </w:tcPr>
          <w:p>
            <w:r>
              <w:rPr>
                <w:rFonts w:ascii="Calibri" w:cs="Calibri" w:eastAsia="Calibri" w:hAnsi="Calibri"/>
                <w:b w:val="false"/>
                <w:bCs w:val="false"/>
                <w:color w:val="000000"/>
                <w:sz w:val="18"/>
                <w:szCs w:val="18"/>
              </w:rPr>
              <w:t xml:space="preserve">262.99</w:t>
            </w:r>
          </w:p>
        </w:tc>
        <w:tc>
          <w:tcPr>
            <w:tcW w:type="dxa" w:w="1500"/>
            <w:shd w:fill="FFFFFF" w:val="clear"/>
          </w:tcPr>
          <w:p>
            <w:r>
              <w:rPr>
                <w:rFonts w:ascii="Calibri" w:cs="Calibri" w:eastAsia="Calibri" w:hAnsi="Calibri"/>
                <w:b w:val="false"/>
                <w:bCs w:val="false"/>
                <w:color w:val="000000"/>
                <w:sz w:val="18"/>
                <w:szCs w:val="18"/>
              </w:rPr>
              <w:t xml:space="preserve">220.11</w:t>
            </w:r>
          </w:p>
        </w:tc>
        <w:tc>
          <w:tcPr>
            <w:tcW w:type="dxa" w:w="1200"/>
            <w:shd w:fill="FFFFFF" w:val="clear"/>
          </w:tcPr>
          <w:p>
            <w:r>
              <w:rPr>
                <w:rFonts w:ascii="Calibri" w:cs="Calibri" w:eastAsia="Calibri" w:hAnsi="Calibri"/>
                <w:b w:val="false"/>
                <w:bCs w:val="false"/>
                <w:color w:val="000000"/>
                <w:sz w:val="18"/>
                <w:szCs w:val="18"/>
              </w:rPr>
              <w:t xml:space="preserve">265</w:t>
            </w:r>
          </w:p>
        </w:tc>
        <w:tc>
          <w:tcPr>
            <w:tcW w:type="dxa" w:w="1500"/>
            <w:shd w:fill="FFFFFF" w:val="clear"/>
          </w:tcPr>
          <w:p>
            <w:r>
              <w:rPr>
                <w:rFonts w:ascii="Calibri" w:cs="Calibri" w:eastAsia="Calibri" w:hAnsi="Calibri"/>
                <w:b w:val="false"/>
                <w:bCs w:val="false"/>
                <w:color w:val="000000"/>
                <w:sz w:val="18"/>
                <w:szCs w:val="18"/>
              </w:rPr>
              <w:t xml:space="preserve">46.4%</w:t>
            </w:r>
          </w:p>
        </w:tc>
        <w:tc>
          <w:tcPr>
            <w:tcW w:type="dxa" w:w="1400"/>
            <w:shd w:fill="FFFFFF" w:val="clear"/>
          </w:tcPr>
          <w:p>
            <w:r>
              <w:rPr>
                <w:rFonts w:ascii="Calibri" w:cs="Calibri" w:eastAsia="Calibri" w:hAnsi="Calibri"/>
                <w:b/>
                <w:bCs/>
                <w:color w:val="1E7B34"/>
                <w:sz w:val="18"/>
                <w:szCs w:val="18"/>
              </w:rPr>
              <w:t xml:space="preserve">+17.61</w:t>
            </w:r>
          </w:p>
        </w:tc>
      </w:tr>
      <w:tr>
        <w:tc>
          <w:tcPr>
            <w:tcW w:type="dxa" w:w="1900"/>
            <w:shd w:fill="F2F5FA" w:val="clear"/>
          </w:tcPr>
          <w:p>
            <w:r>
              <w:rPr>
                <w:rFonts w:ascii="Calibri" w:cs="Calibri" w:eastAsia="Calibri" w:hAnsi="Calibri"/>
                <w:b w:val="false"/>
                <w:bCs w:val="false"/>
                <w:color w:val="000000"/>
                <w:sz w:val="18"/>
                <w:szCs w:val="18"/>
              </w:rPr>
              <w:t xml:space="preserve">2024-01-24</w:t>
            </w:r>
          </w:p>
        </w:tc>
        <w:tc>
          <w:tcPr>
            <w:tcW w:type="dxa" w:w="1500"/>
            <w:shd w:fill="F2F5FA" w:val="clear"/>
          </w:tcPr>
          <w:p>
            <w:r>
              <w:rPr>
                <w:rFonts w:ascii="Calibri" w:cs="Calibri" w:eastAsia="Calibri" w:hAnsi="Calibri"/>
                <w:b w:val="false"/>
                <w:bCs w:val="false"/>
                <w:color w:val="000000"/>
                <w:sz w:val="18"/>
                <w:szCs w:val="18"/>
              </w:rPr>
              <w:t xml:space="preserve">215.55</w:t>
            </w:r>
          </w:p>
        </w:tc>
        <w:tc>
          <w:tcPr>
            <w:tcW w:type="dxa" w:w="1500"/>
            <w:shd w:fill="F2F5FA" w:val="clear"/>
          </w:tcPr>
          <w:p>
            <w:r>
              <w:rPr>
                <w:rFonts w:ascii="Calibri" w:cs="Calibri" w:eastAsia="Calibri" w:hAnsi="Calibri"/>
                <w:b w:val="false"/>
                <w:bCs w:val="false"/>
                <w:color w:val="000000"/>
                <w:sz w:val="18"/>
                <w:szCs w:val="18"/>
              </w:rPr>
              <w:t xml:space="preserve">182.63</w:t>
            </w:r>
          </w:p>
        </w:tc>
        <w:tc>
          <w:tcPr>
            <w:tcW w:type="dxa" w:w="1200"/>
            <w:shd w:fill="F2F5FA" w:val="clear"/>
          </w:tcPr>
          <w:p>
            <w:r>
              <w:rPr>
                <w:rFonts w:ascii="Calibri" w:cs="Calibri" w:eastAsia="Calibri" w:hAnsi="Calibri"/>
                <w:b w:val="false"/>
                <w:bCs w:val="false"/>
                <w:color w:val="000000"/>
                <w:sz w:val="18"/>
                <w:szCs w:val="18"/>
              </w:rPr>
              <w:t xml:space="preserve">215</w:t>
            </w:r>
          </w:p>
        </w:tc>
        <w:tc>
          <w:tcPr>
            <w:tcW w:type="dxa" w:w="1500"/>
            <w:shd w:fill="F2F5FA" w:val="clear"/>
          </w:tcPr>
          <w:p>
            <w:r>
              <w:rPr>
                <w:rFonts w:ascii="Calibri" w:cs="Calibri" w:eastAsia="Calibri" w:hAnsi="Calibri"/>
                <w:b w:val="false"/>
                <w:bCs w:val="false"/>
                <w:color w:val="000000"/>
                <w:sz w:val="18"/>
                <w:szCs w:val="18"/>
              </w:rPr>
              <w:t xml:space="preserve">33.8%</w:t>
            </w:r>
          </w:p>
        </w:tc>
        <w:tc>
          <w:tcPr>
            <w:tcW w:type="dxa" w:w="1400"/>
            <w:shd w:fill="F2F5FA" w:val="clear"/>
          </w:tcPr>
          <w:p>
            <w:r>
              <w:rPr>
                <w:rFonts w:ascii="Calibri" w:cs="Calibri" w:eastAsia="Calibri" w:hAnsi="Calibri"/>
                <w:b/>
                <w:bCs/>
                <w:color w:val="1E7B34"/>
                <w:sz w:val="18"/>
                <w:szCs w:val="18"/>
              </w:rPr>
              <w:t xml:space="preserve">+15.46</w:t>
            </w:r>
          </w:p>
        </w:tc>
      </w:tr>
      <w:tr>
        <w:tc>
          <w:tcPr>
            <w:tcW w:type="dxa" w:w="1900"/>
            <w:shd w:fill="FFFFFF" w:val="clear"/>
          </w:tcPr>
          <w:p>
            <w:r>
              <w:rPr>
                <w:rFonts w:ascii="Calibri" w:cs="Calibri" w:eastAsia="Calibri" w:hAnsi="Calibri"/>
                <w:b w:val="false"/>
                <w:bCs w:val="false"/>
                <w:color w:val="000000"/>
                <w:sz w:val="18"/>
                <w:szCs w:val="18"/>
              </w:rPr>
              <w:t xml:space="preserve">2024-04-23</w:t>
            </w:r>
          </w:p>
        </w:tc>
        <w:tc>
          <w:tcPr>
            <w:tcW w:type="dxa" w:w="1500"/>
            <w:shd w:fill="FFFFFF" w:val="clear"/>
          </w:tcPr>
          <w:p>
            <w:r>
              <w:rPr>
                <w:rFonts w:ascii="Calibri" w:cs="Calibri" w:eastAsia="Calibri" w:hAnsi="Calibri"/>
                <w:b w:val="false"/>
                <w:bCs w:val="false"/>
                <w:color w:val="000000"/>
                <w:sz w:val="18"/>
                <w:szCs w:val="18"/>
              </w:rPr>
              <w:t xml:space="preserve">157.11</w:t>
            </w:r>
          </w:p>
        </w:tc>
        <w:tc>
          <w:tcPr>
            <w:tcW w:type="dxa" w:w="1500"/>
            <w:shd w:fill="FFFFFF" w:val="clear"/>
          </w:tcPr>
          <w:p>
            <w:r>
              <w:rPr>
                <w:rFonts w:ascii="Calibri" w:cs="Calibri" w:eastAsia="Calibri" w:hAnsi="Calibri"/>
                <w:b w:val="false"/>
                <w:bCs w:val="false"/>
                <w:color w:val="000000"/>
                <w:sz w:val="18"/>
                <w:szCs w:val="18"/>
              </w:rPr>
              <w:t xml:space="preserve">162.13</w:t>
            </w:r>
          </w:p>
        </w:tc>
        <w:tc>
          <w:tcPr>
            <w:tcW w:type="dxa" w:w="1200"/>
            <w:shd w:fill="FFFFFF" w:val="clear"/>
          </w:tcPr>
          <w:p>
            <w:r>
              <w:rPr>
                <w:rFonts w:ascii="Calibri" w:cs="Calibri" w:eastAsia="Calibri" w:hAnsi="Calibri"/>
                <w:b w:val="false"/>
                <w:bCs w:val="false"/>
                <w:color w:val="000000"/>
                <w:sz w:val="18"/>
                <w:szCs w:val="18"/>
              </w:rPr>
              <w:t xml:space="preserve">155</w:t>
            </w:r>
          </w:p>
        </w:tc>
        <w:tc>
          <w:tcPr>
            <w:tcW w:type="dxa" w:w="1500"/>
            <w:shd w:fill="FFFFFF" w:val="clear"/>
          </w:tcPr>
          <w:p>
            <w:r>
              <w:rPr>
                <w:rFonts w:ascii="Calibri" w:cs="Calibri" w:eastAsia="Calibri" w:hAnsi="Calibri"/>
                <w:b w:val="false"/>
                <w:bCs w:val="false"/>
                <w:color w:val="000000"/>
                <w:sz w:val="18"/>
                <w:szCs w:val="18"/>
              </w:rPr>
              <w:t xml:space="preserve">46.5%</w:t>
            </w:r>
          </w:p>
        </w:tc>
        <w:tc>
          <w:tcPr>
            <w:tcW w:type="dxa" w:w="1400"/>
            <w:shd w:fill="FFFFFF" w:val="clear"/>
          </w:tcPr>
          <w:p>
            <w:r>
              <w:rPr>
                <w:rFonts w:ascii="Calibri" w:cs="Calibri" w:eastAsia="Calibri" w:hAnsi="Calibri"/>
                <w:b/>
                <w:bCs/>
                <w:color w:val="B00020"/>
                <w:sz w:val="18"/>
                <w:szCs w:val="18"/>
              </w:rPr>
              <w:t xml:space="preserve">-0.43</w:t>
            </w:r>
          </w:p>
        </w:tc>
      </w:tr>
      <w:tr>
        <w:tc>
          <w:tcPr>
            <w:tcW w:type="dxa" w:w="1900"/>
            <w:shd w:fill="F2F5FA" w:val="clear"/>
          </w:tcPr>
          <w:p>
            <w:r>
              <w:rPr>
                <w:rFonts w:ascii="Calibri" w:cs="Calibri" w:eastAsia="Calibri" w:hAnsi="Calibri"/>
                <w:b w:val="false"/>
                <w:bCs w:val="false"/>
                <w:color w:val="000000"/>
                <w:sz w:val="18"/>
                <w:szCs w:val="18"/>
              </w:rPr>
              <w:t xml:space="preserve">2024-07-23</w:t>
            </w:r>
          </w:p>
        </w:tc>
        <w:tc>
          <w:tcPr>
            <w:tcW w:type="dxa" w:w="1500"/>
            <w:shd w:fill="F2F5FA" w:val="clear"/>
          </w:tcPr>
          <w:p>
            <w:r>
              <w:rPr>
                <w:rFonts w:ascii="Calibri" w:cs="Calibri" w:eastAsia="Calibri" w:hAnsi="Calibri"/>
                <w:b w:val="false"/>
                <w:bCs w:val="false"/>
                <w:color w:val="000000"/>
                <w:sz w:val="18"/>
                <w:szCs w:val="18"/>
              </w:rPr>
              <w:t xml:space="preserve">256.56</w:t>
            </w:r>
          </w:p>
        </w:tc>
        <w:tc>
          <w:tcPr>
            <w:tcW w:type="dxa" w:w="1500"/>
            <w:shd w:fill="F2F5FA" w:val="clear"/>
          </w:tcPr>
          <w:p>
            <w:r>
              <w:rPr>
                <w:rFonts w:ascii="Calibri" w:cs="Calibri" w:eastAsia="Calibri" w:hAnsi="Calibri"/>
                <w:b w:val="false"/>
                <w:bCs w:val="false"/>
                <w:color w:val="000000"/>
                <w:sz w:val="18"/>
                <w:szCs w:val="18"/>
              </w:rPr>
              <w:t xml:space="preserve">215.99</w:t>
            </w:r>
          </w:p>
        </w:tc>
        <w:tc>
          <w:tcPr>
            <w:tcW w:type="dxa" w:w="1200"/>
            <w:shd w:fill="F2F5FA" w:val="clear"/>
          </w:tcPr>
          <w:p>
            <w:r>
              <w:rPr>
                <w:rFonts w:ascii="Calibri" w:cs="Calibri" w:eastAsia="Calibri" w:hAnsi="Calibri"/>
                <w:b w:val="false"/>
                <w:bCs w:val="false"/>
                <w:color w:val="000000"/>
                <w:sz w:val="18"/>
                <w:szCs w:val="18"/>
              </w:rPr>
              <w:t xml:space="preserve">255</w:t>
            </w:r>
          </w:p>
        </w:tc>
        <w:tc>
          <w:tcPr>
            <w:tcW w:type="dxa" w:w="1500"/>
            <w:shd w:fill="F2F5FA" w:val="clear"/>
          </w:tcPr>
          <w:p>
            <w:r>
              <w:rPr>
                <w:rFonts w:ascii="Calibri" w:cs="Calibri" w:eastAsia="Calibri" w:hAnsi="Calibri"/>
                <w:b w:val="false"/>
                <w:bCs w:val="false"/>
                <w:color w:val="000000"/>
                <w:sz w:val="18"/>
                <w:szCs w:val="18"/>
              </w:rPr>
              <w:t xml:space="preserve">54.1%</w:t>
            </w:r>
          </w:p>
        </w:tc>
        <w:tc>
          <w:tcPr>
            <w:tcW w:type="dxa" w:w="1400"/>
            <w:shd w:fill="F2F5FA" w:val="clear"/>
          </w:tcPr>
          <w:p>
            <w:r>
              <w:rPr>
                <w:rFonts w:ascii="Calibri" w:cs="Calibri" w:eastAsia="Calibri" w:hAnsi="Calibri"/>
                <w:b/>
                <w:bCs/>
                <w:color w:val="1E7B34"/>
                <w:sz w:val="18"/>
                <w:szCs w:val="18"/>
              </w:rPr>
              <w:t xml:space="preserve">+10.38</w:t>
            </w:r>
          </w:p>
        </w:tc>
      </w:tr>
      <w:tr>
        <w:tc>
          <w:tcPr>
            <w:tcW w:type="dxa" w:w="1900"/>
            <w:shd w:fill="FFFFFF" w:val="clear"/>
          </w:tcPr>
          <w:p>
            <w:r>
              <w:rPr>
                <w:rFonts w:ascii="Calibri" w:cs="Calibri" w:eastAsia="Calibri" w:hAnsi="Calibri"/>
                <w:b w:val="false"/>
                <w:bCs w:val="false"/>
                <w:color w:val="000000"/>
                <w:sz w:val="18"/>
                <w:szCs w:val="18"/>
              </w:rPr>
              <w:t xml:space="preserve">2024-10-23</w:t>
            </w:r>
          </w:p>
        </w:tc>
        <w:tc>
          <w:tcPr>
            <w:tcW w:type="dxa" w:w="1500"/>
            <w:shd w:fill="FFFFFF" w:val="clear"/>
          </w:tcPr>
          <w:p>
            <w:r>
              <w:rPr>
                <w:rFonts w:ascii="Calibri" w:cs="Calibri" w:eastAsia="Calibri" w:hAnsi="Calibri"/>
                <w:b w:val="false"/>
                <w:bCs w:val="false"/>
                <w:color w:val="000000"/>
                <w:sz w:val="18"/>
                <w:szCs w:val="18"/>
              </w:rPr>
              <w:t xml:space="preserve">221.33</w:t>
            </w:r>
          </w:p>
        </w:tc>
        <w:tc>
          <w:tcPr>
            <w:tcW w:type="dxa" w:w="1500"/>
            <w:shd w:fill="FFFFFF" w:val="clear"/>
          </w:tcPr>
          <w:p>
            <w:r>
              <w:rPr>
                <w:rFonts w:ascii="Calibri" w:cs="Calibri" w:eastAsia="Calibri" w:hAnsi="Calibri"/>
                <w:b w:val="false"/>
                <w:bCs w:val="false"/>
                <w:color w:val="000000"/>
                <w:sz w:val="18"/>
                <w:szCs w:val="18"/>
              </w:rPr>
              <w:t xml:space="preserve">260.48</w:t>
            </w:r>
          </w:p>
        </w:tc>
        <w:tc>
          <w:tcPr>
            <w:tcW w:type="dxa" w:w="1200"/>
            <w:shd w:fill="FFFFFF" w:val="clear"/>
          </w:tcPr>
          <w:p>
            <w:r>
              <w:rPr>
                <w:rFonts w:ascii="Calibri" w:cs="Calibri" w:eastAsia="Calibri" w:hAnsi="Calibri"/>
                <w:b w:val="false"/>
                <w:bCs w:val="false"/>
                <w:color w:val="000000"/>
                <w:sz w:val="18"/>
                <w:szCs w:val="18"/>
              </w:rPr>
              <w:t xml:space="preserve">220</w:t>
            </w:r>
          </w:p>
        </w:tc>
        <w:tc>
          <w:tcPr>
            <w:tcW w:type="dxa" w:w="1500"/>
            <w:shd w:fill="FFFFFF" w:val="clear"/>
          </w:tcPr>
          <w:p>
            <w:r>
              <w:rPr>
                <w:rFonts w:ascii="Calibri" w:cs="Calibri" w:eastAsia="Calibri" w:hAnsi="Calibri"/>
                <w:b w:val="false"/>
                <w:bCs w:val="false"/>
                <w:color w:val="000000"/>
                <w:sz w:val="18"/>
                <w:szCs w:val="18"/>
              </w:rPr>
              <w:t xml:space="preserve">56.5%</w:t>
            </w:r>
          </w:p>
        </w:tc>
        <w:tc>
          <w:tcPr>
            <w:tcW w:type="dxa" w:w="1400"/>
            <w:shd w:fill="FFFFFF" w:val="clear"/>
          </w:tcPr>
          <w:p>
            <w:r>
              <w:rPr>
                <w:rFonts w:ascii="Calibri" w:cs="Calibri" w:eastAsia="Calibri" w:hAnsi="Calibri"/>
                <w:b/>
                <w:bCs/>
                <w:color w:val="1E7B34"/>
                <w:sz w:val="18"/>
                <w:szCs w:val="18"/>
              </w:rPr>
              <w:t xml:space="preserve">+16.68</w:t>
            </w:r>
          </w:p>
        </w:tc>
      </w:tr>
      <w:tr>
        <w:tc>
          <w:tcPr>
            <w:tcW w:type="dxa" w:w="1900"/>
            <w:shd w:fill="F2F5FA" w:val="clear"/>
          </w:tcPr>
          <w:p>
            <w:r>
              <w:rPr>
                <w:rFonts w:ascii="Calibri" w:cs="Calibri" w:eastAsia="Calibri" w:hAnsi="Calibri"/>
                <w:b w:val="false"/>
                <w:bCs w:val="false"/>
                <w:color w:val="000000"/>
                <w:sz w:val="18"/>
                <w:szCs w:val="18"/>
              </w:rPr>
              <w:t xml:space="preserve">2025-01-29</w:t>
            </w:r>
          </w:p>
        </w:tc>
        <w:tc>
          <w:tcPr>
            <w:tcW w:type="dxa" w:w="1500"/>
            <w:shd w:fill="F2F5FA" w:val="clear"/>
          </w:tcPr>
          <w:p>
            <w:r>
              <w:rPr>
                <w:rFonts w:ascii="Calibri" w:cs="Calibri" w:eastAsia="Calibri" w:hAnsi="Calibri"/>
                <w:b w:val="false"/>
                <w:bCs w:val="false"/>
                <w:color w:val="000000"/>
                <w:sz w:val="18"/>
                <w:szCs w:val="18"/>
              </w:rPr>
              <w:t xml:space="preserve">415.11</w:t>
            </w:r>
          </w:p>
        </w:tc>
        <w:tc>
          <w:tcPr>
            <w:tcW w:type="dxa" w:w="1500"/>
            <w:shd w:fill="F2F5FA" w:val="clear"/>
          </w:tcPr>
          <w:p>
            <w:r>
              <w:rPr>
                <w:rFonts w:ascii="Calibri" w:cs="Calibri" w:eastAsia="Calibri" w:hAnsi="Calibri"/>
                <w:b w:val="false"/>
                <w:bCs w:val="false"/>
                <w:color w:val="000000"/>
                <w:sz w:val="18"/>
                <w:szCs w:val="18"/>
              </w:rPr>
              <w:t xml:space="preserve">400.28</w:t>
            </w:r>
          </w:p>
        </w:tc>
        <w:tc>
          <w:tcPr>
            <w:tcW w:type="dxa" w:w="1200"/>
            <w:shd w:fill="F2F5FA" w:val="clear"/>
          </w:tcPr>
          <w:p>
            <w:r>
              <w:rPr>
                <w:rFonts w:ascii="Calibri" w:cs="Calibri" w:eastAsia="Calibri" w:hAnsi="Calibri"/>
                <w:b w:val="false"/>
                <w:bCs w:val="false"/>
                <w:color w:val="000000"/>
                <w:sz w:val="18"/>
                <w:szCs w:val="18"/>
              </w:rPr>
              <w:t xml:space="preserve">415</w:t>
            </w:r>
          </w:p>
        </w:tc>
        <w:tc>
          <w:tcPr>
            <w:tcW w:type="dxa" w:w="1500"/>
            <w:shd w:fill="F2F5FA" w:val="clear"/>
          </w:tcPr>
          <w:p>
            <w:r>
              <w:rPr>
                <w:rFonts w:ascii="Calibri" w:cs="Calibri" w:eastAsia="Calibri" w:hAnsi="Calibri"/>
                <w:b w:val="false"/>
                <w:bCs w:val="false"/>
                <w:color w:val="000000"/>
                <w:sz w:val="18"/>
                <w:szCs w:val="18"/>
              </w:rPr>
              <w:t xml:space="preserve">68.4%</w:t>
            </w:r>
          </w:p>
        </w:tc>
        <w:tc>
          <w:tcPr>
            <w:tcW w:type="dxa" w:w="1400"/>
            <w:shd w:fill="F2F5FA" w:val="clear"/>
          </w:tcPr>
          <w:p>
            <w:r>
              <w:rPr>
                <w:rFonts w:ascii="Calibri" w:cs="Calibri" w:eastAsia="Calibri" w:hAnsi="Calibri"/>
                <w:b/>
                <w:bCs/>
                <w:color w:val="B00020"/>
                <w:sz w:val="18"/>
                <w:szCs w:val="18"/>
              </w:rPr>
              <w:t xml:space="preserve">-6.86</w:t>
            </w:r>
          </w:p>
        </w:tc>
      </w:tr>
      <w:tr>
        <w:tc>
          <w:tcPr>
            <w:tcW w:type="dxa" w:w="1900"/>
            <w:shd w:fill="FFFFFF" w:val="clear"/>
          </w:tcPr>
          <w:p>
            <w:r>
              <w:rPr>
                <w:rFonts w:ascii="Calibri" w:cs="Calibri" w:eastAsia="Calibri" w:hAnsi="Calibri"/>
                <w:b w:val="false"/>
                <w:bCs w:val="false"/>
                <w:color w:val="000000"/>
                <w:sz w:val="18"/>
                <w:szCs w:val="18"/>
              </w:rPr>
              <w:t xml:space="preserve">2025-04-22</w:t>
            </w:r>
          </w:p>
        </w:tc>
        <w:tc>
          <w:tcPr>
            <w:tcW w:type="dxa" w:w="1500"/>
            <w:shd w:fill="FFFFFF" w:val="clear"/>
          </w:tcPr>
          <w:p>
            <w:r>
              <w:rPr>
                <w:rFonts w:ascii="Calibri" w:cs="Calibri" w:eastAsia="Calibri" w:hAnsi="Calibri"/>
                <w:b w:val="false"/>
                <w:bCs w:val="false"/>
                <w:color w:val="000000"/>
                <w:sz w:val="18"/>
                <w:szCs w:val="18"/>
              </w:rPr>
              <w:t xml:space="preserve">252.35</w:t>
            </w:r>
          </w:p>
        </w:tc>
        <w:tc>
          <w:tcPr>
            <w:tcW w:type="dxa" w:w="1500"/>
            <w:shd w:fill="FFFFFF" w:val="clear"/>
          </w:tcPr>
          <w:p>
            <w:r>
              <w:rPr>
                <w:rFonts w:ascii="Calibri" w:cs="Calibri" w:eastAsia="Calibri" w:hAnsi="Calibri"/>
                <w:b w:val="false"/>
                <w:bCs w:val="false"/>
                <w:color w:val="000000"/>
                <w:sz w:val="18"/>
                <w:szCs w:val="18"/>
              </w:rPr>
              <w:t xml:space="preserve">250.74</w:t>
            </w:r>
          </w:p>
        </w:tc>
        <w:tc>
          <w:tcPr>
            <w:tcW w:type="dxa" w:w="1200"/>
            <w:shd w:fill="FFFFFF" w:val="clear"/>
          </w:tcPr>
          <w:p>
            <w:r>
              <w:rPr>
                <w:rFonts w:ascii="Calibri" w:cs="Calibri" w:eastAsia="Calibri" w:hAnsi="Calibri"/>
                <w:b w:val="false"/>
                <w:bCs w:val="false"/>
                <w:color w:val="000000"/>
                <w:sz w:val="18"/>
                <w:szCs w:val="18"/>
              </w:rPr>
              <w:t xml:space="preserve">250</w:t>
            </w:r>
          </w:p>
        </w:tc>
        <w:tc>
          <w:tcPr>
            <w:tcW w:type="dxa" w:w="1500"/>
            <w:shd w:fill="FFFFFF" w:val="clear"/>
          </w:tcPr>
          <w:p>
            <w:r>
              <w:rPr>
                <w:rFonts w:ascii="Calibri" w:cs="Calibri" w:eastAsia="Calibri" w:hAnsi="Calibri"/>
                <w:b w:val="false"/>
                <w:bCs w:val="false"/>
                <w:color w:val="000000"/>
                <w:sz w:val="18"/>
                <w:szCs w:val="18"/>
              </w:rPr>
              <w:t xml:space="preserve">110.9%</w:t>
            </w:r>
          </w:p>
        </w:tc>
        <w:tc>
          <w:tcPr>
            <w:tcW w:type="dxa" w:w="1400"/>
            <w:shd w:fill="FFFFFF" w:val="clear"/>
          </w:tcPr>
          <w:p>
            <w:r>
              <w:rPr>
                <w:rFonts w:ascii="Calibri" w:cs="Calibri" w:eastAsia="Calibri" w:hAnsi="Calibri"/>
                <w:b/>
                <w:bCs/>
                <w:color w:val="B00020"/>
                <w:sz w:val="18"/>
                <w:szCs w:val="18"/>
              </w:rPr>
              <w:t xml:space="preserve">-6.84</w:t>
            </w:r>
          </w:p>
        </w:tc>
      </w:tr>
      <w:tr>
        <w:tc>
          <w:tcPr>
            <w:tcW w:type="dxa" w:w="1900"/>
            <w:shd w:fill="F2F5FA" w:val="clear"/>
          </w:tcPr>
          <w:p>
            <w:r>
              <w:rPr>
                <w:rFonts w:ascii="Calibri" w:cs="Calibri" w:eastAsia="Calibri" w:hAnsi="Calibri"/>
                <w:b w:val="false"/>
                <w:bCs w:val="false"/>
                <w:color w:val="000000"/>
                <w:sz w:val="18"/>
                <w:szCs w:val="18"/>
              </w:rPr>
              <w:t xml:space="preserve">2025-07-23</w:t>
            </w:r>
          </w:p>
        </w:tc>
        <w:tc>
          <w:tcPr>
            <w:tcW w:type="dxa" w:w="1500"/>
            <w:shd w:fill="F2F5FA" w:val="clear"/>
          </w:tcPr>
          <w:p>
            <w:r>
              <w:rPr>
                <w:rFonts w:ascii="Calibri" w:cs="Calibri" w:eastAsia="Calibri" w:hAnsi="Calibri"/>
                <w:b w:val="false"/>
                <w:bCs w:val="false"/>
                <w:color w:val="000000"/>
                <w:sz w:val="18"/>
                <w:szCs w:val="18"/>
              </w:rPr>
              <w:t xml:space="preserve">321.67</w:t>
            </w:r>
          </w:p>
        </w:tc>
        <w:tc>
          <w:tcPr>
            <w:tcW w:type="dxa" w:w="1500"/>
            <w:shd w:fill="F2F5FA" w:val="clear"/>
          </w:tcPr>
          <w:p>
            <w:r>
              <w:rPr>
                <w:rFonts w:ascii="Calibri" w:cs="Calibri" w:eastAsia="Calibri" w:hAnsi="Calibri"/>
                <w:b w:val="false"/>
                <w:bCs w:val="false"/>
                <w:color w:val="000000"/>
                <w:sz w:val="18"/>
                <w:szCs w:val="18"/>
              </w:rPr>
              <w:t xml:space="preserve">305.30</w:t>
            </w:r>
          </w:p>
        </w:tc>
        <w:tc>
          <w:tcPr>
            <w:tcW w:type="dxa" w:w="1200"/>
            <w:shd w:fill="F2F5FA" w:val="clear"/>
          </w:tcPr>
          <w:p>
            <w:r>
              <w:rPr>
                <w:rFonts w:ascii="Calibri" w:cs="Calibri" w:eastAsia="Calibri" w:hAnsi="Calibri"/>
                <w:b w:val="false"/>
                <w:bCs w:val="false"/>
                <w:color w:val="000000"/>
                <w:sz w:val="18"/>
                <w:szCs w:val="18"/>
              </w:rPr>
              <w:t xml:space="preserve">320</w:t>
            </w:r>
          </w:p>
        </w:tc>
        <w:tc>
          <w:tcPr>
            <w:tcW w:type="dxa" w:w="1500"/>
            <w:shd w:fill="F2F5FA" w:val="clear"/>
          </w:tcPr>
          <w:p>
            <w:r>
              <w:rPr>
                <w:rFonts w:ascii="Calibri" w:cs="Calibri" w:eastAsia="Calibri" w:hAnsi="Calibri"/>
                <w:b w:val="false"/>
                <w:bCs w:val="false"/>
                <w:color w:val="000000"/>
                <w:sz w:val="18"/>
                <w:szCs w:val="18"/>
              </w:rPr>
              <w:t xml:space="preserve">70.6%</w:t>
            </w:r>
          </w:p>
        </w:tc>
        <w:tc>
          <w:tcPr>
            <w:tcW w:type="dxa" w:w="1400"/>
            <w:shd w:fill="F2F5FA" w:val="clear"/>
          </w:tcPr>
          <w:p>
            <w:r>
              <w:rPr>
                <w:rFonts w:ascii="Calibri" w:cs="Calibri" w:eastAsia="Calibri" w:hAnsi="Calibri"/>
                <w:b/>
                <w:bCs/>
                <w:color w:val="B00020"/>
                <w:sz w:val="18"/>
                <w:szCs w:val="18"/>
              </w:rPr>
              <w:t xml:space="preserve">-5.34</w:t>
            </w:r>
          </w:p>
        </w:tc>
      </w:tr>
      <w:tr>
        <w:tc>
          <w:tcPr>
            <w:tcW w:type="dxa" w:w="1900"/>
            <w:shd w:fill="FFFFFF" w:val="clear"/>
          </w:tcPr>
          <w:p>
            <w:r>
              <w:rPr>
                <w:rFonts w:ascii="Calibri" w:cs="Calibri" w:eastAsia="Calibri" w:hAnsi="Calibri"/>
                <w:b w:val="false"/>
                <w:bCs w:val="false"/>
                <w:color w:val="000000"/>
                <w:sz w:val="18"/>
                <w:szCs w:val="18"/>
              </w:rPr>
              <w:t xml:space="preserve">2025-10-22</w:t>
            </w:r>
          </w:p>
        </w:tc>
        <w:tc>
          <w:tcPr>
            <w:tcW w:type="dxa" w:w="1500"/>
            <w:shd w:fill="FFFFFF" w:val="clear"/>
          </w:tcPr>
          <w:p>
            <w:r>
              <w:rPr>
                <w:rFonts w:ascii="Calibri" w:cs="Calibri" w:eastAsia="Calibri" w:hAnsi="Calibri"/>
                <w:b w:val="false"/>
                <w:bCs w:val="false"/>
                <w:color w:val="000000"/>
                <w:sz w:val="18"/>
                <w:szCs w:val="18"/>
              </w:rPr>
              <w:t xml:space="preserve">435.15</w:t>
            </w:r>
          </w:p>
        </w:tc>
        <w:tc>
          <w:tcPr>
            <w:tcW w:type="dxa" w:w="1500"/>
            <w:shd w:fill="FFFFFF" w:val="clear"/>
          </w:tcPr>
          <w:p>
            <w:r>
              <w:rPr>
                <w:rFonts w:ascii="Calibri" w:cs="Calibri" w:eastAsia="Calibri" w:hAnsi="Calibri"/>
                <w:b w:val="false"/>
                <w:bCs w:val="false"/>
                <w:color w:val="000000"/>
                <w:sz w:val="18"/>
                <w:szCs w:val="18"/>
              </w:rPr>
              <w:t xml:space="preserve">448.98</w:t>
            </w:r>
          </w:p>
        </w:tc>
        <w:tc>
          <w:tcPr>
            <w:tcW w:type="dxa" w:w="1200"/>
            <w:shd w:fill="FFFFFF" w:val="clear"/>
          </w:tcPr>
          <w:p>
            <w:r>
              <w:rPr>
                <w:rFonts w:ascii="Calibri" w:cs="Calibri" w:eastAsia="Calibri" w:hAnsi="Calibri"/>
                <w:b w:val="false"/>
                <w:bCs w:val="false"/>
                <w:color w:val="000000"/>
                <w:sz w:val="18"/>
                <w:szCs w:val="18"/>
              </w:rPr>
              <w:t xml:space="preserve">435</w:t>
            </w:r>
          </w:p>
        </w:tc>
        <w:tc>
          <w:tcPr>
            <w:tcW w:type="dxa" w:w="1500"/>
            <w:shd w:fill="FFFFFF" w:val="clear"/>
          </w:tcPr>
          <w:p>
            <w:r>
              <w:rPr>
                <w:rFonts w:ascii="Calibri" w:cs="Calibri" w:eastAsia="Calibri" w:hAnsi="Calibri"/>
                <w:b w:val="false"/>
                <w:bCs w:val="false"/>
                <w:color w:val="000000"/>
                <w:sz w:val="18"/>
                <w:szCs w:val="18"/>
              </w:rPr>
              <w:t xml:space="preserve">52.5%</w:t>
            </w:r>
          </w:p>
        </w:tc>
        <w:tc>
          <w:tcPr>
            <w:tcW w:type="dxa" w:w="1400"/>
            <w:shd w:fill="FFFFFF" w:val="clear"/>
          </w:tcPr>
          <w:p>
            <w:r>
              <w:rPr>
                <w:rFonts w:ascii="Calibri" w:cs="Calibri" w:eastAsia="Calibri" w:hAnsi="Calibri"/>
                <w:b/>
                <w:bCs/>
                <w:color w:val="B00020"/>
                <w:sz w:val="18"/>
                <w:szCs w:val="18"/>
              </w:rPr>
              <w:t xml:space="preserve">-3.17</w:t>
            </w:r>
          </w:p>
        </w:tc>
      </w:tr>
      <w:tr>
        <w:tc>
          <w:tcPr>
            <w:tcW w:type="dxa" w:w="1900"/>
            <w:shd w:fill="F2F5FA" w:val="clear"/>
          </w:tcPr>
          <w:p>
            <w:r>
              <w:rPr>
                <w:rFonts w:ascii="Calibri" w:cs="Calibri" w:eastAsia="Calibri" w:hAnsi="Calibri"/>
                <w:b w:val="false"/>
                <w:bCs w:val="false"/>
                <w:color w:val="000000"/>
                <w:sz w:val="18"/>
                <w:szCs w:val="18"/>
              </w:rPr>
              <w:t xml:space="preserve">2026-01-28</w:t>
            </w:r>
          </w:p>
        </w:tc>
        <w:tc>
          <w:tcPr>
            <w:tcW w:type="dxa" w:w="1500"/>
            <w:shd w:fill="F2F5FA" w:val="clear"/>
          </w:tcPr>
          <w:p>
            <w:r>
              <w:rPr>
                <w:rFonts w:ascii="Calibri" w:cs="Calibri" w:eastAsia="Calibri" w:hAnsi="Calibri"/>
                <w:b w:val="false"/>
                <w:bCs w:val="false"/>
                <w:color w:val="000000"/>
                <w:sz w:val="18"/>
                <w:szCs w:val="18"/>
              </w:rPr>
              <w:t xml:space="preserve">431.44</w:t>
            </w:r>
          </w:p>
        </w:tc>
        <w:tc>
          <w:tcPr>
            <w:tcW w:type="dxa" w:w="1500"/>
            <w:shd w:fill="F2F5FA" w:val="clear"/>
          </w:tcPr>
          <w:p>
            <w:r>
              <w:rPr>
                <w:rFonts w:ascii="Calibri" w:cs="Calibri" w:eastAsia="Calibri" w:hAnsi="Calibri"/>
                <w:b w:val="false"/>
                <w:bCs w:val="false"/>
                <w:color w:val="000000"/>
                <w:sz w:val="18"/>
                <w:szCs w:val="18"/>
              </w:rPr>
              <w:t xml:space="preserve">416.56</w:t>
            </w:r>
          </w:p>
        </w:tc>
        <w:tc>
          <w:tcPr>
            <w:tcW w:type="dxa" w:w="1200"/>
            <w:shd w:fill="F2F5FA" w:val="clear"/>
          </w:tcPr>
          <w:p>
            <w:r>
              <w:rPr>
                <w:rFonts w:ascii="Calibri" w:cs="Calibri" w:eastAsia="Calibri" w:hAnsi="Calibri"/>
                <w:b w:val="false"/>
                <w:bCs w:val="false"/>
                <w:color w:val="000000"/>
                <w:sz w:val="18"/>
                <w:szCs w:val="18"/>
              </w:rPr>
              <w:t xml:space="preserve">430</w:t>
            </w:r>
          </w:p>
        </w:tc>
        <w:tc>
          <w:tcPr>
            <w:tcW w:type="dxa" w:w="1500"/>
            <w:shd w:fill="F2F5FA" w:val="clear"/>
          </w:tcPr>
          <w:p>
            <w:r>
              <w:rPr>
                <w:rFonts w:ascii="Calibri" w:cs="Calibri" w:eastAsia="Calibri" w:hAnsi="Calibri"/>
                <w:b w:val="false"/>
                <w:bCs w:val="false"/>
                <w:color w:val="000000"/>
                <w:sz w:val="18"/>
                <w:szCs w:val="18"/>
              </w:rPr>
              <w:t xml:space="preserve">38.3%</w:t>
            </w:r>
          </w:p>
        </w:tc>
        <w:tc>
          <w:tcPr>
            <w:tcW w:type="dxa" w:w="1400"/>
            <w:shd w:fill="F2F5FA" w:val="clear"/>
          </w:tcPr>
          <w:p>
            <w:r>
              <w:rPr>
                <w:rFonts w:ascii="Calibri" w:cs="Calibri" w:eastAsia="Calibri" w:hAnsi="Calibri"/>
                <w:b/>
                <w:bCs/>
                <w:color w:val="B00020"/>
                <w:sz w:val="18"/>
                <w:szCs w:val="18"/>
              </w:rPr>
              <w:t xml:space="preserve">-3.25</w:t>
            </w:r>
          </w:p>
        </w:tc>
      </w:tr>
      <w:tr>
        <w:tc>
          <w:tcPr>
            <w:tcW w:type="dxa" w:w="1900"/>
            <w:shd w:fill="FFFFFF" w:val="clear"/>
          </w:tcPr>
          <w:p>
            <w:r>
              <w:rPr>
                <w:rFonts w:ascii="Calibri" w:cs="Calibri" w:eastAsia="Calibri" w:hAnsi="Calibri"/>
                <w:b w:val="false"/>
                <w:bCs w:val="false"/>
                <w:color w:val="000000"/>
                <w:sz w:val="18"/>
                <w:szCs w:val="18"/>
              </w:rPr>
              <w:t xml:space="preserve">2026-04-22</w:t>
            </w:r>
          </w:p>
        </w:tc>
        <w:tc>
          <w:tcPr>
            <w:tcW w:type="dxa" w:w="1500"/>
            <w:shd w:fill="FFFFFF" w:val="clear"/>
          </w:tcPr>
          <w:p>
            <w:r>
              <w:rPr>
                <w:rFonts w:ascii="Calibri" w:cs="Calibri" w:eastAsia="Calibri" w:hAnsi="Calibri"/>
                <w:b w:val="false"/>
                <w:bCs w:val="false"/>
                <w:color w:val="000000"/>
                <w:sz w:val="18"/>
                <w:szCs w:val="18"/>
              </w:rPr>
              <w:t xml:space="preserve">391.95</w:t>
            </w:r>
          </w:p>
        </w:tc>
        <w:tc>
          <w:tcPr>
            <w:tcW w:type="dxa" w:w="1500"/>
            <w:shd w:fill="FFFFFF" w:val="clear"/>
          </w:tcPr>
          <w:p>
            <w:r>
              <w:rPr>
                <w:rFonts w:ascii="Calibri" w:cs="Calibri" w:eastAsia="Calibri" w:hAnsi="Calibri"/>
                <w:b w:val="false"/>
                <w:bCs w:val="false"/>
                <w:color w:val="000000"/>
                <w:sz w:val="18"/>
                <w:szCs w:val="18"/>
              </w:rPr>
              <w:t xml:space="preserve">373.72</w:t>
            </w:r>
          </w:p>
        </w:tc>
        <w:tc>
          <w:tcPr>
            <w:tcW w:type="dxa" w:w="1200"/>
            <w:shd w:fill="FFFFFF" w:val="clear"/>
          </w:tcPr>
          <w:p>
            <w:r>
              <w:rPr>
                <w:rFonts w:ascii="Calibri" w:cs="Calibri" w:eastAsia="Calibri" w:hAnsi="Calibri"/>
                <w:b w:val="false"/>
                <w:bCs w:val="false"/>
                <w:color w:val="000000"/>
                <w:sz w:val="18"/>
                <w:szCs w:val="18"/>
              </w:rPr>
              <w:t xml:space="preserve">390</w:t>
            </w:r>
          </w:p>
        </w:tc>
        <w:tc>
          <w:tcPr>
            <w:tcW w:type="dxa" w:w="1500"/>
            <w:shd w:fill="FFFFFF" w:val="clear"/>
          </w:tcPr>
          <w:p>
            <w:r>
              <w:rPr>
                <w:rFonts w:ascii="Calibri" w:cs="Calibri" w:eastAsia="Calibri" w:hAnsi="Calibri"/>
                <w:b w:val="false"/>
                <w:bCs w:val="false"/>
                <w:color w:val="000000"/>
                <w:sz w:val="18"/>
                <w:szCs w:val="18"/>
              </w:rPr>
              <w:t xml:space="preserve">44.7%</w:t>
            </w:r>
          </w:p>
        </w:tc>
        <w:tc>
          <w:tcPr>
            <w:tcW w:type="dxa" w:w="1400"/>
            <w:shd w:fill="FFFFFF" w:val="clear"/>
          </w:tcPr>
          <w:p>
            <w:r>
              <w:rPr>
                <w:rFonts w:ascii="Calibri" w:cs="Calibri" w:eastAsia="Calibri" w:hAnsi="Calibri"/>
                <w:b/>
                <w:bCs/>
                <w:color w:val="B00020"/>
                <w:sz w:val="18"/>
                <w:szCs w:val="18"/>
              </w:rPr>
              <w:t xml:space="preserve">-3.09</w:t>
            </w:r>
          </w:p>
        </w:tc>
      </w:tr>
      <w:tr>
        <w:tc>
          <w:tcPr>
            <w:tcW w:type="dxa" w:w="1900"/>
            <w:shd w:fill="F2F5FA" w:val="clear"/>
          </w:tcPr>
          <w:p>
            <w:r>
              <w:rPr>
                <w:rFonts w:ascii="Calibri" w:cs="Calibri" w:eastAsia="Calibri" w:hAnsi="Calibri"/>
                <w:b w:val="false"/>
                <w:bCs w:val="false"/>
                <w:color w:val="000000"/>
                <w:sz w:val="18"/>
                <w:szCs w:val="18"/>
              </w:rPr>
              <w:t xml:space="preserve">2026-07-22</w:t>
            </w:r>
          </w:p>
        </w:tc>
        <w:tc>
          <w:tcPr>
            <w:tcW w:type="dxa" w:w="1500"/>
            <w:shd w:fill="F2F5FA" w:val="clear"/>
          </w:tcPr>
          <w:p>
            <w:r>
              <w:rPr>
                <w:rFonts w:ascii="Calibri" w:cs="Calibri" w:eastAsia="Calibri" w:hAnsi="Calibri"/>
                <w:b w:val="false"/>
                <w:bCs w:val="false"/>
                <w:color w:val="000000"/>
                <w:sz w:val="18"/>
                <w:szCs w:val="18"/>
              </w:rPr>
              <w:t xml:space="preserve">394.46</w:t>
            </w:r>
          </w:p>
        </w:tc>
        <w:tc>
          <w:tcPr>
            <w:tcW w:type="dxa" w:w="1500"/>
            <w:shd w:fill="F2F5FA" w:val="clear"/>
          </w:tcPr>
          <w:p>
            <w:r>
              <w:rPr>
                <w:rFonts w:ascii="Calibri" w:cs="Calibri" w:eastAsia="Calibri" w:hAnsi="Calibri"/>
                <w:b w:val="false"/>
                <w:bCs w:val="false"/>
                <w:color w:val="000000"/>
                <w:sz w:val="18"/>
                <w:szCs w:val="18"/>
              </w:rPr>
              <w:t xml:space="preserve">319.69</w:t>
            </w:r>
          </w:p>
        </w:tc>
        <w:tc>
          <w:tcPr>
            <w:tcW w:type="dxa" w:w="1200"/>
            <w:shd w:fill="F2F5FA" w:val="clear"/>
          </w:tcPr>
          <w:p>
            <w:r>
              <w:rPr>
                <w:rFonts w:ascii="Calibri" w:cs="Calibri" w:eastAsia="Calibri" w:hAnsi="Calibri"/>
                <w:b w:val="false"/>
                <w:bCs w:val="false"/>
                <w:color w:val="000000"/>
                <w:sz w:val="18"/>
                <w:szCs w:val="18"/>
              </w:rPr>
              <w:t xml:space="preserve">395</w:t>
            </w:r>
          </w:p>
        </w:tc>
        <w:tc>
          <w:tcPr>
            <w:tcW w:type="dxa" w:w="1500"/>
            <w:shd w:fill="F2F5FA" w:val="clear"/>
          </w:tcPr>
          <w:p>
            <w:r>
              <w:rPr>
                <w:rFonts w:ascii="Calibri" w:cs="Calibri" w:eastAsia="Calibri" w:hAnsi="Calibri"/>
                <w:b w:val="false"/>
                <w:bCs w:val="false"/>
                <w:color w:val="000000"/>
                <w:sz w:val="18"/>
                <w:szCs w:val="18"/>
              </w:rPr>
              <w:t xml:space="preserve">57.8%</w:t>
            </w:r>
          </w:p>
        </w:tc>
        <w:tc>
          <w:tcPr>
            <w:tcW w:type="dxa" w:w="1400"/>
            <w:shd w:fill="F2F5FA" w:val="clear"/>
          </w:tcPr>
          <w:p>
            <w:r>
              <w:rPr>
                <w:rFonts w:ascii="Calibri" w:cs="Calibri" w:eastAsia="Calibri" w:hAnsi="Calibri"/>
                <w:b/>
                <w:bCs/>
                <w:color w:val="1E7B34"/>
                <w:sz w:val="18"/>
                <w:szCs w:val="18"/>
              </w:rPr>
              <w:t xml:space="preserve">+25.77</w:t>
            </w:r>
          </w:p>
        </w:tc>
      </w:tr>
    </w:tbl>
    <w:p>
      <w:pPr>
        <w:spacing w:after="200"/>
      </w:pPr>
    </w:p>
    <w:p>
      <w:pPr>
        <w:pStyle w:val="Heading3"/>
        <w:spacing w:after="100" w:before="200"/>
      </w:pPr>
      <w:r>
        <w:t xml:space="preserve">8.2 Aggregate statistics</w:t>
      </w:r>
    </w:p>
    <w:p>
      <w:pPr>
        <w:pStyle w:val="ListParagraph"/>
        <w:numPr>
          <w:ilvl w:val="0"/>
          <w:numId w:val="2"/>
        </w:numPr>
        <w:spacing w:after="80"/>
      </w:pPr>
      <w:r>
        <w:rPr>
          <w:rFonts w:ascii="Calibri" w:cs="Calibri" w:eastAsia="Calibri" w:hAnsi="Calibri"/>
          <w:sz w:val="22"/>
          <w:szCs w:val="22"/>
        </w:rPr>
        <w:t xml:space="preserve">Number of trades: 24</w:t>
      </w:r>
    </w:p>
    <w:p>
      <w:pPr>
        <w:pStyle w:val="ListParagraph"/>
        <w:numPr>
          <w:ilvl w:val="0"/>
          <w:numId w:val="2"/>
        </w:numPr>
        <w:spacing w:after="80"/>
      </w:pPr>
      <w:r>
        <w:rPr>
          <w:rFonts w:ascii="Calibri" w:cs="Calibri" w:eastAsia="Calibri" w:hAnsi="Calibri"/>
          <w:sz w:val="22"/>
          <w:szCs w:val="22"/>
        </w:rPr>
        <w:t xml:space="preserve">Win rate: 41.7% (10 of 24 events profitable)</w:t>
      </w:r>
    </w:p>
    <w:p>
      <w:pPr>
        <w:pStyle w:val="ListParagraph"/>
        <w:numPr>
          <w:ilvl w:val="0"/>
          <w:numId w:val="2"/>
        </w:numPr>
        <w:spacing w:after="80"/>
      </w:pPr>
      <w:r>
        <w:rPr>
          <w:rFonts w:ascii="Calibri" w:cs="Calibri" w:eastAsia="Calibri" w:hAnsi="Calibri"/>
          <w:sz w:val="22"/>
          <w:szCs w:val="22"/>
        </w:rPr>
        <w:t xml:space="preserve">Average P&amp;L per trade: +$3.48</w:t>
      </w:r>
    </w:p>
    <w:p>
      <w:pPr>
        <w:pStyle w:val="ListParagraph"/>
        <w:numPr>
          <w:ilvl w:val="0"/>
          <w:numId w:val="2"/>
        </w:numPr>
        <w:spacing w:after="80"/>
      </w:pPr>
      <w:r>
        <w:rPr>
          <w:rFonts w:ascii="Calibri" w:cs="Calibri" w:eastAsia="Calibri" w:hAnsi="Calibri"/>
          <w:sz w:val="22"/>
          <w:szCs w:val="22"/>
        </w:rPr>
        <w:t xml:space="preserve">Total P&amp;L: +$83.61</w:t>
      </w:r>
    </w:p>
    <w:p>
      <w:pPr>
        <w:pStyle w:val="ListParagraph"/>
        <w:numPr>
          <w:ilvl w:val="0"/>
          <w:numId w:val="2"/>
        </w:numPr>
        <w:spacing w:after="80"/>
      </w:pPr>
      <w:r>
        <w:rPr>
          <w:rFonts w:ascii="Calibri" w:cs="Calibri" w:eastAsia="Calibri" w:hAnsi="Calibri"/>
          <w:sz w:val="22"/>
          <w:szCs w:val="22"/>
        </w:rPr>
        <w:t xml:space="preserve">Max drawdown: −$28.55 (peak of +$86.38 after the 2024-10-23 event, trough of +$57.83 by 2026-04-22)</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bCs/>
          <w:i w:val="false"/>
          <w:iCs w:val="false"/>
          <w:sz w:val="22"/>
          <w:szCs w:val="22"/>
        </w:rPr>
        <w:t xml:space="preserve">Reading this honestly:</w:t>
      </w:r>
    </w:p>
    <w:p>
      <w:pPr>
        <w:pBdr>
          <w:top w:val="single" w:color="E0A800" w:sz="4"/>
          <w:bottom w:val="single" w:color="E0A800" w:sz="4"/>
          <w:left w:val="single" w:color="E0A800" w:sz="4"/>
          <w:right w:val="single" w:color="E0A800" w:sz="4"/>
        </w:pBdr>
        <w:shd w:fill="FFF4CE" w:val="clear"/>
        <w:spacing w:after="0" w:line="280"/>
        <w:ind w:left="144" w:right="144"/>
      </w:pPr>
      <w:r>
        <w:rPr>
          <w:rFonts w:ascii="Calibri" w:cs="Calibri" w:eastAsia="Calibri" w:hAnsi="Calibri"/>
          <w:b w:val="false"/>
          <w:bCs w:val="false"/>
          <w:i/>
          <w:iCs/>
          <w:sz w:val="22"/>
          <w:szCs w:val="22"/>
        </w:rPr>
        <w:t xml:space="preserve">A 41.7% win rate with a positive total P&amp;L means this isn't “win most of the time” — it's “lose small, win occasionally-but-big.” The four largest wins (2026-07-22: +$25.77, 2023-10-18: +$17.61, 2024-10-23: +$16.68, 2021-10-20: +$15.59) together account for more than the entire positive total, while losses cluster in the $1–$7 range. This is the expected shape for a long-volatility strategy: it pays for a string of small, capped-ish losses with a few large moves that were bigger than what was priced in — exactly the mechanic Section 3 set out to test. It also means the result is sensitive to a small number of events; pulling any one or two of the biggest winners out would flip the total P&amp;L negative, which is worth saying out loud rather than glossing over.</w:t>
      </w:r>
    </w:p>
    <w:p>
      <w:pPr>
        <w:spacing w:after="200"/>
      </w:pPr>
    </w:p>
    <w:p>
      <w:pPr>
        <w:pStyle w:val="Heading3"/>
        <w:spacing w:after="100" w:before="200"/>
      </w:pPr>
      <w:r>
        <w:t xml:space="preserve">8.3 Cumulative P&amp;L plot</w:t>
      </w:r>
    </w:p>
    <w:p>
      <w:pPr>
        <w:spacing w:after="120"/>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762250"/>
                    </a:xfrm>
                    <a:prstGeom prst="rect">
                      <a:avLst/>
                    </a:prstGeom>
                  </pic:spPr>
                </pic:pic>
              </a:graphicData>
            </a:graphic>
          </wp:inline>
        </w:drawing>
      </w:r>
    </w:p>
    <w:p>
      <w:pPr>
        <w:spacing w:after="160"/>
      </w:pPr>
      <w:r>
        <w:rPr>
          <w:rFonts w:ascii="Calibri" w:cs="Calibri" w:eastAsia="Calibri" w:hAnsi="Calibri"/>
          <w:sz w:val="22"/>
          <w:szCs w:val="22"/>
        </w:rPr>
        <w:t xml:space="preserve">The curve climbs fairly steadily from mid-2021 through late 2024, then gives back about a third of its peak gains (the $28.55 max drawdown) across four consecutive losing events from 2025-01-29 through 2026-04-22, before the 2026-07-22 event (+$25.77) pulls it back up to a new near-high. That drawdown stretch — four losses in a row — is worth mentioning in an interview: a real trader sizing this strategy would need to survive that stretch, not just see the final total.</w:t>
      </w:r>
    </w:p>
    <w:p>
      <w:pPr>
        <w:pStyle w:val="Heading3"/>
        <w:spacing w:after="100" w:before="200"/>
      </w:pPr>
      <w:r>
        <w:t xml:space="preserve">8.4 Notable individual events</w:t>
      </w:r>
    </w:p>
    <w:p>
      <w:pPr>
        <w:spacing w:after="160"/>
      </w:pPr>
      <w:r>
        <w:rPr>
          <w:rFonts w:ascii="Calibri" w:cs="Calibri" w:eastAsia="Calibri" w:hAnsi="Calibri"/>
          <w:sz w:val="22"/>
          <w:szCs w:val="22"/>
        </w:rPr>
        <w:t xml:space="preserve">The “largest EPS surprise” events flagged in Step 1 (2021-04-28, 2021-07-27) were identified from AAPL's earnings data and don't directly apply here since the full run used TSLA — another consequence of the ticker inconsistency flagged above. Looking instead at the actual TSLA results:</w:t>
      </w:r>
    </w:p>
    <w:p>
      <w:pPr>
        <w:pStyle w:val="ListParagraph"/>
        <w:numPr>
          <w:ilvl w:val="0"/>
          <w:numId w:val="2"/>
        </w:numPr>
        <w:spacing w:after="80"/>
      </w:pPr>
      <w:r>
        <w:rPr>
          <w:rFonts w:ascii="Calibri" w:cs="Calibri" w:eastAsia="Calibri" w:hAnsi="Calibri"/>
          <w:sz w:val="22"/>
          <w:szCs w:val="22"/>
        </w:rPr>
        <w:t xml:space="preserve">Best trade: 2026-07-22, +$25.77 — entry vol was priced at 57.8%, but the stock still dropped from $394.46 to $319.69 (≈19%), a move large enough to exceed even that high priced-in volatility.</w:t>
      </w:r>
    </w:p>
    <w:p>
      <w:pPr>
        <w:pStyle w:val="ListParagraph"/>
        <w:numPr>
          <w:ilvl w:val="0"/>
          <w:numId w:val="2"/>
        </w:numPr>
        <w:spacing w:after="80"/>
      </w:pPr>
      <w:r>
        <w:rPr>
          <w:rFonts w:ascii="Calibri" w:cs="Calibri" w:eastAsia="Calibri" w:hAnsi="Calibri"/>
          <w:sz w:val="22"/>
          <w:szCs w:val="22"/>
        </w:rPr>
        <w:t xml:space="preserve">Worst trade: 2025-01-29, −$6.86 — entry vol was priced at 68.4% (already elevated), and the stock barely moved (≈23.57 to 400.28, about a 3.6% drift), so the straddle mostly just decayed.</w:t>
      </w:r>
    </w:p>
    <w:p>
      <w:pPr>
        <w:pStyle w:val="ListParagraph"/>
        <w:numPr>
          <w:ilvl w:val="0"/>
          <w:numId w:val="2"/>
        </w:numPr>
        <w:spacing w:after="80"/>
      </w:pPr>
      <w:r>
        <w:rPr>
          <w:rFonts w:ascii="Calibri" w:cs="Calibri" w:eastAsia="Calibri" w:hAnsi="Calibri"/>
          <w:sz w:val="22"/>
          <w:szCs w:val="22"/>
        </w:rPr>
        <w:t xml:space="preserve">Most expensive-looking setup: 2025-04-22 had the highest entry_vol of the whole series (110.9%) — despite that, the stock barely moved and the trade lost −$6.84, reinforcing that a high priced-in vol raises the bar for the straddle to profit, it doesn't guarantee a win.</w:t>
      </w:r>
    </w:p>
    <w:p>
      <w:pPr>
        <w:pStyle w:val="Heading1"/>
        <w:spacing w:after="160" w:before="320"/>
      </w:pPr>
      <w:r>
        <w:t xml:space="preserve">9. Key Lessons Captured Along the Way</w:t>
      </w:r>
    </w:p>
    <w:p>
      <w:pPr>
        <w:pStyle w:val="ListParagraph"/>
        <w:numPr>
          <w:ilvl w:val="0"/>
          <w:numId w:val="2"/>
        </w:numPr>
        <w:spacing w:after="80"/>
      </w:pPr>
      <w:r>
        <w:rPr>
          <w:rFonts w:ascii="Calibri" w:cs="Calibri" w:eastAsia="Calibri" w:hAnsi="Calibri"/>
          <w:sz w:val="22"/>
          <w:szCs w:val="22"/>
        </w:rPr>
        <w:t xml:space="preserve">Reuse existing, already-verified code (Project 1's black_scholes, Project 2's calculate_all_volatilities) rather than rewriting the same formulas — both avoids duplicated bugs and is faster.</w:t>
      </w:r>
    </w:p>
    <w:p>
      <w:pPr>
        <w:pStyle w:val="ListParagraph"/>
        <w:numPr>
          <w:ilvl w:val="0"/>
          <w:numId w:val="2"/>
        </w:numPr>
        <w:spacing w:after="80"/>
      </w:pPr>
      <w:r>
        <w:rPr>
          <w:rFonts w:ascii="Calibri" w:cs="Calibri" w:eastAsia="Calibri" w:hAnsi="Calibri"/>
          <w:sz w:val="22"/>
          <w:szCs w:val="22"/>
        </w:rPr>
        <w:t xml:space="preserve">Use dynamic path resolution (Path(__file__).resolve().parent.parent) for cross-project imports rather than hardcoded absolute paths, for portability.</w:t>
      </w:r>
    </w:p>
    <w:p>
      <w:pPr>
        <w:pStyle w:val="ListParagraph"/>
        <w:numPr>
          <w:ilvl w:val="0"/>
          <w:numId w:val="2"/>
        </w:numPr>
        <w:spacing w:after="80"/>
      </w:pPr>
      <w:r>
        <w:rPr>
          <w:rFonts w:ascii="Calibri" w:cs="Calibri" w:eastAsia="Calibri" w:hAnsi="Calibri"/>
          <w:sz w:val="22"/>
          <w:szCs w:val="22"/>
        </w:rPr>
        <w:t xml:space="preserve">Always verify each computed number against an independent sanity check (the 0.8×S×σ×√T rule-of-thumb, or a manual intrinsic/time-value breakdown) before trusting it and moving to the next step.</w:t>
      </w:r>
    </w:p>
    <w:p>
      <w:pPr>
        <w:pStyle w:val="ListParagraph"/>
        <w:numPr>
          <w:ilvl w:val="0"/>
          <w:numId w:val="2"/>
        </w:numPr>
        <w:spacing w:after="80"/>
      </w:pPr>
      <w:r>
        <w:rPr>
          <w:rFonts w:ascii="Calibri" w:cs="Calibri" w:eastAsia="Calibri" w:hAnsi="Calibri"/>
          <w:sz w:val="22"/>
          <w:szCs w:val="22"/>
        </w:rPr>
        <w:t xml:space="preserve">Trading day offsets must be computed via row position in real price data, not calendar-day arithmetic, since weekends and holidays don't exist as trading days.</w:t>
      </w:r>
    </w:p>
    <w:p>
      <w:pPr>
        <w:pStyle w:val="ListParagraph"/>
        <w:numPr>
          <w:ilvl w:val="0"/>
          <w:numId w:val="2"/>
        </w:numPr>
        <w:spacing w:after="80"/>
      </w:pPr>
      <w:r>
        <w:rPr>
          <w:rFonts w:ascii="Calibri" w:cs="Calibri" w:eastAsia="Calibri" w:hAnsi="Calibri"/>
          <w:sz w:val="22"/>
          <w:szCs w:val="22"/>
        </w:rPr>
        <w:t xml:space="preserve">Timezone mismatches between different yfinance data sources (earnings dates vs. price history) are a real, easy-to-miss bug source — strip timezones explicitly before comparing dates.</w:t>
      </w:r>
    </w:p>
    <w:p>
      <w:pPr>
        <w:pStyle w:val="ListParagraph"/>
        <w:numPr>
          <w:ilvl w:val="0"/>
          <w:numId w:val="2"/>
        </w:numPr>
        <w:spacing w:after="80"/>
      </w:pPr>
      <w:r>
        <w:rPr>
          <w:rFonts w:ascii="Calibri" w:cs="Calibri" w:eastAsia="Calibri" w:hAnsi="Calibri"/>
          <w:sz w:val="22"/>
          <w:szCs w:val="22"/>
        </w:rPr>
        <w:t xml:space="preserve">State every approximation explicitly (using historical vol as a stand-in for implied vol; reusing entry vol at exit) rather than silently baking it in — this is what separates an honest simulation from a misleading one.</w:t>
      </w:r>
    </w:p>
    <w:p>
      <w:pPr>
        <w:pStyle w:val="ListParagraph"/>
        <w:numPr>
          <w:ilvl w:val="0"/>
          <w:numId w:val="2"/>
        </w:numPr>
        <w:spacing w:after="80"/>
      </w:pPr>
      <w:r>
        <w:rPr>
          <w:rFonts w:ascii="Calibri" w:cs="Calibri" w:eastAsia="Calibri" w:hAnsi="Calibri"/>
          <w:sz w:val="22"/>
          <w:szCs w:val="22"/>
        </w:rPr>
        <w:t xml:space="preserve">A profitable-looking move isn't automatically a profitable trade: P&amp;L depends on the realized move relative to what was already priced in via the assumed volatility, not the move's raw size.</w:t>
      </w:r>
    </w:p>
    <w:p>
      <w:pPr>
        <w:pStyle w:val="Heading1"/>
        <w:spacing w:after="160" w:before="320"/>
      </w:pPr>
      <w:r>
        <w:t xml:space="preserve">10. Known Limitations (for interview discussion)</w:t>
      </w:r>
    </w:p>
    <w:p>
      <w:pPr>
        <w:pStyle w:val="ListParagraph"/>
        <w:numPr>
          <w:ilvl w:val="0"/>
          <w:numId w:val="2"/>
        </w:numPr>
        <w:spacing w:after="80"/>
      </w:pPr>
      <w:r>
        <w:rPr>
          <w:rFonts w:ascii="Calibri" w:cs="Calibri" w:eastAsia="Calibri" w:hAnsi="Calibri"/>
          <w:sz w:val="22"/>
          <w:szCs w:val="22"/>
        </w:rPr>
        <w:t xml:space="preserve">Option prices are simulated via Black-Scholes with a historical-vol proxy, not real historical quotes — the single biggest caveat of this project.</w:t>
      </w:r>
    </w:p>
    <w:p>
      <w:pPr>
        <w:pStyle w:val="ListParagraph"/>
        <w:numPr>
          <w:ilvl w:val="0"/>
          <w:numId w:val="2"/>
        </w:numPr>
        <w:spacing w:after="80"/>
      </w:pPr>
      <w:r>
        <w:rPr>
          <w:rFonts w:ascii="Calibri" w:cs="Calibri" w:eastAsia="Calibri" w:hAnsi="Calibri"/>
          <w:sz w:val="22"/>
          <w:szCs w:val="22"/>
        </w:rPr>
        <w:t xml:space="preserve">Exit is priced using the same volatility as entry, ignoring IV crush; a v2 could model a post-earnings vol drop explicitly.</w:t>
      </w:r>
    </w:p>
    <w:p>
      <w:pPr>
        <w:pStyle w:val="ListParagraph"/>
        <w:numPr>
          <w:ilvl w:val="0"/>
          <w:numId w:val="2"/>
        </w:numPr>
        <w:spacing w:after="80"/>
      </w:pPr>
      <w:r>
        <w:rPr>
          <w:rFonts w:ascii="Calibri" w:cs="Calibri" w:eastAsia="Calibri" w:hAnsi="Calibri"/>
          <w:sz w:val="22"/>
          <w:szCs w:val="22"/>
        </w:rPr>
        <w:t xml:space="preserve">Single-name, single-ticker (TSLA, 24 events) backtest — a small sample from one notoriously high-volatility stock; conclusions shouldn't be over-generalized to “straddles around earnings” as a universal statement, and results would likely look very different on a lower-vol name.</w:t>
      </w:r>
    </w:p>
    <w:p>
      <w:pPr>
        <w:pStyle w:val="ListParagraph"/>
        <w:numPr>
          <w:ilvl w:val="0"/>
          <w:numId w:val="2"/>
        </w:numPr>
        <w:spacing w:after="80"/>
      </w:pPr>
      <w:r>
        <w:rPr>
          <w:rFonts w:ascii="Calibri" w:cs="Calibri" w:eastAsia="Calibri" w:hAnsi="Calibri"/>
          <w:sz w:val="22"/>
          <w:szCs w:val="22"/>
        </w:rPr>
        <w:t xml:space="preserve">Transaction costs, bid-ask spread, and slippage are not modeled — real P&amp;L would be lower than the simulated figures.</w:t>
      </w:r>
    </w:p>
    <w:p>
      <w:pPr>
        <w:pStyle w:val="ListParagraph"/>
        <w:numPr>
          <w:ilvl w:val="0"/>
          <w:numId w:val="2"/>
        </w:numPr>
        <w:spacing w:after="80"/>
      </w:pPr>
      <w:r>
        <w:rPr>
          <w:rFonts w:ascii="Calibri" w:cs="Calibri" w:eastAsia="Calibri" w:hAnsi="Calibri"/>
          <w:sz w:val="22"/>
          <w:szCs w:val="22"/>
        </w:rPr>
        <w:t xml:space="preserve">Interest rate r is fixed at 5% rather than pulled from the actual risk-free rate at each historical date.</w:t>
      </w:r>
    </w:p>
    <w:p>
      <w:pPr>
        <w:pStyle w:val="Heading1"/>
        <w:spacing w:after="160" w:before="320"/>
      </w:pPr>
      <w:r>
        <w:t xml:space="preserve">11. Next Steps</w:t>
      </w:r>
    </w:p>
    <w:p>
      <w:pPr>
        <w:pStyle w:val="ListParagraph"/>
        <w:numPr>
          <w:ilvl w:val="0"/>
          <w:numId w:val="2"/>
        </w:numPr>
        <w:spacing w:after="80"/>
      </w:pPr>
      <w:r>
        <w:rPr>
          <w:rFonts w:ascii="Calibri" w:cs="Calibri" w:eastAsia="Calibri" w:hAnsi="Calibri"/>
          <w:sz w:val="22"/>
          <w:szCs w:val="22"/>
        </w:rPr>
        <w:t xml:space="preserve">Resolve the AAPL/TSLA inconsistency — either rerun with stats("AAPL") for consistency with Steps 1–9, or document clearly that AAPL was the illustrative example and TSLA the full test.</w:t>
      </w:r>
    </w:p>
    <w:p>
      <w:pPr>
        <w:pStyle w:val="ListParagraph"/>
        <w:numPr>
          <w:ilvl w:val="0"/>
          <w:numId w:val="2"/>
        </w:numPr>
        <w:spacing w:after="80"/>
      </w:pPr>
      <w:r>
        <w:rPr>
          <w:rFonts w:ascii="Calibri" w:cs="Calibri" w:eastAsia="Calibri" w:hAnsi="Calibri"/>
          <w:sz w:val="22"/>
          <w:szCs w:val="22"/>
        </w:rPr>
        <w:t xml:space="preserve">Extend to a second or third ticker to check whether the 41.7% win rate / positive-skew shape is TSLA-specific or generalizes.</w:t>
      </w:r>
    </w:p>
    <w:p>
      <w:pPr>
        <w:pStyle w:val="ListParagraph"/>
        <w:numPr>
          <w:ilvl w:val="0"/>
          <w:numId w:val="2"/>
        </w:numPr>
        <w:spacing w:after="80"/>
      </w:pPr>
      <w:r>
        <w:rPr>
          <w:rFonts w:ascii="Calibri" w:cs="Calibri" w:eastAsia="Calibri" w:hAnsi="Calibri"/>
          <w:sz w:val="22"/>
          <w:szCs w:val="22"/>
        </w:rPr>
        <w:t xml:space="preserve">Investigate the 2025-01-29 → 2026-04-22 losing streak specifically — was entry vol systematically too high in that stretch, or was it a genuinely low-realized-move period?</w:t>
      </w:r>
    </w:p>
    <w:p>
      <w:pPr>
        <w:pStyle w:val="ListParagraph"/>
        <w:numPr>
          <w:ilvl w:val="0"/>
          <w:numId w:val="2"/>
        </w:numPr>
        <w:spacing w:after="80"/>
      </w:pPr>
      <w:r>
        <w:rPr>
          <w:rFonts w:ascii="Calibri" w:cs="Calibri" w:eastAsia="Calibri" w:hAnsi="Calibri"/>
          <w:sz w:val="22"/>
          <w:szCs w:val="22"/>
        </w:rPr>
        <w:t xml:space="preserve">Optionally model IV crush explicitly at exit (e.g., a fixed post-earnings vol haircut) and compare P&amp;L to the current “no-crush” version.</w:t>
      </w:r>
    </w:p>
    <w:p>
      <w:pPr>
        <w:pStyle w:val="ListParagraph"/>
        <w:numPr>
          <w:ilvl w:val="0"/>
          <w:numId w:val="2"/>
        </w:numPr>
        <w:spacing w:after="80"/>
      </w:pPr>
      <w:r>
        <w:rPr>
          <w:rFonts w:ascii="Calibri" w:cs="Calibri" w:eastAsia="Calibri" w:hAnsi="Calibri"/>
          <w:sz w:val="22"/>
          <w:szCs w:val="22"/>
        </w:rPr>
        <w:t xml:space="preserve">Add a simple position-sizing / risk discussion: with a $28.55 max drawdown on ~24 trades at this size, what would sizing need to look like to survive a live version of this drawdown?</w:t>
      </w:r>
    </w:p>
    <w:p>
      <w:pPr>
        <w:pStyle w:val="ListParagraph"/>
        <w:numPr>
          <w:ilvl w:val="0"/>
          <w:numId w:val="2"/>
        </w:numPr>
        <w:spacing w:after="80"/>
      </w:pPr>
      <w:r>
        <w:rPr>
          <w:rFonts w:ascii="Calibri" w:cs="Calibri" w:eastAsia="Calibri" w:hAnsi="Calibri"/>
          <w:sz w:val="22"/>
          <w:szCs w:val="22"/>
        </w:rPr>
        <w:t xml:space="preserve">Write the standalone README.md summarizing the approach and these results for a portfolio/GitHub audience.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db61db4d0d8e2b3c460928cd09be836f87671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2026-09-13T00:02:15.910Z</dcterms:created>
  <dcterms:modified xsi:type="dcterms:W3CDTF">2026-09-13T00:02:15.910Z</dcterms:modified>
</cp:coreProperties>
</file>

<file path=docProps/custom.xml><?xml version="1.0" encoding="utf-8"?>
<Properties xmlns="http://schemas.openxmlformats.org/officeDocument/2006/custom-properties" xmlns:vt="http://schemas.openxmlformats.org/officeDocument/2006/docPropsVTypes"/>
</file>