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36"/>
          <w:szCs w:val="36"/>
        </w:rPr>
        <w:t xml:space="preserve">Project 3: Implied Volatility Smile &amp; Skew</w:t>
      </w:r>
    </w:p>
    <w:p>
      <w:pPr>
        <w:spacing w:after="400"/>
        <w:jc w:val="center"/>
      </w:pPr>
      <w:r>
        <w:rPr>
          <w:i/>
          <w:iCs/>
          <w:color w:val="555555"/>
          <w:sz w:val="22"/>
          <w:szCs w:val="22"/>
        </w:rPr>
        <w:t xml:space="preserve">Comprehensive Theory Notes — Volatility Trading Desk Prep</w:t>
      </w:r>
    </w:p>
    <w:p>
      <w:pPr>
        <w:pStyle w:val="Heading1"/>
        <w:spacing w:after="160" w:before="320"/>
      </w:pPr>
      <w:r>
        <w:t xml:space="preserve">1. Recap: What Implied Volatility Is</w:t>
      </w:r>
    </w:p>
    <w:p>
      <w:pPr>
        <w:spacing w:after="160"/>
      </w:pPr>
      <w:r>
        <w:rPr>
          <w:sz w:val="22"/>
          <w:szCs w:val="22"/>
        </w:rPr>
        <w:t xml:space="preserve">From Project 1, you built </w:t>
      </w:r>
      <w:r>
        <w:rPr>
          <w:rFonts w:ascii="Consolas" w:cs="Consolas" w:eastAsia="Consolas" w:hAnsi="Consolas"/>
          <w:color w:val="1F4E5F"/>
          <w:sz w:val="20"/>
          <w:szCs w:val="20"/>
        </w:rPr>
        <w:t xml:space="preserve">implied_volatility()</w:t>
      </w:r>
      <w:r>
        <w:rPr>
          <w:sz w:val="22"/>
          <w:szCs w:val="22"/>
        </w:rPr>
        <w:t xml:space="preserve">: given a market price for one specific option, it back-solves — using Newton-Raphson — for the </w:t>
      </w:r>
      <w:r>
        <w:rPr>
          <w:b/>
          <w:bCs/>
          <w:sz w:val="22"/>
          <w:szCs w:val="22"/>
        </w:rPr>
        <w:t xml:space="preserve">single number </w:t>
      </w:r>
      <w:r>
        <w:rPr>
          <w:i/>
          <w:iCs/>
          <w:sz w:val="22"/>
          <w:szCs w:val="22"/>
        </w:rPr>
        <w:t xml:space="preserve">sigma</w:t>
      </w:r>
      <w:r>
        <w:rPr>
          <w:sz w:val="22"/>
          <w:szCs w:val="22"/>
        </w:rPr>
        <w:t xml:space="preserve"> that Black-Scholes would need in order to reproduce that exact price.</w:t>
      </w:r>
    </w:p>
    <w:p>
      <w:pPr>
        <w:spacing w:after="160"/>
      </w:pPr>
      <w:r>
        <w:rPr>
          <w:sz w:val="22"/>
          <w:szCs w:val="22"/>
        </w:rPr>
        <w:t xml:space="preserve">This is the reverse of normal option pricing. Normally you'd plug in S, K, T, r, and sigma to get a price. Here you already know the price (the market told you), and you solve backwards for sigma instead.</w:t>
      </w:r>
    </w:p>
    <w:p>
      <w:pPr>
        <w:spacing w:after="160"/>
      </w:pPr>
      <w:r>
        <w:rPr>
          <w:b/>
          <w:bCs/>
          <w:sz w:val="22"/>
          <w:szCs w:val="22"/>
        </w:rPr>
        <w:t xml:space="preserve">Key idea: </w:t>
      </w:r>
      <w:r>
        <w:rPr>
          <w:sz w:val="22"/>
          <w:szCs w:val="22"/>
        </w:rPr>
        <w:t xml:space="preserve">implied volatility isn't measured from the stock's price history at all — it's extracted from option prices. It represents what the market is currently paying for, i.e. its collective expectation (or fear) of future volatility.</w:t>
      </w:r>
    </w:p>
    <w:p>
      <w:pPr>
        <w:pStyle w:val="Heading1"/>
        <w:spacing w:after="160" w:before="320"/>
      </w:pPr>
      <w:r>
        <w:t xml:space="preserve">2. The Question Project 3 Asks</w:t>
      </w:r>
    </w:p>
    <w:p>
      <w:pPr>
        <w:spacing w:after="160"/>
      </w:pPr>
      <w:r>
        <w:rPr>
          <w:sz w:val="22"/>
          <w:szCs w:val="22"/>
        </w:rPr>
        <w:t xml:space="preserve">So far, you've only computed IV for one option at a time — one strike, one expiry. Project 3 asks a bigger question:</w:t>
      </w:r>
    </w:p>
    <w:p>
      <w:pPr>
        <w:spacing w:after="160"/>
      </w:pPr>
      <w:r>
        <w:rPr>
          <w:i/>
          <w:iCs/>
          <w:sz w:val="22"/>
          <w:szCs w:val="22"/>
        </w:rPr>
        <w:t xml:space="preserve">What happens if you compute IV separately for many different strikes, all sharing the same expiry, on the same day?</w:t>
      </w:r>
    </w:p>
    <w:p>
      <w:pPr>
        <w:spacing w:after="160"/>
      </w:pPr>
      <w:r>
        <w:rPr>
          <w:sz w:val="22"/>
          <w:szCs w:val="22"/>
        </w:rPr>
        <w:t xml:space="preserve">Under Black-Scholes' own assumptions, the answer should be boring: volatility (sigma) is supposed to be a property of the stock itself, not of any individual option contract. Same stock, same day, same expiry — every strike should return the exact same implied volatility.</w:t>
      </w:r>
    </w:p>
    <w:p>
      <w:pPr>
        <w:spacing w:after="160"/>
      </w:pPr>
      <w:r>
        <w:rPr>
          <w:b/>
          <w:bCs/>
          <w:sz w:val="22"/>
          <w:szCs w:val="22"/>
        </w:rPr>
        <w:t xml:space="preserve">It doesn't. </w:t>
      </w:r>
      <w:r>
        <w:rPr>
          <w:sz w:val="22"/>
          <w:szCs w:val="22"/>
        </w:rPr>
        <w:t xml:space="preserve">Real markets almost never produce a flat line here. This deviation from flatness is one of the most important, well-documented phenomena in options markets — and it is the reason volatility trading exists as a distinct discipline.</w:t>
      </w:r>
    </w:p>
    <w:p>
      <w:pPr>
        <w:pStyle w:val="Heading1"/>
        <w:spacing w:after="160" w:before="320"/>
      </w:pPr>
      <w:r>
        <w:t xml:space="preserve">3. Volatility Smile vs. Volatility Skew</w:t>
      </w:r>
    </w:p>
    <w:p>
      <w:pPr>
        <w:spacing w:after="160"/>
      </w:pPr>
      <w:r>
        <w:rPr>
          <w:sz w:val="22"/>
          <w:szCs w:val="22"/>
        </w:rPr>
        <w:t xml:space="preserve">Plot implied volatility (y-axis) against strike price (x-axis), holding the expiry fixed. Two named shapes show up in real markets:</w:t>
      </w:r>
    </w:p>
    <w:p>
      <w:pPr>
        <w:pStyle w:val="Heading2"/>
        <w:spacing w:after="120" w:before="240"/>
      </w:pPr>
      <w:r>
        <w:t xml:space="preserve">3.1 Volatility Smile</w:t>
      </w:r>
    </w:p>
    <w:p>
      <w:pPr>
        <w:spacing w:after="160"/>
      </w:pPr>
      <w:r>
        <w:rPr>
          <w:sz w:val="22"/>
          <w:szCs w:val="22"/>
        </w:rPr>
        <w:t xml:space="preserve">A U-shape: IV is higher for strikes far from the current stock price in both directions, and lower for strikes near the current price. Named for its resemblance to a smiling mouth. More commonly seen in markets without a strong directional crash bias, such as FX.</w:t>
      </w:r>
    </w:p>
    <w:p>
      <w:pPr>
        <w:pStyle w:val="Heading2"/>
        <w:spacing w:after="120" w:before="240"/>
      </w:pPr>
      <w:r>
        <w:t xml:space="preserve">3.2 Volatility Skew (or "Smirk")</w:t>
      </w:r>
    </w:p>
    <w:p>
      <w:pPr>
        <w:spacing w:after="160"/>
      </w:pPr>
      <w:r>
        <w:rPr>
          <w:sz w:val="22"/>
          <w:szCs w:val="22"/>
        </w:rPr>
        <w:t xml:space="preserve">A lopsided, generally downward-sloping curve: IV is higher for low strikes (downside puts) than for high strikes (upside calls). This is the dominant pattern in single-stock and equity index options (like the S&amp;P 500).</w:t>
      </w:r>
    </w:p>
    <w:p>
      <w:pPr>
        <w:pStyle w:val="Heading2"/>
        <w:spacing w:after="120" w:before="240"/>
      </w:pPr>
      <w:r>
        <w:t xml:space="preserve">3.3 How Strikes Are Actually Expressed: Moneyness</w:t>
      </w:r>
    </w:p>
    <w:p>
      <w:pPr>
        <w:spacing w:after="160"/>
      </w:pPr>
      <w:r>
        <w:rPr>
          <w:sz w:val="22"/>
          <w:szCs w:val="22"/>
        </w:rPr>
        <w:t xml:space="preserve">Comparing raw strike prices across different stocks (or even the same stock on different days) isn't meaningful — a $150 strike means something completely different for a $50 stock than a $500 stock. Desks instead express the x-axis using moneyness:</w:t>
      </w:r>
    </w:p>
    <w:p>
      <w:pPr>
        <w:pStyle w:val="ListParagraph"/>
        <w:numPr>
          <w:ilvl w:val="0"/>
          <w:numId w:val="2"/>
        </w:numPr>
        <w:spacing w:after="100"/>
      </w:pPr>
      <w:r>
        <w:rPr>
          <w:b/>
          <w:bCs/>
          <w:sz w:val="22"/>
          <w:szCs w:val="22"/>
        </w:rPr>
        <w:t xml:space="preserve">Log-moneyness: </w:t>
      </w:r>
      <w:r>
        <w:rPr>
          <w:sz w:val="22"/>
          <w:szCs w:val="22"/>
        </w:rPr>
        <w:t xml:space="preserve">ln(K / S). Zero at-the-money, negative below current price, positive above. Puts every option chain on the same scale regardless of the stock's actual price level.</w:t>
      </w:r>
    </w:p>
    <w:p>
      <w:pPr>
        <w:pStyle w:val="ListParagraph"/>
        <w:numPr>
          <w:ilvl w:val="0"/>
          <w:numId w:val="2"/>
        </w:numPr>
        <w:spacing w:after="100"/>
      </w:pPr>
      <w:r>
        <w:rPr>
          <w:b/>
          <w:bCs/>
          <w:sz w:val="22"/>
          <w:szCs w:val="22"/>
        </w:rPr>
        <w:t xml:space="preserve">Delta as moneyness: </w:t>
      </w:r>
      <w:r>
        <w:rPr>
          <w:sz w:val="22"/>
          <w:szCs w:val="22"/>
        </w:rPr>
        <w:t xml:space="preserve">using the option's own Delta (e.g. a "25-delta put") instead of its strike. Extremely common on real trading desks, since Delta already blends price distance and volatility into one number.</w:t>
      </w:r>
    </w:p>
    <w:p>
      <w:pPr>
        <w:spacing w:after="160"/>
      </w:pPr>
      <w:r>
        <w:rPr>
          <w:sz w:val="22"/>
          <w:szCs w:val="22"/>
        </w:rPr>
        <w:t xml:space="preserve">Plotting against raw strike is a perfectly good starting point for this project — just be aware that professional desks usually use one of the moneyness conventions above instead.</w:t>
      </w:r>
    </w:p>
    <w:p>
      <w:pPr>
        <w:pStyle w:val="Heading1"/>
        <w:spacing w:after="160" w:before="320"/>
      </w:pPr>
      <w:r>
        <w:t xml:space="preserve">4. Historical Context: Why Skew Wasn't Always There</w:t>
      </w:r>
    </w:p>
    <w:p>
      <w:pPr>
        <w:spacing w:after="160"/>
      </w:pPr>
      <w:r>
        <w:rPr>
          <w:sz w:val="22"/>
          <w:szCs w:val="22"/>
        </w:rPr>
        <w:t xml:space="preserve">Before the 1987 stock market crash ("Black Monday", where the Dow fell over 20% in a single day), equity index options were priced with a much flatter implied volatility curve across strikes — closer to what Black-Scholes itself assumes. After 1987, the market permanently re-priced downside risk: out-of-the-money puts became persistently more expensive relative to calls, and this skew has remained a standing feature of equity index options ever since.</w:t>
      </w:r>
    </w:p>
    <w:p>
      <w:pPr>
        <w:spacing w:after="160"/>
      </w:pPr>
      <w:r>
        <w:rPr>
          <w:sz w:val="22"/>
          <w:szCs w:val="22"/>
        </w:rPr>
        <w:t xml:space="preserve">This history matters conceptually: the skew isn't an eternal mathematical law — it's a learned, persistent risk premium that emerged from a specific historical shock and has been sustained by ongoing demand for crash protection ever since.</w:t>
      </w:r>
    </w:p>
    <w:p>
      <w:pPr>
        <w:pStyle w:val="Heading1"/>
        <w:spacing w:after="160" w:before="320"/>
      </w:pPr>
      <w:r>
        <w:t xml:space="preserve">5. Why Does This Happen? (The Actual Mechanisms)</w:t>
      </w:r>
    </w:p>
    <w:p>
      <w:pPr>
        <w:spacing w:after="160"/>
      </w:pPr>
      <w:r>
        <w:rPr>
          <w:sz w:val="22"/>
          <w:szCs w:val="22"/>
        </w:rPr>
        <w:t xml:space="preserve">This isn't a flaw in your code or your data — it's a genuine, structural feature of how options markets price risk. Four overlapping explanations:</w:t>
      </w:r>
    </w:p>
    <w:p>
      <w:pPr>
        <w:pStyle w:val="Heading2"/>
        <w:spacing w:after="120" w:before="240"/>
      </w:pPr>
      <w:r>
        <w:t xml:space="preserve">5.1 Crash Risk / Demand for Downside Protection</w:t>
      </w:r>
    </w:p>
    <w:p>
      <w:pPr>
        <w:spacing w:after="160"/>
      </w:pPr>
      <w:r>
        <w:rPr>
          <w:sz w:val="22"/>
          <w:szCs w:val="22"/>
        </w:rPr>
        <w:t xml:space="preserve">Investors are willing to pay a premium for downside insurance — put options at low strikes — well above what the "fair" Black-Scholes price would suggest, because they are insuring against sudden, severe drops. This extra fear gets priced directly into the option, which shows up as an artificially elevated implied volatility specifically at low strikes.</w:t>
      </w:r>
    </w:p>
    <w:p>
      <w:pPr>
        <w:spacing w:after="160"/>
      </w:pPr>
      <w:r>
        <w:rPr>
          <w:i/>
          <w:iCs/>
          <w:sz w:val="22"/>
          <w:szCs w:val="22"/>
        </w:rPr>
        <w:t xml:space="preserve">This is the primary driver of skew in equity index markets.</w:t>
      </w:r>
    </w:p>
    <w:p>
      <w:pPr>
        <w:pStyle w:val="Heading2"/>
        <w:spacing w:after="120" w:before="240"/>
      </w:pPr>
      <w:r>
        <w:t xml:space="preserve">5.2 Fat Tails in Real Returns</w:t>
      </w:r>
    </w:p>
    <w:p>
      <w:pPr>
        <w:spacing w:after="160"/>
      </w:pPr>
      <w:r>
        <w:rPr>
          <w:sz w:val="22"/>
          <w:szCs w:val="22"/>
        </w:rPr>
        <w:t xml:space="preserve">Black-Scholes assumes stock log-returns follow a normal distribution. Real markets exhibit "fat tails" — extreme moves, in either direction, occur more often than a normal distribution predicts. Since options far from the current price only pay off in these tail scenarios, the market prices them higher than Black-Scholes would suggest.</w:t>
      </w:r>
    </w:p>
    <w:p>
      <w:pPr>
        <w:spacing w:after="160"/>
      </w:pPr>
      <w:r>
        <w:rPr>
          <w:i/>
          <w:iCs/>
          <w:sz w:val="22"/>
          <w:szCs w:val="22"/>
        </w:rPr>
        <w:t xml:space="preserve">This tends to produce a more symmetric smile rather than a one-sided skew, and is a bigger factor in markets where crash risk isn't as directionally lopsided as it is for equities (e.g. FX).</w:t>
      </w:r>
    </w:p>
    <w:p>
      <w:pPr>
        <w:pStyle w:val="Heading2"/>
        <w:spacing w:after="120" w:before="240"/>
      </w:pPr>
      <w:r>
        <w:t xml:space="preserve">5.3 The Leverage Effect</w:t>
      </w:r>
    </w:p>
    <w:p>
      <w:pPr>
        <w:spacing w:after="160"/>
      </w:pPr>
      <w:r>
        <w:rPr>
          <w:sz w:val="22"/>
          <w:szCs w:val="22"/>
        </w:rPr>
        <w:t xml:space="preserve">There's a well-documented empirical tendency for a company's stock volatility to rise when its price falls, and to fall when its price rises. One classic explanation: as a company's equity value drops, its debt-to-equity ratio mechanically rises, making the remaining equity riskier and more volatile. This negative correlation between price and volatility is a structural, independent reason downside strikes end up priced with higher implied volatility than upside strikes.</w:t>
      </w:r>
    </w:p>
    <w:p>
      <w:pPr>
        <w:pStyle w:val="Heading2"/>
        <w:spacing w:after="120" w:before="240"/>
      </w:pPr>
      <w:r>
        <w:t xml:space="preserve">5.4 Supply, Demand, and Positioning</w:t>
      </w:r>
    </w:p>
    <w:p>
      <w:pPr>
        <w:spacing w:after="160"/>
      </w:pPr>
      <w:r>
        <w:rPr>
          <w:sz w:val="22"/>
          <w:szCs w:val="22"/>
        </w:rPr>
        <w:t xml:space="preserve">Options are priced by real buyers and sellers, not purely by a formula. Some strikes see disproportionately heavy trading — for example, institutional investors buying large quantities of protective puts as portfolio insurance. Heavy one-sided demand at a given strike pushes its price (and therefore its implied vol) up, independent of any "true" underlying volatility.</w:t>
      </w:r>
    </w:p>
    <w:p>
      <w:pPr>
        <w:pStyle w:val="Heading1"/>
        <w:spacing w:after="160" w:before="320"/>
      </w:pPr>
      <w:r>
        <w:t xml:space="preserve">6. Volatility Term Structure</w:t>
      </w:r>
    </w:p>
    <w:p>
      <w:pPr>
        <w:spacing w:after="160"/>
      </w:pPr>
      <w:r>
        <w:rPr>
          <w:sz w:val="22"/>
          <w:szCs w:val="22"/>
        </w:rPr>
        <w:t xml:space="preserve">The smile/skew looks across strikes at a single expiry. Term structure looks the other way: fix the strike (often at-the-money) and instead plot implied volatility across different expiries — 1-week, 1-month, 3-month, 6-month, 1-year options on the same stock, on the same day.</w:t>
      </w:r>
    </w:p>
    <w:p>
      <w:pPr>
        <w:spacing w:after="160"/>
      </w:pPr>
      <w:r>
        <w:rPr>
          <w:sz w:val="22"/>
          <w:szCs w:val="22"/>
        </w:rPr>
        <w:t xml:space="preserve">An analogy from another market makes this intuitive: this is conceptually similar to a bond yield curve, or to "contango" and "backwardation" in futures markets — different maturities of essentially the same underlying risk can be priced differently, based on what's expected to happen between now and each future date.</w:t>
      </w:r>
    </w:p>
    <w:p>
      <w:pPr>
        <w:pStyle w:val="ListParagraph"/>
        <w:numPr>
          <w:ilvl w:val="0"/>
          <w:numId w:val="2"/>
        </w:numPr>
        <w:spacing w:after="100"/>
      </w:pPr>
      <w:r>
        <w:rPr>
          <w:b/>
          <w:bCs/>
          <w:sz w:val="22"/>
          <w:szCs w:val="22"/>
        </w:rPr>
        <w:t xml:space="preserve">Upward-sloping (contango-like) term structure: </w:t>
      </w:r>
      <w:r>
        <w:rPr>
          <w:sz w:val="22"/>
          <w:szCs w:val="22"/>
        </w:rPr>
        <w:t xml:space="preserve">near-term IV is lower than long-term IV — normal, calm conditions.</w:t>
      </w:r>
    </w:p>
    <w:p>
      <w:pPr>
        <w:pStyle w:val="ListParagraph"/>
        <w:numPr>
          <w:ilvl w:val="0"/>
          <w:numId w:val="2"/>
        </w:numPr>
        <w:spacing w:after="100"/>
      </w:pPr>
      <w:r>
        <w:rPr>
          <w:b/>
          <w:bCs/>
          <w:sz w:val="22"/>
          <w:szCs w:val="22"/>
        </w:rPr>
        <w:t xml:space="preserve">Inverted (backwardation-like) term structure: </w:t>
      </w:r>
      <w:r>
        <w:rPr>
          <w:sz w:val="22"/>
          <w:szCs w:val="22"/>
        </w:rPr>
        <w:t xml:space="preserve">near-term IV spikes above long-term IV — typically happens right before a known event (earnings, a Fed announcement), since the market is pricing in a specific, imminent source of uncertainty that resolves shortly after.</w:t>
      </w:r>
    </w:p>
    <w:p>
      <w:pPr>
        <w:pStyle w:val="Heading1"/>
        <w:spacing w:after="160" w:before="320"/>
      </w:pPr>
      <w:r>
        <w:t xml:space="preserve">7. Putting It Together: The Volatility Surface</w:t>
      </w:r>
    </w:p>
    <w:p>
      <w:pPr>
        <w:spacing w:after="160"/>
      </w:pPr>
      <w:r>
        <w:rPr>
          <w:sz w:val="22"/>
          <w:szCs w:val="22"/>
        </w:rPr>
        <w:t xml:space="preserve">Combine both dimensions — strike AND expiry — and you get a full 3D surface: implied volatility as a function of both strike and time to expiry. This is called the volatility surface, and it is the single object a real volatility trading desk watches and trades against every day. Individual smile/skew snapshots (Section 3) and term structure snapshots (Section 6) are just two 1-dimensional slices through this same surface.</w:t>
      </w:r>
    </w:p>
    <w:p>
      <w:pPr>
        <w:spacing w:after="160"/>
      </w:pPr>
      <w:r>
        <w:rPr>
          <w:sz w:val="22"/>
          <w:szCs w:val="22"/>
        </w:rPr>
        <w:t xml:space="preserve">In practice, real desks don't just plot raw data points — they fit a smooth, arbitrage-free curve or surface through the observed IVs (using splines or a parametric model), because raw market IVs are noisy and can occasionally violate no-arbitrage conditions between neighboring strikes due to stale quotes or thin trading.</w:t>
      </w:r>
    </w:p>
    <w:p>
      <w:pPr>
        <w:pStyle w:val="Heading1"/>
        <w:spacing w:after="160" w:before="320"/>
      </w:pPr>
      <w:r>
        <w:t xml:space="preserve">8. Beyond Black-Scholes: Models That Try to Capture the Smile</w:t>
      </w:r>
    </w:p>
    <w:p>
      <w:pPr>
        <w:spacing w:after="160"/>
      </w:pPr>
      <w:r>
        <w:rPr>
          <w:sz w:val="22"/>
          <w:szCs w:val="22"/>
        </w:rPr>
        <w:t xml:space="preserve">Since Black-Scholes cannot produce a smile or skew with a single constant sigma, more advanced models were developed specifically to capture this behavior. You won't need to implement these for this project, but knowing they exist — and roughly what problem each one solves — is exactly the kind of context that separates a candidate who memorized a formula from one who understands why the formula is limited.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00"/>
      </w:tblGrid>
      <w:tr>
        <w:tc>
          <w:tcPr>
            <w:tcW w:type="dxa" w:w="1800"/>
            <w:shd w:fill="1F4E5F" w:val="clear"/>
          </w:tcPr>
          <w:p>
            <w:r>
              <w:rPr>
                <w:b/>
                <w:bCs/>
                <w:color w:val="FFFFFF"/>
                <w:sz w:val="20"/>
                <w:szCs w:val="20"/>
              </w:rPr>
              <w:t xml:space="preserve">Model</w:t>
            </w:r>
          </w:p>
        </w:tc>
        <w:tc>
          <w:tcPr>
            <w:tcW w:type="dxa" w:w="3500"/>
            <w:shd w:fill="1F4E5F" w:val="clear"/>
          </w:tcPr>
          <w:p>
            <w:r>
              <w:rPr>
                <w:b/>
                <w:bCs/>
                <w:color w:val="FFFFFF"/>
                <w:sz w:val="20"/>
                <w:szCs w:val="20"/>
              </w:rPr>
              <w:t xml:space="preserve">Core Idea</w:t>
            </w:r>
          </w:p>
        </w:tc>
        <w:tc>
          <w:tcPr>
            <w:tcW w:type="dxa" w:w="3500"/>
            <w:shd w:fill="1F4E5F" w:val="clear"/>
          </w:tcPr>
          <w:p>
            <w:r>
              <w:rPr>
                <w:b/>
                <w:bCs/>
                <w:color w:val="FFFFFF"/>
                <w:sz w:val="20"/>
                <w:szCs w:val="20"/>
              </w:rPr>
              <w:t xml:space="preserve">What It Fixes / Trade-off</w:t>
            </w:r>
          </w:p>
        </w:tc>
      </w:tr>
      <w:tr>
        <w:tc>
          <w:tcPr>
            <w:tcW w:type="dxa" w:w="1800"/>
          </w:tcPr>
          <w:p>
            <w:r>
              <w:rPr>
                <w:b w:val="false"/>
                <w:bCs w:val="false"/>
                <w:color w:val="000000"/>
                <w:sz w:val="20"/>
                <w:szCs w:val="20"/>
              </w:rPr>
              <w:t xml:space="preserve">Black-Scholes</w:t>
            </w:r>
          </w:p>
        </w:tc>
        <w:tc>
          <w:tcPr>
            <w:tcW w:type="dxa" w:w="3500"/>
          </w:tcPr>
          <w:p>
            <w:r>
              <w:rPr>
                <w:b w:val="false"/>
                <w:bCs w:val="false"/>
                <w:color w:val="000000"/>
                <w:sz w:val="20"/>
                <w:szCs w:val="20"/>
              </w:rPr>
              <w:t xml:space="preserve">One constant volatility for all strikes and expiries</w:t>
            </w:r>
          </w:p>
        </w:tc>
        <w:tc>
          <w:tcPr>
            <w:tcW w:type="dxa" w:w="3500"/>
          </w:tcPr>
          <w:p>
            <w:r>
              <w:rPr>
                <w:b w:val="false"/>
                <w:bCs w:val="false"/>
                <w:color w:val="000000"/>
                <w:sz w:val="20"/>
                <w:szCs w:val="20"/>
              </w:rPr>
              <w:t xml:space="preserve">Simple, closed-form — but structurally cannot reproduce any smile or skew</w:t>
            </w:r>
          </w:p>
        </w:tc>
      </w:tr>
      <w:tr>
        <w:tc>
          <w:tcPr>
            <w:tcW w:type="dxa" w:w="1800"/>
          </w:tcPr>
          <w:p>
            <w:r>
              <w:rPr>
                <w:b w:val="false"/>
                <w:bCs w:val="false"/>
                <w:color w:val="000000"/>
                <w:sz w:val="20"/>
                <w:szCs w:val="20"/>
              </w:rPr>
              <w:t xml:space="preserve">Local Volatility (Dupire)</w:t>
            </w:r>
          </w:p>
        </w:tc>
        <w:tc>
          <w:tcPr>
            <w:tcW w:type="dxa" w:w="3500"/>
          </w:tcPr>
          <w:p>
            <w:r>
              <w:rPr>
                <w:b w:val="false"/>
                <w:bCs w:val="false"/>
                <w:color w:val="000000"/>
                <w:sz w:val="20"/>
                <w:szCs w:val="20"/>
              </w:rPr>
              <w:t xml:space="preserve">Volatility is a deterministic function of stock price and time, sigma(S,t), calibrated to fit today's entire observed surface exactly</w:t>
            </w:r>
          </w:p>
        </w:tc>
        <w:tc>
          <w:tcPr>
            <w:tcW w:type="dxa" w:w="3500"/>
          </w:tcPr>
          <w:p>
            <w:r>
              <w:rPr>
                <w:b w:val="false"/>
                <w:bCs w:val="false"/>
                <w:color w:val="000000"/>
                <w:sz w:val="20"/>
                <w:szCs w:val="20"/>
              </w:rPr>
              <w:t xml:space="preserve">Reproduces today's smile perfectly, but its predicted evolution of the smile is not that realistic</w:t>
            </w:r>
          </w:p>
        </w:tc>
      </w:tr>
      <w:tr>
        <w:tc>
          <w:tcPr>
            <w:tcW w:type="dxa" w:w="1800"/>
          </w:tcPr>
          <w:p>
            <w:r>
              <w:rPr>
                <w:b w:val="false"/>
                <w:bCs w:val="false"/>
                <w:color w:val="000000"/>
                <w:sz w:val="20"/>
                <w:szCs w:val="20"/>
              </w:rPr>
              <w:t xml:space="preserve">Stochastic Volatility (Heston)</w:t>
            </w:r>
          </w:p>
        </w:tc>
        <w:tc>
          <w:tcPr>
            <w:tcW w:type="dxa" w:w="3500"/>
          </w:tcPr>
          <w:p>
            <w:r>
              <w:rPr>
                <w:b w:val="false"/>
                <w:bCs w:val="false"/>
                <w:color w:val="000000"/>
                <w:sz w:val="20"/>
                <w:szCs w:val="20"/>
              </w:rPr>
              <w:t xml:space="preserve">Volatility itself is a second random process, correlated with the stock's own price process</w:t>
            </w:r>
          </w:p>
        </w:tc>
        <w:tc>
          <w:tcPr>
            <w:tcW w:type="dxa" w:w="3500"/>
          </w:tcPr>
          <w:p>
            <w:r>
              <w:rPr>
                <w:b w:val="false"/>
                <w:bCs w:val="false"/>
                <w:color w:val="000000"/>
                <w:sz w:val="20"/>
                <w:szCs w:val="20"/>
              </w:rPr>
              <w:t xml:space="preserve">More realistic dynamics (e.g. captures the leverage effect), but has more parameters to calibrate</w:t>
            </w:r>
          </w:p>
        </w:tc>
      </w:tr>
      <w:tr>
        <w:tc>
          <w:tcPr>
            <w:tcW w:type="dxa" w:w="1800"/>
          </w:tcPr>
          <w:p>
            <w:r>
              <w:rPr>
                <w:b w:val="false"/>
                <w:bCs w:val="false"/>
                <w:color w:val="000000"/>
                <w:sz w:val="20"/>
                <w:szCs w:val="20"/>
              </w:rPr>
              <w:t xml:space="preserve">SABR</w:t>
            </w:r>
          </w:p>
        </w:tc>
        <w:tc>
          <w:tcPr>
            <w:tcW w:type="dxa" w:w="3500"/>
          </w:tcPr>
          <w:p>
            <w:r>
              <w:rPr>
                <w:b w:val="false"/>
                <w:bCs w:val="false"/>
                <w:color w:val="000000"/>
                <w:sz w:val="20"/>
                <w:szCs w:val="20"/>
              </w:rPr>
              <w:t xml:space="preserve">A stochastic volatility model designed for a very good closed-form approximation of the smile, popular for interest rate and FX options</w:t>
            </w:r>
          </w:p>
        </w:tc>
        <w:tc>
          <w:tcPr>
            <w:tcW w:type="dxa" w:w="3500"/>
          </w:tcPr>
          <w:p>
            <w:r>
              <w:rPr>
                <w:b w:val="false"/>
                <w:bCs w:val="false"/>
                <w:color w:val="000000"/>
                <w:sz w:val="20"/>
                <w:szCs w:val="20"/>
              </w:rPr>
              <w:t xml:space="preserve">Widely used in industry for smile interpolation because it's fast to calibrate and reasonably accurate</w:t>
            </w:r>
          </w:p>
        </w:tc>
      </w:tr>
    </w:tbl>
    <w:p>
      <w:pPr>
        <w:spacing w:after="160"/>
      </w:pPr>
      <w:r>
        <w:rPr>
          <w:sz w:val="22"/>
          <w:szCs w:val="22"/>
        </w:rPr>
        <w:t xml:space="preserve">These models matter because pricing exotic or path-dependent options correctly requires assuming something more realistic than constant volatility — using the wrong assumption there can lead to systematically mispriced risk, which is precisely the kind of mistake a volatility desk is paid to avoid.</w:t>
      </w:r>
    </w:p>
    <w:p>
      <w:pPr>
        <w:pStyle w:val="Heading1"/>
        <w:spacing w:after="160" w:before="320"/>
      </w:pPr>
      <w:r>
        <w:t xml:space="preserve">9. Sticky Strike vs. Sticky Delta</w:t>
      </w:r>
    </w:p>
    <w:p>
      <w:pPr>
        <w:spacing w:after="160"/>
      </w:pPr>
      <w:r>
        <w:rPr>
          <w:sz w:val="22"/>
          <w:szCs w:val="22"/>
        </w:rPr>
        <w:t xml:space="preserve">This is a more advanced concept, but worth having in your pocket for an interview, since it shows you understand that the smile itself isn't static as the stock price moves.</w:t>
      </w:r>
    </w:p>
    <w:p>
      <w:pPr>
        <w:spacing w:after="160"/>
      </w:pPr>
      <w:r>
        <w:rPr>
          <w:b/>
          <w:bCs/>
          <w:sz w:val="22"/>
          <w:szCs w:val="22"/>
        </w:rPr>
        <w:t xml:space="preserve">Sticky strike: </w:t>
      </w:r>
      <w:r>
        <w:rPr>
          <w:sz w:val="22"/>
          <w:szCs w:val="22"/>
        </w:rPr>
        <w:t xml:space="preserve">as the stock price moves, the implied volatility associated with each fixed strike price stays the same. The whole smile appears to shift sideways relative to the (new) at-the-money point.</w:t>
      </w:r>
    </w:p>
    <w:p>
      <w:pPr>
        <w:spacing w:after="160"/>
      </w:pPr>
      <w:r>
        <w:rPr>
          <w:b/>
          <w:bCs/>
          <w:sz w:val="22"/>
          <w:szCs w:val="22"/>
        </w:rPr>
        <w:t xml:space="preserve">Sticky delta (or sticky moneyness): </w:t>
      </w:r>
      <w:r>
        <w:rPr>
          <w:sz w:val="22"/>
          <w:szCs w:val="22"/>
        </w:rPr>
        <w:t xml:space="preserve">as the stock price moves, it's the implied volatility associated with each fixed level of moneyness that stays constant, not the fixed strike itself. The smile shape stays fixed relative to the current stock price.</w:t>
      </w:r>
    </w:p>
    <w:p>
      <w:pPr>
        <w:spacing w:after="160"/>
      </w:pPr>
      <w:r>
        <w:rPr>
          <w:sz w:val="22"/>
          <w:szCs w:val="22"/>
        </w:rPr>
        <w:t xml:space="preserve">Real markets tend to behave somewhere between these two extremes. This matters practically because it changes how a trader's Delta hedge should be adjusted as the stock moves — under sticky delta, an option's Delta responds differently to a price move than under sticky strike, since the volatility feeding into that Delta calculation is itself assumed to shift differently in each regime.</w:t>
      </w:r>
    </w:p>
    <w:p>
      <w:pPr>
        <w:pStyle w:val="Heading1"/>
        <w:spacing w:after="160" w:before="320"/>
      </w:pPr>
      <w:r>
        <w:t xml:space="preserve">10. Worked Numerical Example</w:t>
      </w:r>
    </w:p>
    <w:p>
      <w:pPr>
        <w:spacing w:after="160"/>
      </w:pPr>
      <w:r>
        <w:rPr>
          <w:sz w:val="22"/>
          <w:szCs w:val="22"/>
        </w:rPr>
        <w:t xml:space="preserve">To make this concrete before you touch real data, here's a small hypothetical example of what a raw smile/skew computation looks like for a single stock trading at $100, with one expiry, across five strikes: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100"/>
      </w:tblGrid>
      <w:tr>
        <w:tc>
          <w:tcPr>
            <w:tcW w:type="dxa" w:w="2000"/>
            <w:shd w:fill="1F4E5F" w:val="clear"/>
          </w:tcPr>
          <w:p>
            <w:r>
              <w:rPr>
                <w:b/>
                <w:bCs/>
                <w:color w:val="FFFFFF"/>
                <w:sz w:val="20"/>
                <w:szCs w:val="20"/>
              </w:rPr>
              <w:t xml:space="preserve">Strike (K)</w:t>
            </w:r>
          </w:p>
        </w:tc>
        <w:tc>
          <w:tcPr>
            <w:tcW w:type="dxa" w:w="2400"/>
            <w:shd w:fill="1F4E5F" w:val="clear"/>
          </w:tcPr>
          <w:p>
            <w:r>
              <w:rPr>
                <w:b/>
                <w:bCs/>
                <w:color w:val="FFFFFF"/>
                <w:sz w:val="20"/>
                <w:szCs w:val="20"/>
              </w:rPr>
              <w:t xml:space="preserve">Market Call Price</w:t>
            </w:r>
          </w:p>
        </w:tc>
        <w:tc>
          <w:tcPr>
            <w:tcW w:type="dxa" w:w="2400"/>
            <w:shd w:fill="1F4E5F" w:val="clear"/>
          </w:tcPr>
          <w:p>
            <w:r>
              <w:rPr>
                <w:b/>
                <w:bCs/>
                <w:color w:val="FFFFFF"/>
                <w:sz w:val="20"/>
                <w:szCs w:val="20"/>
              </w:rPr>
              <w:t xml:space="preserve">Implied Vol (solved)</w:t>
            </w:r>
          </w:p>
        </w:tc>
        <w:tc>
          <w:tcPr>
            <w:tcW w:type="dxa" w:w="2100"/>
            <w:shd w:fill="1F4E5F" w:val="clear"/>
          </w:tcPr>
          <w:p>
            <w:r>
              <w:rPr>
                <w:b/>
                <w:bCs/>
                <w:color w:val="FFFFFF"/>
                <w:sz w:val="20"/>
                <w:szCs w:val="20"/>
              </w:rPr>
              <w:t xml:space="preserve">Moneyness ln(K/S)</w:t>
            </w:r>
          </w:p>
        </w:tc>
      </w:tr>
      <w:tr>
        <w:tc>
          <w:tcPr>
            <w:tcW w:type="dxa" w:w="2000"/>
          </w:tcPr>
          <w:p>
            <w:r>
              <w:rPr>
                <w:b w:val="false"/>
                <w:bCs w:val="false"/>
                <w:color w:val="000000"/>
                <w:sz w:val="20"/>
                <w:szCs w:val="20"/>
              </w:rPr>
              <w:t xml:space="preserve">$80</w:t>
            </w:r>
          </w:p>
        </w:tc>
        <w:tc>
          <w:tcPr>
            <w:tcW w:type="dxa" w:w="2400"/>
          </w:tcPr>
          <w:p>
            <w:r>
              <w:rPr>
                <w:b w:val="false"/>
                <w:bCs w:val="false"/>
                <w:color w:val="000000"/>
                <w:sz w:val="20"/>
                <w:szCs w:val="20"/>
              </w:rPr>
              <w:t xml:space="preserve">$21.40</w:t>
            </w:r>
          </w:p>
        </w:tc>
        <w:tc>
          <w:tcPr>
            <w:tcW w:type="dxa" w:w="2400"/>
          </w:tcPr>
          <w:p>
            <w:r>
              <w:rPr>
                <w:b w:val="false"/>
                <w:bCs w:val="false"/>
                <w:color w:val="000000"/>
                <w:sz w:val="20"/>
                <w:szCs w:val="20"/>
              </w:rPr>
              <w:t xml:space="preserve">28.5%</w:t>
            </w:r>
          </w:p>
        </w:tc>
        <w:tc>
          <w:tcPr>
            <w:tcW w:type="dxa" w:w="2100"/>
          </w:tcPr>
          <w:p>
            <w:r>
              <w:rPr>
                <w:b w:val="false"/>
                <w:bCs w:val="false"/>
                <w:color w:val="000000"/>
                <w:sz w:val="20"/>
                <w:szCs w:val="20"/>
              </w:rPr>
              <w:t xml:space="preserve">-0.223</w:t>
            </w:r>
          </w:p>
        </w:tc>
      </w:tr>
      <w:tr>
        <w:tc>
          <w:tcPr>
            <w:tcW w:type="dxa" w:w="2000"/>
          </w:tcPr>
          <w:p>
            <w:r>
              <w:rPr>
                <w:b w:val="false"/>
                <w:bCs w:val="false"/>
                <w:color w:val="000000"/>
                <w:sz w:val="20"/>
                <w:szCs w:val="20"/>
              </w:rPr>
              <w:t xml:space="preserve">$90</w:t>
            </w:r>
          </w:p>
        </w:tc>
        <w:tc>
          <w:tcPr>
            <w:tcW w:type="dxa" w:w="2400"/>
          </w:tcPr>
          <w:p>
            <w:r>
              <w:rPr>
                <w:b w:val="false"/>
                <w:bCs w:val="false"/>
                <w:color w:val="000000"/>
                <w:sz w:val="20"/>
                <w:szCs w:val="20"/>
              </w:rPr>
              <w:t xml:space="preserve">$12.10</w:t>
            </w:r>
          </w:p>
        </w:tc>
        <w:tc>
          <w:tcPr>
            <w:tcW w:type="dxa" w:w="2400"/>
          </w:tcPr>
          <w:p>
            <w:r>
              <w:rPr>
                <w:b w:val="false"/>
                <w:bCs w:val="false"/>
                <w:color w:val="000000"/>
                <w:sz w:val="20"/>
                <w:szCs w:val="20"/>
              </w:rPr>
              <w:t xml:space="preserve">24.0%</w:t>
            </w:r>
          </w:p>
        </w:tc>
        <w:tc>
          <w:tcPr>
            <w:tcW w:type="dxa" w:w="2100"/>
          </w:tcPr>
          <w:p>
            <w:r>
              <w:rPr>
                <w:b w:val="false"/>
                <w:bCs w:val="false"/>
                <w:color w:val="000000"/>
                <w:sz w:val="20"/>
                <w:szCs w:val="20"/>
              </w:rPr>
              <w:t xml:space="preserve">-0.105</w:t>
            </w:r>
          </w:p>
        </w:tc>
      </w:tr>
      <w:tr>
        <w:tc>
          <w:tcPr>
            <w:tcW w:type="dxa" w:w="2000"/>
          </w:tcPr>
          <w:p>
            <w:r>
              <w:rPr>
                <w:b w:val="false"/>
                <w:bCs w:val="false"/>
                <w:color w:val="000000"/>
                <w:sz w:val="20"/>
                <w:szCs w:val="20"/>
              </w:rPr>
              <w:t xml:space="preserve">$100</w:t>
            </w:r>
          </w:p>
        </w:tc>
        <w:tc>
          <w:tcPr>
            <w:tcW w:type="dxa" w:w="2400"/>
          </w:tcPr>
          <w:p>
            <w:r>
              <w:rPr>
                <w:b w:val="false"/>
                <w:bCs w:val="false"/>
                <w:color w:val="000000"/>
                <w:sz w:val="20"/>
                <w:szCs w:val="20"/>
              </w:rPr>
              <w:t xml:space="preserve">$5.20</w:t>
            </w:r>
          </w:p>
        </w:tc>
        <w:tc>
          <w:tcPr>
            <w:tcW w:type="dxa" w:w="2400"/>
          </w:tcPr>
          <w:p>
            <w:r>
              <w:rPr>
                <w:b w:val="false"/>
                <w:bCs w:val="false"/>
                <w:color w:val="000000"/>
                <w:sz w:val="20"/>
                <w:szCs w:val="20"/>
              </w:rPr>
              <w:t xml:space="preserve">20.0%</w:t>
            </w:r>
          </w:p>
        </w:tc>
        <w:tc>
          <w:tcPr>
            <w:tcW w:type="dxa" w:w="2100"/>
          </w:tcPr>
          <w:p>
            <w:r>
              <w:rPr>
                <w:b w:val="false"/>
                <w:bCs w:val="false"/>
                <w:color w:val="000000"/>
                <w:sz w:val="20"/>
                <w:szCs w:val="20"/>
              </w:rPr>
              <w:t xml:space="preserve">0.000</w:t>
            </w:r>
          </w:p>
        </w:tc>
      </w:tr>
      <w:tr>
        <w:tc>
          <w:tcPr>
            <w:tcW w:type="dxa" w:w="2000"/>
          </w:tcPr>
          <w:p>
            <w:r>
              <w:rPr>
                <w:b w:val="false"/>
                <w:bCs w:val="false"/>
                <w:color w:val="000000"/>
                <w:sz w:val="20"/>
                <w:szCs w:val="20"/>
              </w:rPr>
              <w:t xml:space="preserve">$110</w:t>
            </w:r>
          </w:p>
        </w:tc>
        <w:tc>
          <w:tcPr>
            <w:tcW w:type="dxa" w:w="2400"/>
          </w:tcPr>
          <w:p>
            <w:r>
              <w:rPr>
                <w:b w:val="false"/>
                <w:bCs w:val="false"/>
                <w:color w:val="000000"/>
                <w:sz w:val="20"/>
                <w:szCs w:val="20"/>
              </w:rPr>
              <w:t xml:space="preserve">$1.55</w:t>
            </w:r>
          </w:p>
        </w:tc>
        <w:tc>
          <w:tcPr>
            <w:tcW w:type="dxa" w:w="2400"/>
          </w:tcPr>
          <w:p>
            <w:r>
              <w:rPr>
                <w:b w:val="false"/>
                <w:bCs w:val="false"/>
                <w:color w:val="000000"/>
                <w:sz w:val="20"/>
                <w:szCs w:val="20"/>
              </w:rPr>
              <w:t xml:space="preserve">21.5%</w:t>
            </w:r>
          </w:p>
        </w:tc>
        <w:tc>
          <w:tcPr>
            <w:tcW w:type="dxa" w:w="2100"/>
          </w:tcPr>
          <w:p>
            <w:r>
              <w:rPr>
                <w:b w:val="false"/>
                <w:bCs w:val="false"/>
                <w:color w:val="000000"/>
                <w:sz w:val="20"/>
                <w:szCs w:val="20"/>
              </w:rPr>
              <w:t xml:space="preserve">0.095</w:t>
            </w:r>
          </w:p>
        </w:tc>
      </w:tr>
      <w:tr>
        <w:tc>
          <w:tcPr>
            <w:tcW w:type="dxa" w:w="2000"/>
          </w:tcPr>
          <w:p>
            <w:r>
              <w:rPr>
                <w:b w:val="false"/>
                <w:bCs w:val="false"/>
                <w:color w:val="000000"/>
                <w:sz w:val="20"/>
                <w:szCs w:val="20"/>
              </w:rPr>
              <w:t xml:space="preserve">$120</w:t>
            </w:r>
          </w:p>
        </w:tc>
        <w:tc>
          <w:tcPr>
            <w:tcW w:type="dxa" w:w="2400"/>
          </w:tcPr>
          <w:p>
            <w:r>
              <w:rPr>
                <w:b w:val="false"/>
                <w:bCs w:val="false"/>
                <w:color w:val="000000"/>
                <w:sz w:val="20"/>
                <w:szCs w:val="20"/>
              </w:rPr>
              <w:t xml:space="preserve">$0.35</w:t>
            </w:r>
          </w:p>
        </w:tc>
        <w:tc>
          <w:tcPr>
            <w:tcW w:type="dxa" w:w="2400"/>
          </w:tcPr>
          <w:p>
            <w:r>
              <w:rPr>
                <w:b w:val="false"/>
                <w:bCs w:val="false"/>
                <w:color w:val="000000"/>
                <w:sz w:val="20"/>
                <w:szCs w:val="20"/>
              </w:rPr>
              <w:t xml:space="preserve">24.8%</w:t>
            </w:r>
          </w:p>
        </w:tc>
        <w:tc>
          <w:tcPr>
            <w:tcW w:type="dxa" w:w="2100"/>
          </w:tcPr>
          <w:p>
            <w:r>
              <w:rPr>
                <w:b w:val="false"/>
                <w:bCs w:val="false"/>
                <w:color w:val="000000"/>
                <w:sz w:val="20"/>
                <w:szCs w:val="20"/>
              </w:rPr>
              <w:t xml:space="preserve">0.182</w:t>
            </w:r>
          </w:p>
        </w:tc>
      </w:tr>
    </w:tbl>
    <w:p>
      <w:pPr>
        <w:spacing w:after="160"/>
      </w:pPr>
      <w:r>
        <w:rPr>
          <w:sz w:val="22"/>
          <w:szCs w:val="22"/>
        </w:rPr>
        <w:t xml:space="preserve">Notice the shape: IV is lowest at-the-money ($100 strike, 20.0%) and rises on both sides — a mild smile in this hypothetical case, with the low-strike side (28.5%) rising faster than the high-strike side (24.8%), matching the skew pattern from Section 3.2. This is a made-up illustration, not real market data — your actual project output will look like this in shape, but with real prices and real IVs computed from your Project 1 solver.</w:t>
      </w:r>
    </w:p>
    <w:p>
      <w:pPr>
        <w:pStyle w:val="Heading1"/>
        <w:spacing w:after="160" w:before="320"/>
      </w:pPr>
      <w:r>
        <w:t xml:space="preserve">11. What You'll Actually Build</w:t>
      </w:r>
    </w:p>
    <w:p>
      <w:pPr>
        <w:pStyle w:val="ListParagraph"/>
        <w:numPr>
          <w:ilvl w:val="0"/>
          <w:numId w:val="3"/>
        </w:numPr>
        <w:spacing w:after="100"/>
      </w:pPr>
      <w:r>
        <w:rPr>
          <w:sz w:val="22"/>
          <w:szCs w:val="22"/>
        </w:rPr>
        <w:t xml:space="preserve">Pull a real options chain for one stock — multiple strikes, one expiry — using yfinance.</w:t>
      </w:r>
    </w:p>
    <w:p>
      <w:pPr>
        <w:pStyle w:val="ListParagraph"/>
        <w:numPr>
          <w:ilvl w:val="0"/>
          <w:numId w:val="3"/>
        </w:numPr>
        <w:spacing w:after="100"/>
      </w:pPr>
      <w:r>
        <w:rPr>
          <w:sz w:val="22"/>
          <w:szCs w:val="22"/>
        </w:rPr>
        <w:t xml:space="preserve">For each strike, feed that option's real market price into your Project 1 implied_volatility() function to back out its IV.</w:t>
      </w:r>
    </w:p>
    <w:p>
      <w:pPr>
        <w:pStyle w:val="ListParagraph"/>
        <w:numPr>
          <w:ilvl w:val="0"/>
          <w:numId w:val="3"/>
        </w:numPr>
        <w:spacing w:after="100"/>
      </w:pPr>
      <w:r>
        <w:rPr>
          <w:sz w:val="22"/>
          <w:szCs w:val="22"/>
        </w:rPr>
        <w:t xml:space="preserve">Plot IV (y-axis) against strike price (x-axis) for that expiry. This plot IS the smile/skew, built directly from real market data.</w:t>
      </w:r>
    </w:p>
    <w:p>
      <w:pPr>
        <w:pStyle w:val="ListParagraph"/>
        <w:numPr>
          <w:ilvl w:val="0"/>
          <w:numId w:val="3"/>
        </w:numPr>
        <w:spacing w:after="100"/>
      </w:pPr>
      <w:r>
        <w:rPr>
          <w:sz w:val="22"/>
          <w:szCs w:val="22"/>
        </w:rPr>
        <w:t xml:space="preserve">(Optional stretch) Repeat across a few different expiries to observe the term structure, and optionally assemble a full surface.</w:t>
      </w:r>
    </w:p>
    <w:p>
      <w:pPr>
        <w:pStyle w:val="Heading1"/>
        <w:spacing w:after="160" w:before="320"/>
      </w:pPr>
      <w:r>
        <w:t xml:space="preserve">12. Practical Challenges You Will Hit With Real Data</w:t>
      </w:r>
    </w:p>
    <w:p>
      <w:pPr>
        <w:spacing w:after="160"/>
      </w:pPr>
      <w:r>
        <w:rPr>
          <w:sz w:val="22"/>
          <w:szCs w:val="22"/>
        </w:rPr>
        <w:t xml:space="preserve">Real options data is significantly messier than the stock price data from Project 2. Expect to handle:</w:t>
      </w:r>
    </w:p>
    <w:p>
      <w:pPr>
        <w:pStyle w:val="ListParagraph"/>
        <w:numPr>
          <w:ilvl w:val="0"/>
          <w:numId w:val="2"/>
        </w:numPr>
        <w:spacing w:after="100"/>
      </w:pPr>
      <w:r>
        <w:rPr>
          <w:b/>
          <w:bCs/>
          <w:sz w:val="22"/>
          <w:szCs w:val="22"/>
        </w:rPr>
        <w:t xml:space="preserve">Bid-ask spreads: </w:t>
      </w:r>
      <w:r>
        <w:rPr>
          <w:sz w:val="22"/>
          <w:szCs w:val="22"/>
        </w:rPr>
        <w:t xml:space="preserve">options don't have one single "market price" — they have a bid and an ask. Which one you feed into the IV solver (last price, mid-price, bid, or ask) will change your result, especially for illiquid strikes. Mid-price is usually the most defensible default.</w:t>
      </w:r>
    </w:p>
    <w:p>
      <w:pPr>
        <w:pStyle w:val="ListParagraph"/>
        <w:numPr>
          <w:ilvl w:val="0"/>
          <w:numId w:val="2"/>
        </w:numPr>
        <w:spacing w:after="100"/>
      </w:pPr>
      <w:r>
        <w:rPr>
          <w:b/>
          <w:bCs/>
          <w:sz w:val="22"/>
          <w:szCs w:val="22"/>
        </w:rPr>
        <w:t xml:space="preserve">Illiquid / far strikes: </w:t>
      </w:r>
      <w:r>
        <w:rPr>
          <w:sz w:val="22"/>
          <w:szCs w:val="22"/>
        </w:rPr>
        <w:t xml:space="preserve">deep in- or out-of-the-money strikes often trade rarely, so their quoted prices may be stale or unreliable.</w:t>
      </w:r>
    </w:p>
    <w:p>
      <w:pPr>
        <w:pStyle w:val="ListParagraph"/>
        <w:numPr>
          <w:ilvl w:val="0"/>
          <w:numId w:val="2"/>
        </w:numPr>
        <w:spacing w:after="100"/>
      </w:pPr>
      <w:r>
        <w:rPr>
          <w:b/>
          <w:bCs/>
          <w:sz w:val="22"/>
          <w:szCs w:val="22"/>
        </w:rPr>
        <w:t xml:space="preserve">Solver non-convergence: </w:t>
      </w:r>
      <w:r>
        <w:rPr>
          <w:sz w:val="22"/>
          <w:szCs w:val="22"/>
        </w:rPr>
        <w:t xml:space="preserve">your Newton-Raphson IV solver can fail for options with a near-zero market price or a near-zero Vega — this is exactly the scenario your Project 1 vega-guard was built for, and it becomes practically relevant here, not just theoretical. As a fallback, a bounded method like Brent's method (scipy.optimize.brentq) is a common practical alternative, since it doesn't rely on a well-behaved derivative the way Newton-Raphson does.</w:t>
      </w:r>
    </w:p>
    <w:p>
      <w:pPr>
        <w:pStyle w:val="ListParagraph"/>
        <w:numPr>
          <w:ilvl w:val="0"/>
          <w:numId w:val="2"/>
        </w:numPr>
        <w:spacing w:after="100"/>
      </w:pPr>
      <w:r>
        <w:rPr>
          <w:b/>
          <w:bCs/>
          <w:sz w:val="22"/>
          <w:szCs w:val="22"/>
        </w:rPr>
        <w:t xml:space="preserve">Zero or missing volume: </w:t>
      </w:r>
      <w:r>
        <w:rPr>
          <w:sz w:val="22"/>
          <w:szCs w:val="22"/>
        </w:rPr>
        <w:t xml:space="preserve">some strikes may have had no trades recently; their listed price may not reflect any real transaction. Filtering out zero-volume or zero-open-interest strikes before plotting is standard practice.</w:t>
      </w:r>
    </w:p>
    <w:p>
      <w:pPr>
        <w:pStyle w:val="ListParagraph"/>
        <w:numPr>
          <w:ilvl w:val="0"/>
          <w:numId w:val="2"/>
        </w:numPr>
        <w:spacing w:after="100"/>
      </w:pPr>
      <w:r>
        <w:rPr>
          <w:b/>
          <w:bCs/>
          <w:sz w:val="22"/>
          <w:szCs w:val="22"/>
        </w:rPr>
        <w:t xml:space="preserve">Choosing calls vs. puts: </w:t>
      </w:r>
      <w:r>
        <w:rPr>
          <w:sz w:val="22"/>
          <w:szCs w:val="22"/>
        </w:rPr>
        <w:t xml:space="preserve">by put-call parity, calls and puts at the same strike/expiry should theoretically imply the same volatility, but can differ slightly in practice. A common convention is to use out-of-the-money options on each side, since OTM options tend to be more liquid than their in-the-money counterparts.</w:t>
      </w:r>
    </w:p>
    <w:p>
      <w:pPr>
        <w:pStyle w:val="Heading1"/>
        <w:spacing w:after="160" w:before="320"/>
      </w:pPr>
      <w:r>
        <w:t xml:space="preserve">13. Strategies Built Directly Around the Smile</w:t>
      </w:r>
    </w:p>
    <w:p>
      <w:pPr>
        <w:spacing w:after="160"/>
      </w:pPr>
      <w:r>
        <w:rPr>
          <w:sz w:val="22"/>
          <w:szCs w:val="22"/>
        </w:rPr>
        <w:t xml:space="preserve">If Black-Scholes' constant-volatility assumption were literally true, there would be nothing distinctive to trade beyond direction and general volatility level. The smile, skew, and term structure are precisely where a different class of trading opportunities live: trades that express a view on the shape itself, not just on where the stock goes next.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200"/>
      </w:tblGrid>
      <w:tr>
        <w:tc>
          <w:tcPr>
            <w:tcW w:type="dxa" w:w="1800"/>
            <w:shd w:fill="1F4E5F" w:val="clear"/>
          </w:tcPr>
          <w:p>
            <w:r>
              <w:rPr>
                <w:b/>
                <w:bCs/>
                <w:color w:val="FFFFFF"/>
                <w:sz w:val="20"/>
                <w:szCs w:val="20"/>
              </w:rPr>
              <w:t xml:space="preserve">Strategy</w:t>
            </w:r>
          </w:p>
        </w:tc>
        <w:tc>
          <w:tcPr>
            <w:tcW w:type="dxa" w:w="3700"/>
            <w:shd w:fill="1F4E5F" w:val="clear"/>
          </w:tcPr>
          <w:p>
            <w:r>
              <w:rPr>
                <w:b/>
                <w:bCs/>
                <w:color w:val="FFFFFF"/>
                <w:sz w:val="20"/>
                <w:szCs w:val="20"/>
              </w:rPr>
              <w:t xml:space="preserve">Structure</w:t>
            </w:r>
          </w:p>
        </w:tc>
        <w:tc>
          <w:tcPr>
            <w:tcW w:type="dxa" w:w="3200"/>
            <w:shd w:fill="1F4E5F" w:val="clear"/>
          </w:tcPr>
          <w:p>
            <w:r>
              <w:rPr>
                <w:b/>
                <w:bCs/>
                <w:color w:val="FFFFFF"/>
                <w:sz w:val="20"/>
                <w:szCs w:val="20"/>
              </w:rPr>
              <w:t xml:space="preserve">View It Expresses</w:t>
            </w:r>
          </w:p>
        </w:tc>
      </w:tr>
      <w:tr>
        <w:tc>
          <w:tcPr>
            <w:tcW w:type="dxa" w:w="1800"/>
          </w:tcPr>
          <w:p>
            <w:r>
              <w:rPr>
                <w:b w:val="false"/>
                <w:bCs w:val="false"/>
                <w:color w:val="000000"/>
                <w:sz w:val="20"/>
                <w:szCs w:val="20"/>
              </w:rPr>
              <w:t xml:space="preserve">Risk Reversal</w:t>
            </w:r>
          </w:p>
        </w:tc>
        <w:tc>
          <w:tcPr>
            <w:tcW w:type="dxa" w:w="3700"/>
          </w:tcPr>
          <w:p>
            <w:r>
              <w:rPr>
                <w:b w:val="false"/>
                <w:bCs w:val="false"/>
                <w:color w:val="000000"/>
                <w:sz w:val="20"/>
                <w:szCs w:val="20"/>
              </w:rPr>
              <w:t xml:space="preserve">Buy a call, sell a put (or vice versa) at different strikes, same expiry</w:t>
            </w:r>
          </w:p>
        </w:tc>
        <w:tc>
          <w:tcPr>
            <w:tcW w:type="dxa" w:w="3200"/>
          </w:tcPr>
          <w:p>
            <w:r>
              <w:rPr>
                <w:b w:val="false"/>
                <w:bCs w:val="false"/>
                <w:color w:val="000000"/>
                <w:sz w:val="20"/>
                <w:szCs w:val="20"/>
              </w:rPr>
              <w:t xml:space="preserve">A directional view combined with a view on skew</w:t>
            </w:r>
          </w:p>
        </w:tc>
      </w:tr>
      <w:tr>
        <w:tc>
          <w:tcPr>
            <w:tcW w:type="dxa" w:w="1800"/>
          </w:tcPr>
          <w:p>
            <w:r>
              <w:rPr>
                <w:b w:val="false"/>
                <w:bCs w:val="false"/>
                <w:color w:val="000000"/>
                <w:sz w:val="20"/>
                <w:szCs w:val="20"/>
              </w:rPr>
              <w:t xml:space="preserve">Butterfly</w:t>
            </w:r>
          </w:p>
        </w:tc>
        <w:tc>
          <w:tcPr>
            <w:tcW w:type="dxa" w:w="3700"/>
          </w:tcPr>
          <w:p>
            <w:r>
              <w:rPr>
                <w:b w:val="false"/>
                <w:bCs w:val="false"/>
                <w:color w:val="000000"/>
                <w:sz w:val="20"/>
                <w:szCs w:val="20"/>
              </w:rPr>
              <w:t xml:space="preserve">Buy one low strike, sell two middle strikes, buy one high strike</w:t>
            </w:r>
          </w:p>
        </w:tc>
        <w:tc>
          <w:tcPr>
            <w:tcW w:type="dxa" w:w="3200"/>
          </w:tcPr>
          <w:p>
            <w:r>
              <w:rPr>
                <w:b w:val="false"/>
                <w:bCs w:val="false"/>
                <w:color w:val="000000"/>
                <w:sz w:val="20"/>
                <w:szCs w:val="20"/>
              </w:rPr>
              <w:t xml:space="preserve">A pure view on the curvature of the smile</w:t>
            </w:r>
          </w:p>
        </w:tc>
      </w:tr>
      <w:tr>
        <w:tc>
          <w:tcPr>
            <w:tcW w:type="dxa" w:w="1800"/>
          </w:tcPr>
          <w:p>
            <w:r>
              <w:rPr>
                <w:b w:val="false"/>
                <w:bCs w:val="false"/>
                <w:color w:val="000000"/>
                <w:sz w:val="20"/>
                <w:szCs w:val="20"/>
              </w:rPr>
              <w:t xml:space="preserve">Straddle / Strangle</w:t>
            </w:r>
          </w:p>
        </w:tc>
        <w:tc>
          <w:tcPr>
            <w:tcW w:type="dxa" w:w="3700"/>
          </w:tcPr>
          <w:p>
            <w:r>
              <w:rPr>
                <w:b w:val="false"/>
                <w:bCs w:val="false"/>
                <w:color w:val="000000"/>
                <w:sz w:val="20"/>
                <w:szCs w:val="20"/>
              </w:rPr>
              <w:t xml:space="preserve">Buy a call and a put at the same (straddle) or different (strangle) strikes</w:t>
            </w:r>
          </w:p>
        </w:tc>
        <w:tc>
          <w:tcPr>
            <w:tcW w:type="dxa" w:w="3200"/>
          </w:tcPr>
          <w:p>
            <w:r>
              <w:rPr>
                <w:b w:val="false"/>
                <w:bCs w:val="false"/>
                <w:color w:val="000000"/>
                <w:sz w:val="20"/>
                <w:szCs w:val="20"/>
              </w:rPr>
              <w:t xml:space="preserve">A pure view on the general level of volatility, not its shape across strikes</w:t>
            </w:r>
          </w:p>
        </w:tc>
      </w:tr>
      <w:tr>
        <w:tc>
          <w:tcPr>
            <w:tcW w:type="dxa" w:w="1800"/>
          </w:tcPr>
          <w:p>
            <w:r>
              <w:rPr>
                <w:b w:val="false"/>
                <w:bCs w:val="false"/>
                <w:color w:val="000000"/>
                <w:sz w:val="20"/>
                <w:szCs w:val="20"/>
              </w:rPr>
              <w:t xml:space="preserve">Variance Swap</w:t>
            </w:r>
          </w:p>
        </w:tc>
        <w:tc>
          <w:tcPr>
            <w:tcW w:type="dxa" w:w="3700"/>
          </w:tcPr>
          <w:p>
            <w:r>
              <w:rPr>
                <w:b w:val="false"/>
                <w:bCs w:val="false"/>
                <w:color w:val="000000"/>
                <w:sz w:val="20"/>
                <w:szCs w:val="20"/>
              </w:rPr>
              <w:t xml:space="preserve">An OTC contract paying based on realized variance versus a fixed strike, replicated using a weighted basket of options across all strikes</w:t>
            </w:r>
          </w:p>
        </w:tc>
        <w:tc>
          <w:tcPr>
            <w:tcW w:type="dxa" w:w="3200"/>
          </w:tcPr>
          <w:p>
            <w:r>
              <w:rPr>
                <w:b w:val="false"/>
                <w:bCs w:val="false"/>
                <w:color w:val="000000"/>
                <w:sz w:val="20"/>
                <w:szCs w:val="20"/>
              </w:rPr>
              <w:t xml:space="preserve">A close-to-pure bet on realized vs. implied volatility, largely insensitive to the smile's exact shape</w:t>
            </w:r>
          </w:p>
        </w:tc>
      </w:tr>
    </w:tbl>
    <w:p>
      <w:pPr>
        <w:spacing w:after="160"/>
      </w:pPr>
      <w:r>
        <w:rPr>
          <w:sz w:val="22"/>
          <w:szCs w:val="22"/>
        </w:rPr>
        <w:t xml:space="preserve">Desks continuously monitor how the smile/skew shape changes over time — before earnings, before central bank meetings, during periods of market stress — because the shape itself carries real information about what the market is collectively worried about, beyond just the price level.</w:t>
      </w:r>
    </w:p>
    <w:p>
      <w:pPr>
        <w:pStyle w:val="Heading1"/>
        <w:spacing w:after="160" w:before="320"/>
      </w:pPr>
      <w:r>
        <w:t xml:space="preserve">14. A Real-World Anchor: The VIX Index</w:t>
      </w:r>
    </w:p>
    <w:p>
      <w:pPr>
        <w:spacing w:after="160"/>
      </w:pPr>
      <w:r>
        <w:rPr>
          <w:sz w:val="22"/>
          <w:szCs w:val="22"/>
        </w:rPr>
        <w:t xml:space="preserve">The VIX ("CBOE Volatility Index", often called the market's "fear gauge") is directly built from this exact concept, applied at scale. It's calculated using a wide strip of real S&amp;P 500 option prices across many strikes, roughly 30 days to expiry, combined using a variance-swap-style formula that weights each option by its contribution to total expected variance.</w:t>
      </w:r>
    </w:p>
    <w:p>
      <w:pPr>
        <w:spacing w:after="160"/>
      </w:pPr>
      <w:r>
        <w:rPr>
          <w:sz w:val="22"/>
          <w:szCs w:val="22"/>
        </w:rPr>
        <w:t xml:space="preserve">The key point for this project: VIX is not a theoretical construct — it is a real, continuously-published, tradeable number derived directly from the same raw ingredient (an options chain across strikes) that you'll be pulling yourself in this project. Understanding how your own smile-building code connects to something like the VIX is a very strong, concrete talking point for a volatility trading interview.</w:t>
      </w:r>
    </w:p>
    <w:p>
      <w:pPr>
        <w:pStyle w:val="Heading1"/>
        <w:spacing w:after="160" w:before="320"/>
      </w:pPr>
      <w:r>
        <w:t xml:space="preserve">15. Quick Reference Table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900"/>
      </w:tblGrid>
      <w:tr>
        <w:tc>
          <w:tcPr>
            <w:tcW w:type="dxa" w:w="1900"/>
            <w:shd w:fill="1F4E5F" w:val="clear"/>
          </w:tcPr>
          <w:p>
            <w:r>
              <w:rPr>
                <w:b/>
                <w:bCs/>
                <w:color w:val="FFFFFF"/>
                <w:sz w:val="20"/>
                <w:szCs w:val="20"/>
              </w:rPr>
              <w:t xml:space="preserve">Estimator</w:t>
            </w:r>
          </w:p>
        </w:tc>
        <w:tc>
          <w:tcPr>
            <w:tcW w:type="dxa" w:w="2500"/>
            <w:shd w:fill="1F4E5F" w:val="clear"/>
          </w:tcPr>
          <w:p>
            <w:r>
              <w:rPr>
                <w:b/>
                <w:bCs/>
                <w:color w:val="FFFFFF"/>
                <w:sz w:val="20"/>
                <w:szCs w:val="20"/>
              </w:rPr>
              <w:t xml:space="preserve">Looks Forward or Backward?</w:t>
            </w:r>
          </w:p>
        </w:tc>
        <w:tc>
          <w:tcPr>
            <w:tcW w:type="dxa" w:w="2500"/>
            <w:shd w:fill="1F4E5F" w:val="clear"/>
          </w:tcPr>
          <w:p>
            <w:r>
              <w:rPr>
                <w:b/>
                <w:bCs/>
                <w:color w:val="FFFFFF"/>
                <w:sz w:val="20"/>
                <w:szCs w:val="20"/>
              </w:rPr>
              <w:t xml:space="preserve">Computed From</w:t>
            </w:r>
          </w:p>
        </w:tc>
        <w:tc>
          <w:tcPr>
            <w:tcW w:type="dxa" w:w="2900"/>
            <w:shd w:fill="1F4E5F" w:val="clear"/>
          </w:tcPr>
          <w:p>
            <w:r>
              <w:rPr>
                <w:b/>
                <w:bCs/>
                <w:color w:val="FFFFFF"/>
                <w:sz w:val="20"/>
                <w:szCs w:val="20"/>
              </w:rPr>
              <w:t xml:space="preserve">Assumption on Vol</w:t>
            </w:r>
          </w:p>
        </w:tc>
      </w:tr>
      <w:tr>
        <w:tc>
          <w:tcPr>
            <w:tcW w:type="dxa" w:w="1900"/>
          </w:tcPr>
          <w:p>
            <w:r>
              <w:rPr>
                <w:b w:val="false"/>
                <w:bCs w:val="false"/>
                <w:color w:val="000000"/>
                <w:sz w:val="20"/>
                <w:szCs w:val="20"/>
              </w:rPr>
              <w:t xml:space="preserve">Historical / Realized</w:t>
            </w:r>
          </w:p>
        </w:tc>
        <w:tc>
          <w:tcPr>
            <w:tcW w:type="dxa" w:w="2500"/>
          </w:tcPr>
          <w:p>
            <w:r>
              <w:rPr>
                <w:b w:val="false"/>
                <w:bCs w:val="false"/>
                <w:color w:val="000000"/>
                <w:sz w:val="20"/>
                <w:szCs w:val="20"/>
              </w:rPr>
              <w:t xml:space="preserve">Backward</w:t>
            </w:r>
          </w:p>
        </w:tc>
        <w:tc>
          <w:tcPr>
            <w:tcW w:type="dxa" w:w="2500"/>
          </w:tcPr>
          <w:p>
            <w:r>
              <w:rPr>
                <w:b w:val="false"/>
                <w:bCs w:val="false"/>
                <w:color w:val="000000"/>
                <w:sz w:val="20"/>
                <w:szCs w:val="20"/>
              </w:rPr>
              <w:t xml:space="preserve">Past stock prices</w:t>
            </w:r>
          </w:p>
        </w:tc>
        <w:tc>
          <w:tcPr>
            <w:tcW w:type="dxa" w:w="2900"/>
          </w:tcPr>
          <w:p>
            <w:r>
              <w:rPr>
                <w:b w:val="false"/>
                <w:bCs w:val="false"/>
                <w:color w:val="000000"/>
                <w:sz w:val="20"/>
                <w:szCs w:val="20"/>
              </w:rPr>
              <w:t xml:space="preserve">N/A — measured, not assumed</w:t>
            </w:r>
          </w:p>
        </w:tc>
      </w:tr>
      <w:tr>
        <w:tc>
          <w:tcPr>
            <w:tcW w:type="dxa" w:w="1900"/>
          </w:tcPr>
          <w:p>
            <w:r>
              <w:rPr>
                <w:b w:val="false"/>
                <w:bCs w:val="false"/>
                <w:color w:val="000000"/>
                <w:sz w:val="20"/>
                <w:szCs w:val="20"/>
              </w:rPr>
              <w:t xml:space="preserve">Implied (single strike)</w:t>
            </w:r>
          </w:p>
        </w:tc>
        <w:tc>
          <w:tcPr>
            <w:tcW w:type="dxa" w:w="2500"/>
          </w:tcPr>
          <w:p>
            <w:r>
              <w:rPr>
                <w:b w:val="false"/>
                <w:bCs w:val="false"/>
                <w:color w:val="000000"/>
                <w:sz w:val="20"/>
                <w:szCs w:val="20"/>
              </w:rPr>
              <w:t xml:space="preserve">Forward-looking (market expectation)</w:t>
            </w:r>
          </w:p>
        </w:tc>
        <w:tc>
          <w:tcPr>
            <w:tcW w:type="dxa" w:w="2500"/>
          </w:tcPr>
          <w:p>
            <w:r>
              <w:rPr>
                <w:b w:val="false"/>
                <w:bCs w:val="false"/>
                <w:color w:val="000000"/>
                <w:sz w:val="20"/>
                <w:szCs w:val="20"/>
              </w:rPr>
              <w:t xml:space="preserve">One option's market price</w:t>
            </w:r>
          </w:p>
        </w:tc>
        <w:tc>
          <w:tcPr>
            <w:tcW w:type="dxa" w:w="2900"/>
          </w:tcPr>
          <w:p>
            <w:r>
              <w:rPr>
                <w:b w:val="false"/>
                <w:bCs w:val="false"/>
                <w:color w:val="000000"/>
                <w:sz w:val="20"/>
                <w:szCs w:val="20"/>
              </w:rPr>
              <w:t xml:space="preserve">Black-Scholes: constant across strikes</w:t>
            </w:r>
          </w:p>
        </w:tc>
      </w:tr>
      <w:tr>
        <w:tc>
          <w:tcPr>
            <w:tcW w:type="dxa" w:w="1900"/>
          </w:tcPr>
          <w:p>
            <w:r>
              <w:rPr>
                <w:b w:val="false"/>
                <w:bCs w:val="false"/>
                <w:color w:val="000000"/>
                <w:sz w:val="20"/>
                <w:szCs w:val="20"/>
              </w:rPr>
              <w:t xml:space="preserve">Vol Smile / Skew</w:t>
            </w:r>
          </w:p>
        </w:tc>
        <w:tc>
          <w:tcPr>
            <w:tcW w:type="dxa" w:w="2500"/>
          </w:tcPr>
          <w:p>
            <w:r>
              <w:rPr>
                <w:b w:val="false"/>
                <w:bCs w:val="false"/>
                <w:color w:val="000000"/>
                <w:sz w:val="20"/>
                <w:szCs w:val="20"/>
              </w:rPr>
              <w:t xml:space="preserve">Forward-looking, snapshot</w:t>
            </w:r>
          </w:p>
        </w:tc>
        <w:tc>
          <w:tcPr>
            <w:tcW w:type="dxa" w:w="2500"/>
          </w:tcPr>
          <w:p>
            <w:r>
              <w:rPr>
                <w:b w:val="false"/>
                <w:bCs w:val="false"/>
                <w:color w:val="000000"/>
                <w:sz w:val="20"/>
                <w:szCs w:val="20"/>
              </w:rPr>
              <w:t xml:space="preserve">IV at many strikes, same expiry</w:t>
            </w:r>
          </w:p>
        </w:tc>
        <w:tc>
          <w:tcPr>
            <w:tcW w:type="dxa" w:w="2900"/>
          </w:tcPr>
          <w:p>
            <w:r>
              <w:rPr>
                <w:b w:val="false"/>
                <w:bCs w:val="false"/>
                <w:color w:val="000000"/>
                <w:sz w:val="20"/>
                <w:szCs w:val="20"/>
              </w:rPr>
              <w:t xml:space="preserve">Reveals where the constant-vol assumption breaks down</w:t>
            </w:r>
          </w:p>
        </w:tc>
      </w:tr>
      <w:tr>
        <w:tc>
          <w:tcPr>
            <w:tcW w:type="dxa" w:w="1900"/>
          </w:tcPr>
          <w:p>
            <w:r>
              <w:rPr>
                <w:b w:val="false"/>
                <w:bCs w:val="false"/>
                <w:color w:val="000000"/>
                <w:sz w:val="20"/>
                <w:szCs w:val="20"/>
              </w:rPr>
              <w:t xml:space="preserve">Term Structure</w:t>
            </w:r>
          </w:p>
        </w:tc>
        <w:tc>
          <w:tcPr>
            <w:tcW w:type="dxa" w:w="2500"/>
          </w:tcPr>
          <w:p>
            <w:r>
              <w:rPr>
                <w:b w:val="false"/>
                <w:bCs w:val="false"/>
                <w:color w:val="000000"/>
                <w:sz w:val="20"/>
                <w:szCs w:val="20"/>
              </w:rPr>
              <w:t xml:space="preserve">Forward-looking, snapshot</w:t>
            </w:r>
          </w:p>
        </w:tc>
        <w:tc>
          <w:tcPr>
            <w:tcW w:type="dxa" w:w="2500"/>
          </w:tcPr>
          <w:p>
            <w:r>
              <w:rPr>
                <w:b w:val="false"/>
                <w:bCs w:val="false"/>
                <w:color w:val="000000"/>
                <w:sz w:val="20"/>
                <w:szCs w:val="20"/>
              </w:rPr>
              <w:t xml:space="preserve">IV at one strike, many expiries</w:t>
            </w:r>
          </w:p>
        </w:tc>
        <w:tc>
          <w:tcPr>
            <w:tcW w:type="dxa" w:w="2900"/>
          </w:tcPr>
          <w:p>
            <w:r>
              <w:rPr>
                <w:b w:val="false"/>
                <w:bCs w:val="false"/>
                <w:color w:val="000000"/>
                <w:sz w:val="20"/>
                <w:szCs w:val="20"/>
              </w:rPr>
              <w:t xml:space="preserve">Reveals how expected vol changes over time</w:t>
            </w:r>
          </w:p>
        </w:tc>
      </w:tr>
      <w:tr>
        <w:tc>
          <w:tcPr>
            <w:tcW w:type="dxa" w:w="1900"/>
          </w:tcPr>
          <w:p>
            <w:r>
              <w:rPr>
                <w:b w:val="false"/>
                <w:bCs w:val="false"/>
                <w:color w:val="000000"/>
                <w:sz w:val="20"/>
                <w:szCs w:val="20"/>
              </w:rPr>
              <w:t xml:space="preserve">Full Vol Surface</w:t>
            </w:r>
          </w:p>
        </w:tc>
        <w:tc>
          <w:tcPr>
            <w:tcW w:type="dxa" w:w="2500"/>
          </w:tcPr>
          <w:p>
            <w:r>
              <w:rPr>
                <w:b w:val="false"/>
                <w:bCs w:val="false"/>
                <w:color w:val="000000"/>
                <w:sz w:val="20"/>
                <w:szCs w:val="20"/>
              </w:rPr>
              <w:t xml:space="preserve">Forward-looking, complete snapshot</w:t>
            </w:r>
          </w:p>
        </w:tc>
        <w:tc>
          <w:tcPr>
            <w:tcW w:type="dxa" w:w="2500"/>
          </w:tcPr>
          <w:p>
            <w:r>
              <w:rPr>
                <w:b w:val="false"/>
                <w:bCs w:val="false"/>
                <w:color w:val="000000"/>
                <w:sz w:val="20"/>
                <w:szCs w:val="20"/>
              </w:rPr>
              <w:t xml:space="preserve">IV at every strike and expiry</w:t>
            </w:r>
          </w:p>
        </w:tc>
        <w:tc>
          <w:tcPr>
            <w:tcW w:type="dxa" w:w="2900"/>
          </w:tcPr>
          <w:p>
            <w:r>
              <w:rPr>
                <w:b w:val="false"/>
                <w:bCs w:val="false"/>
                <w:color w:val="000000"/>
                <w:sz w:val="20"/>
                <w:szCs w:val="20"/>
              </w:rPr>
              <w:t xml:space="preserve">The complete departure from Black-Scholes</w:t>
            </w:r>
          </w:p>
        </w:tc>
      </w:tr>
    </w:tbl>
    <w:p>
      <w:pPr>
        <w:pStyle w:val="Heading1"/>
        <w:spacing w:after="160" w:before="320"/>
      </w:pPr>
      <w:r>
        <w:t xml:space="preserve">16. Glossary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c>
          <w:tcPr>
            <w:tcW w:type="dxa" w:w="2200"/>
            <w:shd w:fill="1F4E5F" w:val="clear"/>
          </w:tcPr>
          <w:p>
            <w:r>
              <w:rPr>
                <w:b/>
                <w:bCs/>
                <w:color w:val="FFFFFF"/>
                <w:sz w:val="20"/>
                <w:szCs w:val="20"/>
              </w:rPr>
              <w:t xml:space="preserve">Term</w:t>
            </w:r>
          </w:p>
        </w:tc>
        <w:tc>
          <w:tcPr>
            <w:tcW w:type="dxa" w:w="6700"/>
            <w:shd w:fill="1F4E5F" w:val="clear"/>
          </w:tcPr>
          <w:p>
            <w:r>
              <w:rPr>
                <w:b/>
                <w:bCs/>
                <w:color w:val="FFFFFF"/>
                <w:sz w:val="20"/>
                <w:szCs w:val="20"/>
              </w:rPr>
              <w:t xml:space="preserve">Definition</w:t>
            </w:r>
          </w:p>
        </w:tc>
      </w:tr>
      <w:tr>
        <w:tc>
          <w:tcPr>
            <w:tcW w:type="dxa" w:w="2200"/>
          </w:tcPr>
          <w:p>
            <w:r>
              <w:rPr>
                <w:b w:val="false"/>
                <w:bCs w:val="false"/>
                <w:color w:val="000000"/>
                <w:sz w:val="20"/>
                <w:szCs w:val="20"/>
              </w:rPr>
              <w:t xml:space="preserve">At-the-money (ATM)</w:t>
            </w:r>
          </w:p>
        </w:tc>
        <w:tc>
          <w:tcPr>
            <w:tcW w:type="dxa" w:w="6700"/>
          </w:tcPr>
          <w:p>
            <w:r>
              <w:rPr>
                <w:b w:val="false"/>
                <w:bCs w:val="false"/>
                <w:color w:val="000000"/>
                <w:sz w:val="20"/>
                <w:szCs w:val="20"/>
              </w:rPr>
              <w:t xml:space="preserve">An option whose strike is at (or very near) the current stock price.</w:t>
            </w:r>
          </w:p>
        </w:tc>
      </w:tr>
      <w:tr>
        <w:tc>
          <w:tcPr>
            <w:tcW w:type="dxa" w:w="2200"/>
          </w:tcPr>
          <w:p>
            <w:r>
              <w:rPr>
                <w:b w:val="false"/>
                <w:bCs w:val="false"/>
                <w:color w:val="000000"/>
                <w:sz w:val="20"/>
                <w:szCs w:val="20"/>
              </w:rPr>
              <w:t xml:space="preserve">Out-of-the-money (OTM)</w:t>
            </w:r>
          </w:p>
        </w:tc>
        <w:tc>
          <w:tcPr>
            <w:tcW w:type="dxa" w:w="6700"/>
          </w:tcPr>
          <w:p>
            <w:r>
              <w:rPr>
                <w:b w:val="false"/>
                <w:bCs w:val="false"/>
                <w:color w:val="000000"/>
                <w:sz w:val="20"/>
                <w:szCs w:val="20"/>
              </w:rPr>
              <w:t xml:space="preserve">A call with strike above the current price, or a put with strike below it.</w:t>
            </w:r>
          </w:p>
        </w:tc>
      </w:tr>
      <w:tr>
        <w:tc>
          <w:tcPr>
            <w:tcW w:type="dxa" w:w="2200"/>
          </w:tcPr>
          <w:p>
            <w:r>
              <w:rPr>
                <w:b w:val="false"/>
                <w:bCs w:val="false"/>
                <w:color w:val="000000"/>
                <w:sz w:val="20"/>
                <w:szCs w:val="20"/>
              </w:rPr>
              <w:t xml:space="preserve">In-the-money (ITM)</w:t>
            </w:r>
          </w:p>
        </w:tc>
        <w:tc>
          <w:tcPr>
            <w:tcW w:type="dxa" w:w="6700"/>
          </w:tcPr>
          <w:p>
            <w:r>
              <w:rPr>
                <w:b w:val="false"/>
                <w:bCs w:val="false"/>
                <w:color w:val="000000"/>
                <w:sz w:val="20"/>
                <w:szCs w:val="20"/>
              </w:rPr>
              <w:t xml:space="preserve">A call with strike below the current price, or a put with strike above it.</w:t>
            </w:r>
          </w:p>
        </w:tc>
      </w:tr>
      <w:tr>
        <w:tc>
          <w:tcPr>
            <w:tcW w:type="dxa" w:w="2200"/>
          </w:tcPr>
          <w:p>
            <w:r>
              <w:rPr>
                <w:b w:val="false"/>
                <w:bCs w:val="false"/>
                <w:color w:val="000000"/>
                <w:sz w:val="20"/>
                <w:szCs w:val="20"/>
              </w:rPr>
              <w:t xml:space="preserve">Moneyness</w:t>
            </w:r>
          </w:p>
        </w:tc>
        <w:tc>
          <w:tcPr>
            <w:tcW w:type="dxa" w:w="6700"/>
          </w:tcPr>
          <w:p>
            <w:r>
              <w:rPr>
                <w:b w:val="false"/>
                <w:bCs w:val="false"/>
                <w:color w:val="000000"/>
                <w:sz w:val="20"/>
                <w:szCs w:val="20"/>
              </w:rPr>
              <w:t xml:space="preserve">A standardized way to describe how far a strike is from the current price.</w:t>
            </w:r>
          </w:p>
        </w:tc>
      </w:tr>
      <w:tr>
        <w:tc>
          <w:tcPr>
            <w:tcW w:type="dxa" w:w="2200"/>
          </w:tcPr>
          <w:p>
            <w:r>
              <w:rPr>
                <w:b w:val="false"/>
                <w:bCs w:val="false"/>
                <w:color w:val="000000"/>
                <w:sz w:val="20"/>
                <w:szCs w:val="20"/>
              </w:rPr>
              <w:t xml:space="preserve">Log-moneyness</w:t>
            </w:r>
          </w:p>
        </w:tc>
        <w:tc>
          <w:tcPr>
            <w:tcW w:type="dxa" w:w="6700"/>
          </w:tcPr>
          <w:p>
            <w:r>
              <w:rPr>
                <w:b w:val="false"/>
                <w:bCs w:val="false"/>
                <w:color w:val="000000"/>
                <w:sz w:val="20"/>
                <w:szCs w:val="20"/>
              </w:rPr>
              <w:t xml:space="preserve">ln(K / S) — a common way to express moneyness on a scale centered at zero for at-the-money.</w:t>
            </w:r>
          </w:p>
        </w:tc>
      </w:tr>
      <w:tr>
        <w:tc>
          <w:tcPr>
            <w:tcW w:type="dxa" w:w="2200"/>
          </w:tcPr>
          <w:p>
            <w:r>
              <w:rPr>
                <w:b w:val="false"/>
                <w:bCs w:val="false"/>
                <w:color w:val="000000"/>
                <w:sz w:val="20"/>
                <w:szCs w:val="20"/>
              </w:rPr>
              <w:t xml:space="preserve">Delta as moneyness</w:t>
            </w:r>
          </w:p>
        </w:tc>
        <w:tc>
          <w:tcPr>
            <w:tcW w:type="dxa" w:w="6700"/>
          </w:tcPr>
          <w:p>
            <w:r>
              <w:rPr>
                <w:b w:val="false"/>
                <w:bCs w:val="false"/>
                <w:color w:val="000000"/>
                <w:sz w:val="20"/>
                <w:szCs w:val="20"/>
              </w:rPr>
              <w:t xml:space="preserve">Using an option's own Delta (e.g. a 25-delta put) instead of strike price to describe its distance from at-the-money.</w:t>
            </w:r>
          </w:p>
        </w:tc>
      </w:tr>
      <w:tr>
        <w:tc>
          <w:tcPr>
            <w:tcW w:type="dxa" w:w="2200"/>
          </w:tcPr>
          <w:p>
            <w:r>
              <w:rPr>
                <w:b w:val="false"/>
                <w:bCs w:val="false"/>
                <w:color w:val="000000"/>
                <w:sz w:val="20"/>
                <w:szCs w:val="20"/>
              </w:rPr>
              <w:t xml:space="preserve">Skew</w:t>
            </w:r>
          </w:p>
        </w:tc>
        <w:tc>
          <w:tcPr>
            <w:tcW w:type="dxa" w:w="6700"/>
          </w:tcPr>
          <w:p>
            <w:r>
              <w:rPr>
                <w:b w:val="false"/>
                <w:bCs w:val="false"/>
                <w:color w:val="000000"/>
                <w:sz w:val="20"/>
                <w:szCs w:val="20"/>
              </w:rPr>
              <w:t xml:space="preserve">The lopsided, generally downward-sloping shape of implied volatility across strikes in equity markets.</w:t>
            </w:r>
          </w:p>
        </w:tc>
      </w:tr>
      <w:tr>
        <w:tc>
          <w:tcPr>
            <w:tcW w:type="dxa" w:w="2200"/>
          </w:tcPr>
          <w:p>
            <w:r>
              <w:rPr>
                <w:b w:val="false"/>
                <w:bCs w:val="false"/>
                <w:color w:val="000000"/>
                <w:sz w:val="20"/>
                <w:szCs w:val="20"/>
              </w:rPr>
              <w:t xml:space="preserve">Smile</w:t>
            </w:r>
          </w:p>
        </w:tc>
        <w:tc>
          <w:tcPr>
            <w:tcW w:type="dxa" w:w="6700"/>
          </w:tcPr>
          <w:p>
            <w:r>
              <w:rPr>
                <w:b w:val="false"/>
                <w:bCs w:val="false"/>
                <w:color w:val="000000"/>
                <w:sz w:val="20"/>
                <w:szCs w:val="20"/>
              </w:rPr>
              <w:t xml:space="preserve">The symmetric, U-shaped pattern of implied volatility across strikes.</w:t>
            </w:r>
          </w:p>
        </w:tc>
      </w:tr>
      <w:tr>
        <w:tc>
          <w:tcPr>
            <w:tcW w:type="dxa" w:w="2200"/>
          </w:tcPr>
          <w:p>
            <w:r>
              <w:rPr>
                <w:b w:val="false"/>
                <w:bCs w:val="false"/>
                <w:color w:val="000000"/>
                <w:sz w:val="20"/>
                <w:szCs w:val="20"/>
              </w:rPr>
              <w:t xml:space="preserve">Term structure</w:t>
            </w:r>
          </w:p>
        </w:tc>
        <w:tc>
          <w:tcPr>
            <w:tcW w:type="dxa" w:w="6700"/>
          </w:tcPr>
          <w:p>
            <w:r>
              <w:rPr>
                <w:b w:val="false"/>
                <w:bCs w:val="false"/>
                <w:color w:val="000000"/>
                <w:sz w:val="20"/>
                <w:szCs w:val="20"/>
              </w:rPr>
              <w:t xml:space="preserve">How implied volatility (at a fixed strike or moneyness) varies across different expiries.</w:t>
            </w:r>
          </w:p>
        </w:tc>
      </w:tr>
      <w:tr>
        <w:tc>
          <w:tcPr>
            <w:tcW w:type="dxa" w:w="2200"/>
          </w:tcPr>
          <w:p>
            <w:r>
              <w:rPr>
                <w:b w:val="false"/>
                <w:bCs w:val="false"/>
                <w:color w:val="000000"/>
                <w:sz w:val="20"/>
                <w:szCs w:val="20"/>
              </w:rPr>
              <w:t xml:space="preserve">Volatility surface</w:t>
            </w:r>
          </w:p>
        </w:tc>
        <w:tc>
          <w:tcPr>
            <w:tcW w:type="dxa" w:w="6700"/>
          </w:tcPr>
          <w:p>
            <w:r>
              <w:rPr>
                <w:b w:val="false"/>
                <w:bCs w:val="false"/>
                <w:color w:val="000000"/>
                <w:sz w:val="20"/>
                <w:szCs w:val="20"/>
              </w:rPr>
              <w:t xml:space="preserve">The complete two-dimensional map of implied volatility across both strike and expiry simultaneously.</w:t>
            </w:r>
          </w:p>
        </w:tc>
      </w:tr>
      <w:tr>
        <w:tc>
          <w:tcPr>
            <w:tcW w:type="dxa" w:w="2200"/>
          </w:tcPr>
          <w:p>
            <w:r>
              <w:rPr>
                <w:b w:val="false"/>
                <w:bCs w:val="false"/>
                <w:color w:val="000000"/>
                <w:sz w:val="20"/>
                <w:szCs w:val="20"/>
              </w:rPr>
              <w:t xml:space="preserve">Sticky strike</w:t>
            </w:r>
          </w:p>
        </w:tc>
        <w:tc>
          <w:tcPr>
            <w:tcW w:type="dxa" w:w="6700"/>
          </w:tcPr>
          <w:p>
            <w:r>
              <w:rPr>
                <w:b w:val="false"/>
                <w:bCs w:val="false"/>
                <w:color w:val="000000"/>
                <w:sz w:val="20"/>
                <w:szCs w:val="20"/>
              </w:rPr>
              <w:t xml:space="preserve">A rule of thumb where implied vol at each fixed strike stays constant as the stock price moves.</w:t>
            </w:r>
          </w:p>
        </w:tc>
      </w:tr>
      <w:tr>
        <w:tc>
          <w:tcPr>
            <w:tcW w:type="dxa" w:w="2200"/>
          </w:tcPr>
          <w:p>
            <w:r>
              <w:rPr>
                <w:b w:val="false"/>
                <w:bCs w:val="false"/>
                <w:color w:val="000000"/>
                <w:sz w:val="20"/>
                <w:szCs w:val="20"/>
              </w:rPr>
              <w:t xml:space="preserve">Sticky delta</w:t>
            </w:r>
          </w:p>
        </w:tc>
        <w:tc>
          <w:tcPr>
            <w:tcW w:type="dxa" w:w="6700"/>
          </w:tcPr>
          <w:p>
            <w:r>
              <w:rPr>
                <w:b w:val="false"/>
                <w:bCs w:val="false"/>
                <w:color w:val="000000"/>
                <w:sz w:val="20"/>
                <w:szCs w:val="20"/>
              </w:rPr>
              <w:t xml:space="preserve">A rule of thumb where implied vol at each fixed level of moneyness stays constant as the stock price moves.</w:t>
            </w:r>
          </w:p>
        </w:tc>
      </w:tr>
      <w:tr>
        <w:tc>
          <w:tcPr>
            <w:tcW w:type="dxa" w:w="2200"/>
          </w:tcPr>
          <w:p>
            <w:r>
              <w:rPr>
                <w:b w:val="false"/>
                <w:bCs w:val="false"/>
                <w:color w:val="000000"/>
                <w:sz w:val="20"/>
                <w:szCs w:val="20"/>
              </w:rPr>
              <w:t xml:space="preserve">Leverage effect</w:t>
            </w:r>
          </w:p>
        </w:tc>
        <w:tc>
          <w:tcPr>
            <w:tcW w:type="dxa" w:w="6700"/>
          </w:tcPr>
          <w:p>
            <w:r>
              <w:rPr>
                <w:b w:val="false"/>
                <w:bCs w:val="false"/>
                <w:color w:val="000000"/>
                <w:sz w:val="20"/>
                <w:szCs w:val="20"/>
              </w:rPr>
              <w:t xml:space="preserve">The empirical tendency for a stock's volatility to rise when its price falls, and vice versa.</w:t>
            </w:r>
          </w:p>
        </w:tc>
      </w:tr>
      <w:tr>
        <w:tc>
          <w:tcPr>
            <w:tcW w:type="dxa" w:w="2200"/>
          </w:tcPr>
          <w:p>
            <w:r>
              <w:rPr>
                <w:b w:val="false"/>
                <w:bCs w:val="false"/>
                <w:color w:val="000000"/>
                <w:sz w:val="20"/>
                <w:szCs w:val="20"/>
              </w:rPr>
              <w:t xml:space="preserve">VIX</w:t>
            </w:r>
          </w:p>
        </w:tc>
        <w:tc>
          <w:tcPr>
            <w:tcW w:type="dxa" w:w="6700"/>
          </w:tcPr>
          <w:p>
            <w:r>
              <w:rPr>
                <w:b w:val="false"/>
                <w:bCs w:val="false"/>
                <w:color w:val="000000"/>
                <w:sz w:val="20"/>
                <w:szCs w:val="20"/>
              </w:rPr>
              <w:t xml:space="preserve">An index representing the market's 30-day expected S&amp;P 500 volatility, computed from real SPX option prices.</w:t>
            </w:r>
          </w:p>
        </w:tc>
      </w:tr>
      <w:tr>
        <w:tc>
          <w:tcPr>
            <w:tcW w:type="dxa" w:w="2200"/>
          </w:tcPr>
          <w:p>
            <w:r>
              <w:rPr>
                <w:b w:val="false"/>
                <w:bCs w:val="false"/>
                <w:color w:val="000000"/>
                <w:sz w:val="20"/>
                <w:szCs w:val="20"/>
              </w:rPr>
              <w:t xml:space="preserve">Arbitrage-free surface</w:t>
            </w:r>
          </w:p>
        </w:tc>
        <w:tc>
          <w:tcPr>
            <w:tcW w:type="dxa" w:w="6700"/>
          </w:tcPr>
          <w:p>
            <w:r>
              <w:rPr>
                <w:b w:val="false"/>
                <w:bCs w:val="false"/>
                <w:color w:val="000000"/>
                <w:sz w:val="20"/>
                <w:szCs w:val="20"/>
              </w:rPr>
              <w:t xml:space="preserve">A volatility surface with no combination of strikes/expiries that would let a trader lock in a riskless profit.</w:t>
            </w:r>
          </w:p>
        </w:tc>
      </w:tr>
    </w:tbl>
    <w:p>
      <w:pPr>
        <w:pStyle w:val="Heading1"/>
        <w:spacing w:after="160" w:before="320"/>
      </w:pPr>
      <w:r>
        <w:t xml:space="preserve">17. Summary</w:t>
      </w:r>
    </w:p>
    <w:p>
      <w:pPr>
        <w:spacing w:after="160"/>
      </w:pPr>
      <w:r>
        <w:rPr>
          <w:sz w:val="22"/>
          <w:szCs w:val="22"/>
        </w:rPr>
        <w:t xml:space="preserve">Implied volatility is not one number per stock — it is a full surface that varies by both strike and expiry. The deviation of this surface from Black-Scholes' flat, constant-volatility assumption is not noise or error; it is a real, persistent, economically meaningful market feature driven by crash risk, fat-tailed returns, the leverage effect, and supply/demand for specific strikes. This departure from theory is precisely what gave rise to more advanced models (local volatility, stochastic volatility, SABR) and to entire trading strategies (risk reversals, butterflies, variance swaps) built explicitly around the shape of the smile itself. Extracting this surface from real option prices — which is exactly what Project 3 does — is one of the most direct, tangible pieces of evidence you can bring to a volatility trading interview that you understand what the desk actually looks at every day.</w:t>
      </w:r>
    </w:p>
    <w:p>
      <w:pPr>
        <w:pStyle w:val="Heading1"/>
        <w:spacing w:after="160" w:before="320"/>
      </w:pPr>
      <w:r>
        <w:t xml:space="preserve">18. Further Reading (Optional)</w:t>
      </w:r>
    </w:p>
    <w:p>
      <w:pPr>
        <w:pStyle w:val="ListParagraph"/>
        <w:numPr>
          <w:ilvl w:val="0"/>
          <w:numId w:val="2"/>
        </w:numPr>
        <w:spacing w:after="100"/>
      </w:pPr>
      <w:r>
        <w:rPr>
          <w:sz w:val="22"/>
          <w:szCs w:val="22"/>
        </w:rPr>
        <w:t xml:space="preserve">Hull, J. — "Options, Futures, and Other Derivatives" — the standard textbook covering Black-Scholes, the Greeks, and an introduction to volatility smiles.</w:t>
      </w:r>
    </w:p>
    <w:p>
      <w:pPr>
        <w:pStyle w:val="ListParagraph"/>
        <w:numPr>
          <w:ilvl w:val="0"/>
          <w:numId w:val="2"/>
        </w:numPr>
        <w:spacing w:after="100"/>
      </w:pPr>
      <w:r>
        <w:rPr>
          <w:sz w:val="22"/>
          <w:szCs w:val="22"/>
        </w:rPr>
        <w:t xml:space="preserve">Gatheral, J. — "The Volatility Surface: A Practitioner's Guide" — a more advanced, industry-oriented treatment of smile modeling, including SVI parametrization.</w:t>
      </w:r>
    </w:p>
    <w:p>
      <w:pPr>
        <w:pStyle w:val="ListParagraph"/>
        <w:numPr>
          <w:ilvl w:val="0"/>
          <w:numId w:val="2"/>
        </w:numPr>
        <w:spacing w:after="100"/>
      </w:pPr>
      <w:r>
        <w:rPr>
          <w:sz w:val="22"/>
          <w:szCs w:val="22"/>
        </w:rPr>
        <w:t xml:space="preserve">CBOE VIX White Paper — the official methodology document describing exactly how VIX is calculated from real SPX option prices.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2026-09-09T22:53:27.820Z</dcterms:created>
  <dcterms:modified xsi:type="dcterms:W3CDTF">2026-09-09T22:53:27.832Z</dcterms:modified>
</cp:coreProperties>
</file>

<file path=docProps/custom.xml><?xml version="1.0" encoding="utf-8"?>
<Properties xmlns="http://schemas.openxmlformats.org/officeDocument/2006/custom-properties" xmlns:vt="http://schemas.openxmlformats.org/officeDocument/2006/docPropsVTypes"/>
</file>