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E0EE4" w14:textId="77777777" w:rsidR="008F2674" w:rsidRPr="008465B4" w:rsidRDefault="008F2674" w:rsidP="008F2674">
      <w:pPr>
        <w:spacing w:after="0" w:line="320" w:lineRule="exact"/>
        <w:rPr>
          <w:rFonts w:ascii="Segoe UI" w:hAnsi="Segoe UI" w:cs="Segoe UI"/>
          <w:sz w:val="26"/>
          <w:szCs w:val="26"/>
        </w:rPr>
      </w:pPr>
      <w:bookmarkStart w:id="0" w:name="_GoBack"/>
      <w:bookmarkEnd w:id="0"/>
      <w:r w:rsidRPr="008465B4">
        <w:rPr>
          <w:rFonts w:ascii="Segoe UI" w:hAnsi="Segoe UI" w:cs="Segoe UI"/>
          <w:sz w:val="26"/>
          <w:szCs w:val="26"/>
        </w:rPr>
        <w:t xml:space="preserve">Microsoft Cloud Strength Highlights </w:t>
      </w:r>
      <w:r w:rsidR="00AE0C2C" w:rsidRPr="008465B4">
        <w:rPr>
          <w:rFonts w:ascii="Segoe UI" w:hAnsi="Segoe UI" w:cs="Segoe UI"/>
          <w:sz w:val="26"/>
          <w:szCs w:val="26"/>
        </w:rPr>
        <w:t xml:space="preserve">Fourth </w:t>
      </w:r>
      <w:r w:rsidRPr="008465B4">
        <w:rPr>
          <w:rFonts w:ascii="Segoe UI" w:hAnsi="Segoe UI" w:cs="Segoe UI"/>
          <w:sz w:val="26"/>
          <w:szCs w:val="26"/>
        </w:rPr>
        <w:t>Quarter Results</w:t>
      </w:r>
    </w:p>
    <w:p w14:paraId="58AE3F9B" w14:textId="77777777" w:rsidR="008F2674" w:rsidRPr="008465B4" w:rsidRDefault="008F2674" w:rsidP="008F2674">
      <w:pPr>
        <w:spacing w:after="0" w:line="320" w:lineRule="exact"/>
        <w:rPr>
          <w:rFonts w:ascii="Segoe UI" w:eastAsiaTheme="minorHAnsi" w:hAnsi="Segoe UI" w:cs="Segoe UI"/>
          <w:i/>
          <w:color w:val="666666"/>
          <w:sz w:val="18"/>
          <w:szCs w:val="18"/>
        </w:rPr>
      </w:pPr>
      <w:r w:rsidRPr="008465B4">
        <w:rPr>
          <w:rFonts w:ascii="Segoe UI" w:eastAsiaTheme="minorHAnsi" w:hAnsi="Segoe UI" w:cs="Segoe UI"/>
          <w:i/>
          <w:color w:val="666666"/>
          <w:sz w:val="18"/>
          <w:szCs w:val="18"/>
        </w:rPr>
        <w:t xml:space="preserve">Commercial cloud annualized revenue run rate </w:t>
      </w:r>
      <w:r w:rsidR="00EF2C73" w:rsidRPr="008465B4">
        <w:rPr>
          <w:rFonts w:ascii="Segoe UI" w:eastAsiaTheme="minorHAnsi" w:hAnsi="Segoe UI" w:cs="Segoe UI"/>
          <w:i/>
          <w:color w:val="666666"/>
          <w:sz w:val="18"/>
          <w:szCs w:val="18"/>
        </w:rPr>
        <w:t>exceeds</w:t>
      </w:r>
      <w:r w:rsidRPr="008465B4">
        <w:rPr>
          <w:rFonts w:ascii="Segoe UI" w:eastAsiaTheme="minorHAnsi" w:hAnsi="Segoe UI" w:cs="Segoe UI"/>
          <w:i/>
          <w:color w:val="666666"/>
          <w:sz w:val="18"/>
          <w:szCs w:val="18"/>
        </w:rPr>
        <w:t xml:space="preserve"> $</w:t>
      </w:r>
      <w:r w:rsidR="00104AF5" w:rsidRPr="008465B4">
        <w:rPr>
          <w:rFonts w:ascii="Segoe UI" w:eastAsiaTheme="minorHAnsi" w:hAnsi="Segoe UI" w:cs="Segoe UI"/>
          <w:i/>
          <w:color w:val="666666"/>
          <w:sz w:val="18"/>
          <w:szCs w:val="18"/>
        </w:rPr>
        <w:t>12</w:t>
      </w:r>
      <w:r w:rsidRPr="008465B4">
        <w:rPr>
          <w:rFonts w:ascii="Segoe UI" w:eastAsiaTheme="minorHAnsi" w:hAnsi="Segoe UI" w:cs="Segoe UI"/>
          <w:i/>
          <w:color w:val="666666"/>
          <w:sz w:val="18"/>
          <w:szCs w:val="18"/>
        </w:rPr>
        <w:t>.</w:t>
      </w:r>
      <w:r w:rsidR="00104AF5" w:rsidRPr="008465B4">
        <w:rPr>
          <w:rFonts w:ascii="Segoe UI" w:eastAsiaTheme="minorHAnsi" w:hAnsi="Segoe UI" w:cs="Segoe UI"/>
          <w:i/>
          <w:color w:val="666666"/>
          <w:sz w:val="18"/>
          <w:szCs w:val="18"/>
        </w:rPr>
        <w:t xml:space="preserve">1 </w:t>
      </w:r>
      <w:r w:rsidRPr="008465B4">
        <w:rPr>
          <w:rFonts w:ascii="Segoe UI" w:eastAsiaTheme="minorHAnsi" w:hAnsi="Segoe UI" w:cs="Segoe UI"/>
          <w:i/>
          <w:color w:val="666666"/>
          <w:sz w:val="18"/>
          <w:szCs w:val="18"/>
        </w:rPr>
        <w:t>billion</w:t>
      </w:r>
    </w:p>
    <w:p w14:paraId="09D1A239" w14:textId="77777777" w:rsidR="008F2674" w:rsidRPr="008465B4" w:rsidRDefault="008F2674" w:rsidP="008F2674">
      <w:pPr>
        <w:spacing w:after="0" w:line="320" w:lineRule="exact"/>
        <w:rPr>
          <w:rFonts w:ascii="Segoe UI" w:hAnsi="Segoe UI" w:cs="Segoe UI"/>
          <w:i/>
          <w:color w:val="666666"/>
          <w:sz w:val="18"/>
          <w:szCs w:val="18"/>
        </w:rPr>
      </w:pPr>
    </w:p>
    <w:p w14:paraId="4A491230" w14:textId="77777777" w:rsidR="006945E0" w:rsidRPr="008465B4" w:rsidRDefault="008F2674" w:rsidP="006945E0">
      <w:pPr>
        <w:spacing w:line="280" w:lineRule="exact"/>
        <w:rPr>
          <w:rFonts w:ascii="Segoe UI" w:hAnsi="Segoe UI" w:cs="Segoe UI"/>
          <w:color w:val="666666"/>
          <w:sz w:val="20"/>
          <w:szCs w:val="20"/>
        </w:rPr>
      </w:pPr>
      <w:r w:rsidRPr="008465B4">
        <w:rPr>
          <w:rFonts w:ascii="Segoe UI" w:hAnsi="Segoe UI" w:cs="Segoe UI"/>
          <w:b/>
          <w:color w:val="666666"/>
          <w:sz w:val="20"/>
          <w:szCs w:val="20"/>
        </w:rPr>
        <w:t xml:space="preserve">REDMOND, Wash. — </w:t>
      </w:r>
      <w:r w:rsidR="00AE0C2C" w:rsidRPr="008465B4">
        <w:rPr>
          <w:rFonts w:ascii="Segoe UI" w:hAnsi="Segoe UI" w:cs="Segoe UI"/>
          <w:b/>
          <w:color w:val="666666"/>
          <w:sz w:val="20"/>
          <w:szCs w:val="20"/>
        </w:rPr>
        <w:t>July 19</w:t>
      </w:r>
      <w:r w:rsidRPr="008465B4">
        <w:rPr>
          <w:rFonts w:ascii="Segoe UI" w:hAnsi="Segoe UI" w:cs="Segoe UI"/>
          <w:b/>
          <w:color w:val="666666"/>
          <w:sz w:val="20"/>
          <w:szCs w:val="20"/>
        </w:rPr>
        <w:t>, 2016 —</w:t>
      </w:r>
      <w:r w:rsidR="002E1619" w:rsidRPr="008465B4">
        <w:rPr>
          <w:rFonts w:ascii="Segoe UI" w:hAnsi="Segoe UI" w:cs="Segoe UI"/>
          <w:b/>
          <w:color w:val="666666"/>
          <w:sz w:val="20"/>
          <w:szCs w:val="20"/>
        </w:rPr>
        <w:t xml:space="preserve"> </w:t>
      </w:r>
      <w:r w:rsidR="004D2BEE" w:rsidRPr="008465B4">
        <w:rPr>
          <w:rFonts w:ascii="Segoe UI" w:hAnsi="Segoe UI" w:cs="Segoe UI"/>
          <w:color w:val="666666"/>
          <w:sz w:val="20"/>
          <w:szCs w:val="20"/>
        </w:rPr>
        <w:t>Microsoft Corp. today announced the following results for the quarter ended June 30, 2016:</w:t>
      </w:r>
    </w:p>
    <w:p w14:paraId="61D7D8AE" w14:textId="77777777" w:rsidR="006945E0" w:rsidRPr="008465B4" w:rsidRDefault="006945E0" w:rsidP="006945E0">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Revenue was $20.</w:t>
      </w:r>
      <w:r w:rsidR="006C7017" w:rsidRPr="008465B4">
        <w:rPr>
          <w:rFonts w:ascii="Segoe UI" w:hAnsi="Segoe UI" w:cs="Segoe UI"/>
          <w:color w:val="666666"/>
          <w:sz w:val="20"/>
          <w:szCs w:val="20"/>
        </w:rPr>
        <w:t>6</w:t>
      </w:r>
      <w:r w:rsidRPr="008465B4">
        <w:rPr>
          <w:rFonts w:ascii="Segoe UI" w:hAnsi="Segoe UI" w:cs="Segoe UI"/>
          <w:color w:val="666666"/>
          <w:sz w:val="20"/>
          <w:szCs w:val="20"/>
        </w:rPr>
        <w:t xml:space="preserve"> billion GAAP, and $22.</w:t>
      </w:r>
      <w:r w:rsidR="006C7017" w:rsidRPr="008465B4">
        <w:rPr>
          <w:rFonts w:ascii="Segoe UI" w:hAnsi="Segoe UI" w:cs="Segoe UI"/>
          <w:color w:val="666666"/>
          <w:sz w:val="20"/>
          <w:szCs w:val="20"/>
        </w:rPr>
        <w:t>6</w:t>
      </w:r>
      <w:r w:rsidRPr="008465B4">
        <w:rPr>
          <w:rFonts w:ascii="Segoe UI" w:hAnsi="Segoe UI" w:cs="Segoe UI"/>
          <w:color w:val="666666"/>
          <w:sz w:val="20"/>
          <w:szCs w:val="20"/>
        </w:rPr>
        <w:t xml:space="preserve"> billion non-GAAP</w:t>
      </w:r>
    </w:p>
    <w:p w14:paraId="30A077EF" w14:textId="77777777" w:rsidR="006945E0" w:rsidRPr="008465B4" w:rsidRDefault="006945E0" w:rsidP="006945E0">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Operating income was $</w:t>
      </w:r>
      <w:r w:rsidR="006C7017" w:rsidRPr="008465B4">
        <w:rPr>
          <w:rFonts w:ascii="Segoe UI" w:hAnsi="Segoe UI" w:cs="Segoe UI"/>
          <w:color w:val="666666"/>
          <w:sz w:val="20"/>
          <w:szCs w:val="20"/>
        </w:rPr>
        <w:t>3.1</w:t>
      </w:r>
      <w:r w:rsidRPr="008465B4">
        <w:rPr>
          <w:rFonts w:ascii="Segoe UI" w:hAnsi="Segoe UI" w:cs="Segoe UI"/>
          <w:color w:val="666666"/>
          <w:sz w:val="20"/>
          <w:szCs w:val="20"/>
        </w:rPr>
        <w:t xml:space="preserve"> billion GAAP, and $</w:t>
      </w:r>
      <w:r w:rsidR="006C7017" w:rsidRPr="008465B4">
        <w:rPr>
          <w:rFonts w:ascii="Segoe UI" w:hAnsi="Segoe UI" w:cs="Segoe UI"/>
          <w:color w:val="666666"/>
          <w:sz w:val="20"/>
          <w:szCs w:val="20"/>
        </w:rPr>
        <w:t>6.2</w:t>
      </w:r>
      <w:r w:rsidRPr="008465B4">
        <w:rPr>
          <w:rFonts w:ascii="Segoe UI" w:hAnsi="Segoe UI" w:cs="Segoe UI"/>
          <w:color w:val="666666"/>
          <w:sz w:val="20"/>
          <w:szCs w:val="20"/>
        </w:rPr>
        <w:t xml:space="preserve"> billion non-GAAP</w:t>
      </w:r>
    </w:p>
    <w:p w14:paraId="1725D4CF" w14:textId="77777777" w:rsidR="006945E0" w:rsidRPr="008465B4" w:rsidRDefault="006945E0" w:rsidP="006945E0">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Net income was $</w:t>
      </w:r>
      <w:r w:rsidR="006C7017" w:rsidRPr="008465B4">
        <w:rPr>
          <w:rFonts w:ascii="Segoe UI" w:hAnsi="Segoe UI" w:cs="Segoe UI"/>
          <w:color w:val="666666"/>
          <w:sz w:val="20"/>
          <w:szCs w:val="20"/>
        </w:rPr>
        <w:t>3.</w:t>
      </w:r>
      <w:r w:rsidR="008E142C" w:rsidRPr="008465B4">
        <w:rPr>
          <w:rFonts w:ascii="Segoe UI" w:hAnsi="Segoe UI" w:cs="Segoe UI"/>
          <w:color w:val="666666"/>
          <w:sz w:val="20"/>
          <w:szCs w:val="20"/>
        </w:rPr>
        <w:t>1</w:t>
      </w:r>
      <w:r w:rsidRPr="008465B4">
        <w:rPr>
          <w:rFonts w:ascii="Segoe UI" w:hAnsi="Segoe UI" w:cs="Segoe UI"/>
          <w:color w:val="666666"/>
          <w:sz w:val="20"/>
          <w:szCs w:val="20"/>
        </w:rPr>
        <w:t xml:space="preserve"> billion GAAP, and $5.</w:t>
      </w:r>
      <w:r w:rsidR="00D433AF" w:rsidRPr="008465B4">
        <w:rPr>
          <w:rFonts w:ascii="Segoe UI" w:hAnsi="Segoe UI" w:cs="Segoe UI"/>
          <w:color w:val="666666"/>
          <w:sz w:val="20"/>
          <w:szCs w:val="20"/>
        </w:rPr>
        <w:t>5</w:t>
      </w:r>
      <w:r w:rsidRPr="008465B4">
        <w:rPr>
          <w:rFonts w:ascii="Segoe UI" w:hAnsi="Segoe UI" w:cs="Segoe UI"/>
          <w:color w:val="666666"/>
          <w:sz w:val="20"/>
          <w:szCs w:val="20"/>
        </w:rPr>
        <w:t xml:space="preserve"> billion non-GAAP</w:t>
      </w:r>
    </w:p>
    <w:p w14:paraId="2161B988" w14:textId="77777777" w:rsidR="006945E0" w:rsidRPr="008465B4" w:rsidRDefault="00E878DE" w:rsidP="006945E0">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Diluted e</w:t>
      </w:r>
      <w:r w:rsidR="006945E0" w:rsidRPr="008465B4">
        <w:rPr>
          <w:rFonts w:ascii="Segoe UI" w:hAnsi="Segoe UI" w:cs="Segoe UI"/>
          <w:color w:val="666666"/>
          <w:sz w:val="20"/>
          <w:szCs w:val="20"/>
        </w:rPr>
        <w:t>arnings per share was $0.</w:t>
      </w:r>
      <w:r w:rsidR="006B651C" w:rsidRPr="008465B4">
        <w:rPr>
          <w:rFonts w:ascii="Segoe UI" w:hAnsi="Segoe UI" w:cs="Segoe UI"/>
          <w:color w:val="666666"/>
          <w:sz w:val="20"/>
          <w:szCs w:val="20"/>
        </w:rPr>
        <w:t>39</w:t>
      </w:r>
      <w:r w:rsidR="006945E0" w:rsidRPr="008465B4">
        <w:rPr>
          <w:rFonts w:ascii="Segoe UI" w:hAnsi="Segoe UI" w:cs="Segoe UI"/>
          <w:color w:val="666666"/>
          <w:sz w:val="20"/>
          <w:szCs w:val="20"/>
        </w:rPr>
        <w:t xml:space="preserve"> GAAP, and $0.</w:t>
      </w:r>
      <w:r w:rsidR="009E5A22" w:rsidRPr="008465B4">
        <w:rPr>
          <w:rFonts w:ascii="Segoe UI" w:hAnsi="Segoe UI" w:cs="Segoe UI"/>
          <w:color w:val="666666"/>
          <w:sz w:val="20"/>
          <w:szCs w:val="20"/>
        </w:rPr>
        <w:t>6</w:t>
      </w:r>
      <w:r w:rsidR="009235D2" w:rsidRPr="008465B4">
        <w:rPr>
          <w:rFonts w:ascii="Segoe UI" w:hAnsi="Segoe UI" w:cs="Segoe UI"/>
          <w:color w:val="666666"/>
          <w:sz w:val="20"/>
          <w:szCs w:val="20"/>
        </w:rPr>
        <w:t>9</w:t>
      </w:r>
      <w:r w:rsidR="006945E0" w:rsidRPr="008465B4">
        <w:rPr>
          <w:rFonts w:ascii="Segoe UI" w:hAnsi="Segoe UI" w:cs="Segoe UI"/>
          <w:color w:val="666666"/>
          <w:sz w:val="20"/>
          <w:szCs w:val="20"/>
        </w:rPr>
        <w:t xml:space="preserve"> non-GAAP</w:t>
      </w:r>
    </w:p>
    <w:p w14:paraId="3D174FF4" w14:textId="12E87CB1" w:rsidR="003F0145" w:rsidRPr="008465B4" w:rsidRDefault="003F0145" w:rsidP="00235099">
      <w:pPr>
        <w:rPr>
          <w:rFonts w:ascii="Segoe UI" w:hAnsi="Segoe UI" w:cs="Segoe UI"/>
          <w:color w:val="666666"/>
          <w:sz w:val="20"/>
          <w:szCs w:val="20"/>
        </w:rPr>
      </w:pPr>
      <w:r w:rsidRPr="003A029B">
        <w:rPr>
          <w:rFonts w:ascii="Segoe UI" w:hAnsi="Segoe UI" w:cs="Segoe UI"/>
          <w:color w:val="666666"/>
          <w:sz w:val="20"/>
          <w:szCs w:val="20"/>
        </w:rPr>
        <w:t>“</w:t>
      </w:r>
      <w:r w:rsidR="002A6DF5" w:rsidRPr="003A029B">
        <w:rPr>
          <w:rFonts w:ascii="Segoe UI" w:hAnsi="Segoe UI" w:cs="Segoe UI"/>
          <w:color w:val="666666"/>
          <w:sz w:val="20"/>
          <w:szCs w:val="20"/>
        </w:rPr>
        <w:t>This past year was pivotal in both our own transformation and in partnering with our customers who are navigating their own digital transformations</w:t>
      </w:r>
      <w:r w:rsidRPr="003A029B">
        <w:rPr>
          <w:rFonts w:ascii="Segoe UI" w:hAnsi="Segoe UI" w:cs="Segoe UI"/>
          <w:color w:val="666666"/>
          <w:sz w:val="20"/>
          <w:szCs w:val="20"/>
        </w:rPr>
        <w:t xml:space="preserve">,” said Satya Nadella, chief </w:t>
      </w:r>
      <w:r w:rsidR="008A785B" w:rsidRPr="003A029B">
        <w:rPr>
          <w:rFonts w:ascii="Segoe UI" w:hAnsi="Segoe UI" w:cs="Segoe UI"/>
          <w:color w:val="666666"/>
          <w:sz w:val="20"/>
          <w:szCs w:val="20"/>
        </w:rPr>
        <w:t>executive officer at Microsoft. “The Microsoft Cloud is seeing significant customer momentum and we’re well pos</w:t>
      </w:r>
      <w:r w:rsidR="00A2471D">
        <w:rPr>
          <w:rFonts w:ascii="Segoe UI" w:hAnsi="Segoe UI" w:cs="Segoe UI"/>
          <w:color w:val="666666"/>
          <w:sz w:val="20"/>
          <w:szCs w:val="20"/>
        </w:rPr>
        <w:t xml:space="preserve">itioned to reach new </w:t>
      </w:r>
      <w:r w:rsidR="002420D9">
        <w:rPr>
          <w:rFonts w:ascii="Segoe UI" w:hAnsi="Segoe UI" w:cs="Segoe UI"/>
          <w:color w:val="666666"/>
          <w:sz w:val="20"/>
          <w:szCs w:val="20"/>
        </w:rPr>
        <w:t>opportunities</w:t>
      </w:r>
      <w:r w:rsidR="008A785B" w:rsidRPr="003A029B">
        <w:rPr>
          <w:rFonts w:ascii="Segoe UI" w:hAnsi="Segoe UI" w:cs="Segoe UI"/>
          <w:color w:val="666666"/>
          <w:sz w:val="20"/>
          <w:szCs w:val="20"/>
        </w:rPr>
        <w:t xml:space="preserve"> in the year ahead.”</w:t>
      </w:r>
    </w:p>
    <w:p w14:paraId="42630A4C" w14:textId="77777777" w:rsidR="008F2674" w:rsidRPr="008465B4" w:rsidRDefault="008F2674" w:rsidP="008F2674">
      <w:pPr>
        <w:spacing w:line="280" w:lineRule="exact"/>
        <w:rPr>
          <w:rFonts w:ascii="Segoe UI" w:eastAsiaTheme="minorHAnsi" w:hAnsi="Segoe UI" w:cs="Segoe UI"/>
          <w:color w:val="666666"/>
          <w:sz w:val="20"/>
          <w:szCs w:val="20"/>
        </w:rPr>
      </w:pPr>
      <w:r w:rsidRPr="008465B4">
        <w:rPr>
          <w:rFonts w:ascii="Segoe UI" w:hAnsi="Segoe UI" w:cs="Segoe UI"/>
          <w:color w:val="666666"/>
          <w:sz w:val="20"/>
          <w:szCs w:val="20"/>
        </w:rPr>
        <w:t xml:space="preserve">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w:t>
      </w:r>
      <w:r w:rsidR="000848DF" w:rsidRPr="008465B4">
        <w:rPr>
          <w:rFonts w:ascii="Segoe UI" w:hAnsi="Segoe UI" w:cs="Segoe UI"/>
          <w:color w:val="666666"/>
          <w:sz w:val="20"/>
          <w:szCs w:val="20"/>
        </w:rPr>
        <w:t xml:space="preserve">Additional information regarding non-GAAP definitions is provided below. </w:t>
      </w:r>
      <w:r w:rsidRPr="008465B4">
        <w:rPr>
          <w:rFonts w:ascii="Segoe UI" w:hAnsi="Segoe UI" w:cs="Segoe UI"/>
          <w:color w:val="666666"/>
          <w:sz w:val="20"/>
          <w:szCs w:val="20"/>
        </w:rPr>
        <w:t>All growth comparisons relate to the corresponding period in the last fiscal year.</w:t>
      </w:r>
    </w:p>
    <w:tbl>
      <w:tblPr>
        <w:tblW w:w="9792" w:type="dxa"/>
        <w:tblLayout w:type="fixed"/>
        <w:tblLook w:val="04A0" w:firstRow="1" w:lastRow="0" w:firstColumn="1" w:lastColumn="0" w:noHBand="0" w:noVBand="1"/>
      </w:tblPr>
      <w:tblGrid>
        <w:gridCol w:w="4500"/>
        <w:gridCol w:w="108"/>
        <w:gridCol w:w="1296"/>
        <w:gridCol w:w="1296"/>
        <w:gridCol w:w="1296"/>
        <w:gridCol w:w="864"/>
        <w:gridCol w:w="432"/>
      </w:tblGrid>
      <w:tr w:rsidR="008F2674" w:rsidRPr="008465B4" w14:paraId="08275E87" w14:textId="77777777" w:rsidTr="00B519D0">
        <w:trPr>
          <w:gridAfter w:val="1"/>
          <w:wAfter w:w="432" w:type="dxa"/>
          <w:trHeight w:val="340"/>
        </w:trPr>
        <w:tc>
          <w:tcPr>
            <w:tcW w:w="4500" w:type="dxa"/>
            <w:tcBorders>
              <w:top w:val="nil"/>
              <w:left w:val="nil"/>
              <w:bottom w:val="double" w:sz="4" w:space="0" w:color="auto"/>
              <w:right w:val="nil"/>
            </w:tcBorders>
            <w:vAlign w:val="center"/>
          </w:tcPr>
          <w:p w14:paraId="41C59D70" w14:textId="77777777" w:rsidR="008F2674" w:rsidRPr="008465B4" w:rsidRDefault="008F2674" w:rsidP="00210D75">
            <w:pPr>
              <w:spacing w:after="0" w:line="240" w:lineRule="auto"/>
              <w:rPr>
                <w:rFonts w:ascii="Segoe UI" w:eastAsia="Times New Roman" w:hAnsi="Segoe UI" w:cs="Segoe UI"/>
                <w:color w:val="666666"/>
                <w:sz w:val="16"/>
                <w:szCs w:val="16"/>
              </w:rPr>
            </w:pPr>
          </w:p>
        </w:tc>
        <w:tc>
          <w:tcPr>
            <w:tcW w:w="4860" w:type="dxa"/>
            <w:gridSpan w:val="5"/>
            <w:tcBorders>
              <w:top w:val="nil"/>
              <w:left w:val="nil"/>
              <w:bottom w:val="double" w:sz="4" w:space="0" w:color="auto"/>
            </w:tcBorders>
          </w:tcPr>
          <w:p w14:paraId="5535B32B"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AE0C2C" w:rsidRPr="008465B4">
              <w:rPr>
                <w:rFonts w:ascii="Segoe UI" w:eastAsia="Times New Roman" w:hAnsi="Segoe UI" w:cs="Segoe UI"/>
                <w:b/>
                <w:bCs/>
                <w:color w:val="666666"/>
                <w:sz w:val="16"/>
                <w:szCs w:val="16"/>
              </w:rPr>
              <w:t xml:space="preserve">June </w:t>
            </w:r>
            <w:r w:rsidRPr="008465B4">
              <w:rPr>
                <w:rFonts w:ascii="Segoe UI" w:eastAsia="Times New Roman" w:hAnsi="Segoe UI" w:cs="Segoe UI"/>
                <w:b/>
                <w:bCs/>
                <w:color w:val="666666"/>
                <w:sz w:val="16"/>
                <w:szCs w:val="16"/>
              </w:rPr>
              <w:t>3</w:t>
            </w:r>
            <w:r w:rsidR="00AE0C2C" w:rsidRPr="008465B4">
              <w:rPr>
                <w:rFonts w:ascii="Segoe UI" w:eastAsia="Times New Roman" w:hAnsi="Segoe UI" w:cs="Segoe UI"/>
                <w:b/>
                <w:bCs/>
                <w:color w:val="666666"/>
                <w:sz w:val="16"/>
                <w:szCs w:val="16"/>
              </w:rPr>
              <w:t>0</w:t>
            </w:r>
            <w:r w:rsidRPr="008465B4">
              <w:rPr>
                <w:rFonts w:ascii="Segoe UI" w:eastAsia="Times New Roman" w:hAnsi="Segoe UI" w:cs="Segoe UI"/>
                <w:b/>
                <w:bCs/>
                <w:color w:val="666666"/>
                <w:sz w:val="16"/>
                <w:szCs w:val="16"/>
              </w:rPr>
              <w:t>,</w:t>
            </w:r>
          </w:p>
        </w:tc>
      </w:tr>
      <w:tr w:rsidR="008F2674" w:rsidRPr="008465B4" w14:paraId="204B3888" w14:textId="77777777" w:rsidTr="00B519D0">
        <w:trPr>
          <w:trHeight w:val="365"/>
        </w:trPr>
        <w:tc>
          <w:tcPr>
            <w:tcW w:w="4608" w:type="dxa"/>
            <w:gridSpan w:val="2"/>
            <w:tcBorders>
              <w:top w:val="double" w:sz="6" w:space="0" w:color="auto"/>
              <w:left w:val="nil"/>
              <w:bottom w:val="single" w:sz="8" w:space="0" w:color="666666"/>
              <w:right w:val="nil"/>
            </w:tcBorders>
            <w:vAlign w:val="bottom"/>
            <w:hideMark/>
          </w:tcPr>
          <w:p w14:paraId="696215B7" w14:textId="77777777" w:rsidR="008F2674" w:rsidRPr="008465B4" w:rsidRDefault="008F2674" w:rsidP="00210D75">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296" w:type="dxa"/>
            <w:tcBorders>
              <w:top w:val="double" w:sz="6" w:space="0" w:color="auto"/>
              <w:left w:val="nil"/>
              <w:bottom w:val="single" w:sz="8" w:space="0" w:color="666666"/>
              <w:right w:val="nil"/>
            </w:tcBorders>
            <w:vAlign w:val="bottom"/>
          </w:tcPr>
          <w:p w14:paraId="72E801EB"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296" w:type="dxa"/>
            <w:tcBorders>
              <w:top w:val="double" w:sz="6" w:space="0" w:color="auto"/>
              <w:left w:val="nil"/>
              <w:bottom w:val="single" w:sz="8" w:space="0" w:color="666666"/>
              <w:right w:val="nil"/>
            </w:tcBorders>
            <w:vAlign w:val="bottom"/>
          </w:tcPr>
          <w:p w14:paraId="499E788D"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Operating Income</w:t>
            </w:r>
            <w:r w:rsidR="002E5EC1" w:rsidRPr="008465B4">
              <w:rPr>
                <w:rFonts w:ascii="Segoe UI" w:eastAsia="Times New Roman" w:hAnsi="Segoe UI" w:cs="Segoe UI"/>
                <w:b/>
                <w:bCs/>
                <w:color w:val="666666"/>
                <w:sz w:val="16"/>
                <w:szCs w:val="16"/>
              </w:rPr>
              <w:t xml:space="preserve"> (Loss)</w:t>
            </w:r>
          </w:p>
        </w:tc>
        <w:tc>
          <w:tcPr>
            <w:tcW w:w="1296" w:type="dxa"/>
            <w:tcBorders>
              <w:top w:val="double" w:sz="6" w:space="0" w:color="auto"/>
              <w:left w:val="nil"/>
              <w:bottom w:val="single" w:sz="8" w:space="0" w:color="666666"/>
              <w:right w:val="nil"/>
            </w:tcBorders>
            <w:vAlign w:val="bottom"/>
          </w:tcPr>
          <w:p w14:paraId="5F838D84"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Net Income</w:t>
            </w:r>
            <w:r w:rsidR="002E5EC1" w:rsidRPr="008465B4">
              <w:rPr>
                <w:rFonts w:ascii="Segoe UI" w:eastAsia="Times New Roman" w:hAnsi="Segoe UI" w:cs="Segoe UI"/>
                <w:b/>
                <w:bCs/>
                <w:color w:val="666666"/>
                <w:sz w:val="16"/>
                <w:szCs w:val="16"/>
              </w:rPr>
              <w:t xml:space="preserve"> (Loss)</w:t>
            </w:r>
          </w:p>
        </w:tc>
        <w:tc>
          <w:tcPr>
            <w:tcW w:w="1296" w:type="dxa"/>
            <w:gridSpan w:val="2"/>
            <w:tcBorders>
              <w:top w:val="double" w:sz="6" w:space="0" w:color="auto"/>
              <w:left w:val="nil"/>
              <w:bottom w:val="single" w:sz="8" w:space="0" w:color="666666"/>
              <w:right w:val="nil"/>
            </w:tcBorders>
            <w:vAlign w:val="bottom"/>
          </w:tcPr>
          <w:p w14:paraId="54D8E80E" w14:textId="77777777" w:rsidR="008F2674" w:rsidRPr="008465B4" w:rsidRDefault="00E878DE"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Diluted </w:t>
            </w:r>
            <w:r w:rsidR="008F2674" w:rsidRPr="008465B4">
              <w:rPr>
                <w:rFonts w:ascii="Segoe UI" w:eastAsia="Times New Roman" w:hAnsi="Segoe UI" w:cs="Segoe UI"/>
                <w:b/>
                <w:bCs/>
                <w:color w:val="666666"/>
                <w:sz w:val="16"/>
                <w:szCs w:val="16"/>
              </w:rPr>
              <w:t>Earnings</w:t>
            </w:r>
            <w:r w:rsidR="002E5EC1" w:rsidRPr="008465B4">
              <w:rPr>
                <w:rFonts w:ascii="Segoe UI" w:eastAsia="Times New Roman" w:hAnsi="Segoe UI" w:cs="Segoe UI"/>
                <w:b/>
                <w:bCs/>
                <w:color w:val="666666"/>
                <w:sz w:val="16"/>
                <w:szCs w:val="16"/>
              </w:rPr>
              <w:t xml:space="preserve"> (Loss)</w:t>
            </w:r>
            <w:r w:rsidR="008F2674" w:rsidRPr="008465B4">
              <w:rPr>
                <w:rFonts w:ascii="Segoe UI" w:eastAsia="Times New Roman" w:hAnsi="Segoe UI" w:cs="Segoe UI"/>
                <w:b/>
                <w:bCs/>
                <w:color w:val="666666"/>
                <w:sz w:val="16"/>
                <w:szCs w:val="16"/>
              </w:rPr>
              <w:t xml:space="preserve"> per Share</w:t>
            </w:r>
          </w:p>
        </w:tc>
      </w:tr>
      <w:tr w:rsidR="008F2674" w:rsidRPr="008465B4" w14:paraId="28CDDE3E" w14:textId="77777777" w:rsidTr="00B519D0">
        <w:trPr>
          <w:trHeight w:val="288"/>
        </w:trPr>
        <w:tc>
          <w:tcPr>
            <w:tcW w:w="4608" w:type="dxa"/>
            <w:gridSpan w:val="2"/>
            <w:tcBorders>
              <w:top w:val="single" w:sz="8" w:space="0" w:color="666666"/>
              <w:left w:val="nil"/>
              <w:bottom w:val="single" w:sz="4" w:space="0" w:color="auto"/>
              <w:right w:val="nil"/>
            </w:tcBorders>
            <w:noWrap/>
            <w:vAlign w:val="center"/>
          </w:tcPr>
          <w:p w14:paraId="00C46BE9" w14:textId="77777777" w:rsidR="008F2674" w:rsidRPr="008465B4" w:rsidRDefault="008F2674"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296" w:type="dxa"/>
            <w:tcBorders>
              <w:top w:val="single" w:sz="8" w:space="0" w:color="666666"/>
              <w:left w:val="nil"/>
              <w:bottom w:val="single" w:sz="4" w:space="0" w:color="auto"/>
              <w:right w:val="nil"/>
            </w:tcBorders>
            <w:vAlign w:val="center"/>
          </w:tcPr>
          <w:p w14:paraId="0A6C8D75" w14:textId="77777777" w:rsidR="008F2674" w:rsidRPr="008465B4" w:rsidRDefault="008F2674" w:rsidP="00210D75">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B87AF5" w:rsidRPr="008465B4">
              <w:rPr>
                <w:rFonts w:ascii="Segoe UI" w:eastAsia="Times New Roman" w:hAnsi="Segoe UI" w:cs="Segoe UI"/>
                <w:b/>
                <w:bCs/>
                <w:color w:val="666666"/>
                <w:sz w:val="16"/>
                <w:szCs w:val="16"/>
              </w:rPr>
              <w:t>22,180</w:t>
            </w:r>
          </w:p>
        </w:tc>
        <w:tc>
          <w:tcPr>
            <w:tcW w:w="1296" w:type="dxa"/>
            <w:tcBorders>
              <w:top w:val="single" w:sz="8" w:space="0" w:color="666666"/>
              <w:left w:val="nil"/>
              <w:bottom w:val="single" w:sz="4" w:space="0" w:color="auto"/>
              <w:right w:val="nil"/>
            </w:tcBorders>
            <w:vAlign w:val="center"/>
          </w:tcPr>
          <w:p w14:paraId="017B83BF"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B87AF5" w:rsidRPr="008465B4">
              <w:rPr>
                <w:rFonts w:ascii="Segoe UI" w:eastAsia="Times New Roman" w:hAnsi="Segoe UI" w:cs="Segoe UI"/>
                <w:b/>
                <w:bCs/>
                <w:color w:val="666666"/>
                <w:sz w:val="16"/>
                <w:szCs w:val="16"/>
              </w:rPr>
              <w:t>(2,053)</w:t>
            </w:r>
          </w:p>
        </w:tc>
        <w:tc>
          <w:tcPr>
            <w:tcW w:w="1296" w:type="dxa"/>
            <w:tcBorders>
              <w:top w:val="single" w:sz="8" w:space="0" w:color="666666"/>
              <w:left w:val="nil"/>
              <w:bottom w:val="single" w:sz="4" w:space="0" w:color="auto"/>
              <w:right w:val="nil"/>
            </w:tcBorders>
            <w:vAlign w:val="center"/>
          </w:tcPr>
          <w:p w14:paraId="7A79E4E0"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B87AF5" w:rsidRPr="008465B4">
              <w:rPr>
                <w:rFonts w:ascii="Segoe UI" w:eastAsia="Times New Roman" w:hAnsi="Segoe UI" w:cs="Segoe UI"/>
                <w:b/>
                <w:bCs/>
                <w:color w:val="666666"/>
                <w:sz w:val="16"/>
                <w:szCs w:val="16"/>
              </w:rPr>
              <w:t>(3,195)</w:t>
            </w:r>
          </w:p>
        </w:tc>
        <w:tc>
          <w:tcPr>
            <w:tcW w:w="1296" w:type="dxa"/>
            <w:gridSpan w:val="2"/>
            <w:tcBorders>
              <w:top w:val="single" w:sz="8" w:space="0" w:color="666666"/>
              <w:left w:val="nil"/>
              <w:bottom w:val="single" w:sz="4" w:space="0" w:color="auto"/>
              <w:right w:val="nil"/>
            </w:tcBorders>
            <w:vAlign w:val="center"/>
          </w:tcPr>
          <w:p w14:paraId="314E6D8F"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B87AF5" w:rsidRPr="008465B4">
              <w:rPr>
                <w:rFonts w:ascii="Segoe UI" w:eastAsia="Times New Roman" w:hAnsi="Segoe UI" w:cs="Segoe UI"/>
                <w:b/>
                <w:bCs/>
                <w:color w:val="666666"/>
                <w:sz w:val="16"/>
                <w:szCs w:val="16"/>
              </w:rPr>
              <w:t>(0.40)</w:t>
            </w:r>
          </w:p>
        </w:tc>
      </w:tr>
      <w:tr w:rsidR="008F2674" w:rsidRPr="008465B4" w14:paraId="5A0EE6EC"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7CD3BB73" w14:textId="77777777" w:rsidR="008F2674" w:rsidRPr="008465B4" w:rsidRDefault="008F2674"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w:t>
            </w:r>
            <w:r w:rsidR="00EC6CD5" w:rsidRPr="008465B4">
              <w:rPr>
                <w:rFonts w:ascii="Segoe UI" w:eastAsia="Times New Roman" w:hAnsi="Segoe UI" w:cs="Segoe UI"/>
                <w:bCs/>
                <w:color w:val="666666"/>
                <w:sz w:val="16"/>
                <w:szCs w:val="16"/>
              </w:rPr>
              <w:t xml:space="preserve">Impairment, </w:t>
            </w:r>
            <w:r w:rsidRPr="008465B4">
              <w:rPr>
                <w:rFonts w:ascii="Segoe UI" w:eastAsia="Times New Roman" w:hAnsi="Segoe UI" w:cs="Segoe UI"/>
                <w:bCs/>
                <w:color w:val="666666"/>
                <w:sz w:val="16"/>
                <w:szCs w:val="16"/>
              </w:rPr>
              <w:t>Integration</w:t>
            </w:r>
            <w:r w:rsidR="00EC6CD5" w:rsidRPr="008465B4">
              <w:rPr>
                <w:rFonts w:ascii="Segoe UI" w:eastAsia="Times New Roman" w:hAnsi="Segoe UI" w:cs="Segoe UI"/>
                <w:bCs/>
                <w:color w:val="666666"/>
                <w:sz w:val="16"/>
                <w:szCs w:val="16"/>
              </w:rPr>
              <w:t>,</w:t>
            </w:r>
            <w:r w:rsidRPr="008465B4">
              <w:rPr>
                <w:rFonts w:ascii="Segoe UI" w:eastAsia="Times New Roman" w:hAnsi="Segoe UI" w:cs="Segoe UI"/>
                <w:bCs/>
                <w:color w:val="666666"/>
                <w:sz w:val="16"/>
                <w:szCs w:val="16"/>
              </w:rPr>
              <w:t xml:space="preserve"> and Restructuring </w:t>
            </w:r>
            <w:r w:rsidR="00A918D3" w:rsidRPr="008465B4">
              <w:rPr>
                <w:rFonts w:ascii="Segoe UI" w:eastAsia="Times New Roman" w:hAnsi="Segoe UI" w:cs="Segoe UI"/>
                <w:bCs/>
                <w:color w:val="666666"/>
                <w:sz w:val="16"/>
                <w:szCs w:val="16"/>
              </w:rPr>
              <w:t>Expenses</w:t>
            </w:r>
          </w:p>
        </w:tc>
        <w:tc>
          <w:tcPr>
            <w:tcW w:w="1296" w:type="dxa"/>
            <w:tcBorders>
              <w:top w:val="single" w:sz="4" w:space="0" w:color="auto"/>
              <w:left w:val="nil"/>
              <w:bottom w:val="single" w:sz="4" w:space="0" w:color="auto"/>
              <w:right w:val="nil"/>
            </w:tcBorders>
            <w:vAlign w:val="center"/>
          </w:tcPr>
          <w:p w14:paraId="61CB1D31" w14:textId="77777777" w:rsidR="008F2674" w:rsidRPr="008465B4" w:rsidRDefault="008F2674" w:rsidP="00210D75">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tcBorders>
              <w:top w:val="single" w:sz="4" w:space="0" w:color="auto"/>
              <w:left w:val="nil"/>
              <w:bottom w:val="single" w:sz="4" w:space="0" w:color="auto"/>
              <w:right w:val="nil"/>
            </w:tcBorders>
            <w:vAlign w:val="center"/>
          </w:tcPr>
          <w:p w14:paraId="482BC8BA" w14:textId="77777777" w:rsidR="008F2674" w:rsidRPr="008465B4" w:rsidRDefault="00B87AF5" w:rsidP="00210D75">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8,438</w:t>
            </w:r>
          </w:p>
        </w:tc>
        <w:tc>
          <w:tcPr>
            <w:tcW w:w="1296" w:type="dxa"/>
            <w:tcBorders>
              <w:top w:val="single" w:sz="4" w:space="0" w:color="auto"/>
              <w:left w:val="nil"/>
              <w:bottom w:val="single" w:sz="4" w:space="0" w:color="auto"/>
              <w:right w:val="nil"/>
            </w:tcBorders>
            <w:vAlign w:val="center"/>
          </w:tcPr>
          <w:p w14:paraId="52C05EF0" w14:textId="77777777" w:rsidR="008F2674" w:rsidRPr="008465B4" w:rsidRDefault="00B87AF5" w:rsidP="00210D75">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8,262</w:t>
            </w:r>
          </w:p>
        </w:tc>
        <w:tc>
          <w:tcPr>
            <w:tcW w:w="1296" w:type="dxa"/>
            <w:gridSpan w:val="2"/>
            <w:tcBorders>
              <w:top w:val="single" w:sz="4" w:space="0" w:color="auto"/>
              <w:left w:val="nil"/>
              <w:bottom w:val="single" w:sz="4" w:space="0" w:color="auto"/>
              <w:right w:val="nil"/>
            </w:tcBorders>
            <w:vAlign w:val="center"/>
          </w:tcPr>
          <w:p w14:paraId="3906EF16" w14:textId="77777777" w:rsidR="008F2674" w:rsidRPr="008465B4" w:rsidRDefault="00B87AF5" w:rsidP="00210D75">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1.02</w:t>
            </w:r>
          </w:p>
        </w:tc>
      </w:tr>
      <w:tr w:rsidR="008F2674" w:rsidRPr="008465B4" w14:paraId="2A066A06"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08BDD3F7" w14:textId="77777777" w:rsidR="008F2674" w:rsidRPr="008465B4" w:rsidRDefault="008F2674"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Adjusted (non-GAAP)</w:t>
            </w:r>
          </w:p>
        </w:tc>
        <w:tc>
          <w:tcPr>
            <w:tcW w:w="1296" w:type="dxa"/>
            <w:tcBorders>
              <w:top w:val="single" w:sz="4" w:space="0" w:color="auto"/>
              <w:left w:val="nil"/>
              <w:bottom w:val="single" w:sz="4" w:space="0" w:color="auto"/>
              <w:right w:val="nil"/>
            </w:tcBorders>
            <w:vAlign w:val="center"/>
          </w:tcPr>
          <w:p w14:paraId="7579513E" w14:textId="77777777" w:rsidR="008F2674" w:rsidRPr="008465B4" w:rsidRDefault="008F2674" w:rsidP="00210D75">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w:t>
            </w:r>
            <w:r w:rsidR="00B87AF5" w:rsidRPr="008465B4">
              <w:rPr>
                <w:rFonts w:ascii="Segoe UI" w:eastAsia="Times New Roman" w:hAnsi="Segoe UI" w:cs="Segoe UI"/>
                <w:b/>
                <w:bCs/>
                <w:color w:val="666666"/>
                <w:sz w:val="16"/>
                <w:szCs w:val="16"/>
              </w:rPr>
              <w:t>2</w:t>
            </w:r>
            <w:r w:rsidRPr="008465B4">
              <w:rPr>
                <w:rFonts w:ascii="Segoe UI" w:eastAsia="Times New Roman" w:hAnsi="Segoe UI" w:cs="Segoe UI"/>
                <w:b/>
                <w:bCs/>
                <w:color w:val="666666"/>
                <w:sz w:val="16"/>
                <w:szCs w:val="16"/>
              </w:rPr>
              <w:t>,</w:t>
            </w:r>
            <w:r w:rsidR="00E42BA9" w:rsidRPr="008465B4">
              <w:rPr>
                <w:rFonts w:ascii="Segoe UI" w:eastAsia="Times New Roman" w:hAnsi="Segoe UI" w:cs="Segoe UI"/>
                <w:b/>
                <w:bCs/>
                <w:color w:val="666666"/>
                <w:sz w:val="16"/>
                <w:szCs w:val="16"/>
              </w:rPr>
              <w:t>180</w:t>
            </w:r>
          </w:p>
        </w:tc>
        <w:tc>
          <w:tcPr>
            <w:tcW w:w="1296" w:type="dxa"/>
            <w:tcBorders>
              <w:top w:val="single" w:sz="4" w:space="0" w:color="auto"/>
              <w:left w:val="nil"/>
              <w:bottom w:val="single" w:sz="4" w:space="0" w:color="auto"/>
              <w:right w:val="nil"/>
            </w:tcBorders>
            <w:vAlign w:val="center"/>
          </w:tcPr>
          <w:p w14:paraId="4A2E9F4D"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$6,</w:t>
            </w:r>
            <w:r w:rsidR="00E42BA9" w:rsidRPr="008465B4">
              <w:rPr>
                <w:rFonts w:ascii="Segoe UI" w:eastAsia="Times New Roman" w:hAnsi="Segoe UI" w:cs="Segoe UI"/>
                <w:b/>
                <w:bCs/>
                <w:color w:val="666666"/>
                <w:sz w:val="16"/>
                <w:szCs w:val="16"/>
              </w:rPr>
              <w:t>385</w:t>
            </w:r>
          </w:p>
        </w:tc>
        <w:tc>
          <w:tcPr>
            <w:tcW w:w="1296" w:type="dxa"/>
            <w:tcBorders>
              <w:top w:val="single" w:sz="4" w:space="0" w:color="auto"/>
              <w:left w:val="nil"/>
              <w:bottom w:val="single" w:sz="4" w:space="0" w:color="auto"/>
              <w:right w:val="nil"/>
            </w:tcBorders>
            <w:vAlign w:val="center"/>
          </w:tcPr>
          <w:p w14:paraId="79A21679"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$5,</w:t>
            </w:r>
            <w:r w:rsidR="00D91898" w:rsidRPr="008465B4">
              <w:rPr>
                <w:rFonts w:ascii="Segoe UI" w:eastAsia="Times New Roman" w:hAnsi="Segoe UI" w:cs="Segoe UI"/>
                <w:b/>
                <w:bCs/>
                <w:color w:val="666666"/>
                <w:sz w:val="16"/>
                <w:szCs w:val="16"/>
              </w:rPr>
              <w:t>0</w:t>
            </w:r>
            <w:r w:rsidR="00E42BA9" w:rsidRPr="008465B4">
              <w:rPr>
                <w:rFonts w:ascii="Segoe UI" w:eastAsia="Times New Roman" w:hAnsi="Segoe UI" w:cs="Segoe UI"/>
                <w:b/>
                <w:bCs/>
                <w:color w:val="666666"/>
                <w:sz w:val="16"/>
                <w:szCs w:val="16"/>
              </w:rPr>
              <w:t>67</w:t>
            </w:r>
          </w:p>
        </w:tc>
        <w:tc>
          <w:tcPr>
            <w:tcW w:w="1296" w:type="dxa"/>
            <w:gridSpan w:val="2"/>
            <w:tcBorders>
              <w:top w:val="single" w:sz="4" w:space="0" w:color="auto"/>
              <w:left w:val="nil"/>
              <w:bottom w:val="single" w:sz="4" w:space="0" w:color="auto"/>
              <w:right w:val="nil"/>
            </w:tcBorders>
            <w:vAlign w:val="center"/>
          </w:tcPr>
          <w:p w14:paraId="5A45276D"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w:t>
            </w:r>
            <w:r w:rsidR="00E42BA9" w:rsidRPr="008465B4">
              <w:rPr>
                <w:rFonts w:ascii="Segoe UI" w:eastAsia="Times New Roman" w:hAnsi="Segoe UI" w:cs="Segoe UI"/>
                <w:b/>
                <w:bCs/>
                <w:color w:val="666666"/>
                <w:sz w:val="16"/>
                <w:szCs w:val="16"/>
              </w:rPr>
              <w:t>62</w:t>
            </w:r>
          </w:p>
        </w:tc>
      </w:tr>
      <w:tr w:rsidR="008F2674" w:rsidRPr="008465B4" w14:paraId="2CF8FD50"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531E3175" w14:textId="77777777" w:rsidR="008F2674" w:rsidRPr="008465B4" w:rsidRDefault="008F2674"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296" w:type="dxa"/>
            <w:tcBorders>
              <w:top w:val="single" w:sz="4" w:space="0" w:color="auto"/>
              <w:left w:val="nil"/>
              <w:bottom w:val="single" w:sz="4" w:space="0" w:color="auto"/>
              <w:right w:val="nil"/>
            </w:tcBorders>
            <w:vAlign w:val="center"/>
          </w:tcPr>
          <w:p w14:paraId="485C4812"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7C7D20" w:rsidRPr="008465B4">
              <w:rPr>
                <w:rFonts w:ascii="Segoe UI" w:eastAsia="Times New Roman" w:hAnsi="Segoe UI" w:cs="Segoe UI"/>
                <w:b/>
                <w:bCs/>
                <w:color w:val="666666"/>
                <w:sz w:val="16"/>
                <w:szCs w:val="16"/>
              </w:rPr>
              <w:t>20,6</w:t>
            </w:r>
            <w:r w:rsidR="00065299" w:rsidRPr="008465B4">
              <w:rPr>
                <w:rFonts w:ascii="Segoe UI" w:eastAsia="Times New Roman" w:hAnsi="Segoe UI" w:cs="Segoe UI"/>
                <w:b/>
                <w:bCs/>
                <w:color w:val="666666"/>
                <w:sz w:val="16"/>
                <w:szCs w:val="16"/>
              </w:rPr>
              <w:t>14</w:t>
            </w:r>
          </w:p>
        </w:tc>
        <w:tc>
          <w:tcPr>
            <w:tcW w:w="1296" w:type="dxa"/>
            <w:tcBorders>
              <w:top w:val="single" w:sz="4" w:space="0" w:color="auto"/>
              <w:left w:val="nil"/>
              <w:bottom w:val="single" w:sz="4" w:space="0" w:color="auto"/>
              <w:right w:val="nil"/>
            </w:tcBorders>
            <w:vAlign w:val="center"/>
          </w:tcPr>
          <w:p w14:paraId="1745A9F7"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7C7D20" w:rsidRPr="008465B4">
              <w:rPr>
                <w:rFonts w:ascii="Segoe UI" w:eastAsia="Times New Roman" w:hAnsi="Segoe UI" w:cs="Segoe UI"/>
                <w:b/>
                <w:bCs/>
                <w:color w:val="666666"/>
                <w:sz w:val="16"/>
                <w:szCs w:val="16"/>
              </w:rPr>
              <w:t>3,0</w:t>
            </w:r>
            <w:r w:rsidR="00065299" w:rsidRPr="008465B4">
              <w:rPr>
                <w:rFonts w:ascii="Segoe UI" w:eastAsia="Times New Roman" w:hAnsi="Segoe UI" w:cs="Segoe UI"/>
                <w:b/>
                <w:bCs/>
                <w:color w:val="666666"/>
                <w:sz w:val="16"/>
                <w:szCs w:val="16"/>
              </w:rPr>
              <w:t>80</w:t>
            </w:r>
          </w:p>
        </w:tc>
        <w:tc>
          <w:tcPr>
            <w:tcW w:w="1296" w:type="dxa"/>
            <w:tcBorders>
              <w:top w:val="single" w:sz="4" w:space="0" w:color="auto"/>
              <w:left w:val="nil"/>
              <w:bottom w:val="single" w:sz="4" w:space="0" w:color="auto"/>
              <w:right w:val="nil"/>
            </w:tcBorders>
            <w:vAlign w:val="center"/>
          </w:tcPr>
          <w:p w14:paraId="669630E2"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65299" w:rsidRPr="008465B4">
              <w:rPr>
                <w:rFonts w:ascii="Segoe UI" w:eastAsia="Times New Roman" w:hAnsi="Segoe UI" w:cs="Segoe UI"/>
                <w:b/>
                <w:bCs/>
                <w:color w:val="666666"/>
                <w:sz w:val="16"/>
                <w:szCs w:val="16"/>
              </w:rPr>
              <w:t>3,1</w:t>
            </w:r>
            <w:r w:rsidR="00E0614E" w:rsidRPr="008465B4">
              <w:rPr>
                <w:rFonts w:ascii="Segoe UI" w:eastAsia="Times New Roman" w:hAnsi="Segoe UI" w:cs="Segoe UI"/>
                <w:b/>
                <w:bCs/>
                <w:color w:val="666666"/>
                <w:sz w:val="16"/>
                <w:szCs w:val="16"/>
              </w:rPr>
              <w:t>22</w:t>
            </w:r>
          </w:p>
        </w:tc>
        <w:tc>
          <w:tcPr>
            <w:tcW w:w="1296" w:type="dxa"/>
            <w:gridSpan w:val="2"/>
            <w:tcBorders>
              <w:top w:val="single" w:sz="4" w:space="0" w:color="auto"/>
              <w:left w:val="nil"/>
              <w:bottom w:val="single" w:sz="4" w:space="0" w:color="auto"/>
              <w:right w:val="nil"/>
            </w:tcBorders>
            <w:vAlign w:val="center"/>
          </w:tcPr>
          <w:p w14:paraId="2ADE4B3C" w14:textId="77777777" w:rsidR="008F2674" w:rsidRPr="008465B4" w:rsidRDefault="000C63DE"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$0.39</w:t>
            </w:r>
          </w:p>
        </w:tc>
      </w:tr>
      <w:tr w:rsidR="006945E0" w:rsidRPr="008465B4" w14:paraId="17D3F9F6"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671AA899" w14:textId="77777777" w:rsidR="006945E0" w:rsidRPr="008465B4" w:rsidRDefault="006945E0"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t>
            </w:r>
            <w:r w:rsidR="00674A96" w:rsidRPr="008465B4">
              <w:rPr>
                <w:rFonts w:ascii="Segoe UI" w:eastAsia="Times New Roman" w:hAnsi="Segoe UI" w:cs="Segoe UI"/>
                <w:bCs/>
                <w:color w:val="666666"/>
                <w:sz w:val="16"/>
                <w:szCs w:val="16"/>
              </w:rPr>
              <w:t xml:space="preserve">Windows 10 </w:t>
            </w:r>
            <w:r w:rsidRPr="008465B4">
              <w:rPr>
                <w:rFonts w:ascii="Segoe UI" w:eastAsia="Times New Roman" w:hAnsi="Segoe UI" w:cs="Segoe UI"/>
                <w:bCs/>
                <w:color w:val="666666"/>
                <w:sz w:val="16"/>
                <w:szCs w:val="16"/>
              </w:rPr>
              <w:t>Revenue Deferrals</w:t>
            </w:r>
          </w:p>
        </w:tc>
        <w:tc>
          <w:tcPr>
            <w:tcW w:w="1296" w:type="dxa"/>
            <w:tcBorders>
              <w:top w:val="single" w:sz="4" w:space="0" w:color="auto"/>
              <w:left w:val="nil"/>
              <w:bottom w:val="single" w:sz="4" w:space="0" w:color="auto"/>
              <w:right w:val="nil"/>
            </w:tcBorders>
            <w:vAlign w:val="center"/>
          </w:tcPr>
          <w:p w14:paraId="04C2DAD0" w14:textId="77777777" w:rsidR="006945E0" w:rsidRPr="008465B4" w:rsidRDefault="0015787D"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2,028</w:t>
            </w:r>
          </w:p>
        </w:tc>
        <w:tc>
          <w:tcPr>
            <w:tcW w:w="1296" w:type="dxa"/>
            <w:tcBorders>
              <w:top w:val="single" w:sz="4" w:space="0" w:color="auto"/>
              <w:left w:val="nil"/>
              <w:bottom w:val="single" w:sz="4" w:space="0" w:color="auto"/>
              <w:right w:val="nil"/>
            </w:tcBorders>
            <w:vAlign w:val="center"/>
          </w:tcPr>
          <w:p w14:paraId="42512040" w14:textId="77777777" w:rsidR="006945E0" w:rsidRPr="008465B4" w:rsidRDefault="0015787D"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2,028</w:t>
            </w:r>
          </w:p>
        </w:tc>
        <w:tc>
          <w:tcPr>
            <w:tcW w:w="1296" w:type="dxa"/>
            <w:tcBorders>
              <w:top w:val="single" w:sz="4" w:space="0" w:color="auto"/>
              <w:left w:val="nil"/>
              <w:bottom w:val="single" w:sz="4" w:space="0" w:color="auto"/>
              <w:right w:val="nil"/>
            </w:tcBorders>
            <w:vAlign w:val="center"/>
          </w:tcPr>
          <w:p w14:paraId="3D4F040D" w14:textId="77777777" w:rsidR="006945E0" w:rsidRPr="008465B4" w:rsidRDefault="00B85A7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1,4</w:t>
            </w:r>
            <w:r w:rsidR="00CB40DD" w:rsidRPr="008465B4">
              <w:rPr>
                <w:rFonts w:ascii="Segoe UI" w:eastAsia="Times New Roman" w:hAnsi="Segoe UI" w:cs="Segoe UI"/>
                <w:bCs/>
                <w:color w:val="666666"/>
                <w:sz w:val="16"/>
                <w:szCs w:val="16"/>
              </w:rPr>
              <w:t>67</w:t>
            </w:r>
          </w:p>
        </w:tc>
        <w:tc>
          <w:tcPr>
            <w:tcW w:w="1296" w:type="dxa"/>
            <w:gridSpan w:val="2"/>
            <w:tcBorders>
              <w:top w:val="single" w:sz="4" w:space="0" w:color="auto"/>
              <w:left w:val="nil"/>
              <w:bottom w:val="single" w:sz="4" w:space="0" w:color="auto"/>
              <w:right w:val="nil"/>
            </w:tcBorders>
            <w:vAlign w:val="center"/>
          </w:tcPr>
          <w:p w14:paraId="1B5B4788" w14:textId="0A4D66D6" w:rsidR="006945E0" w:rsidRPr="008465B4" w:rsidRDefault="003909FC"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0</w:t>
            </w:r>
            <w:r w:rsidR="006945E0" w:rsidRPr="008465B4">
              <w:rPr>
                <w:rFonts w:ascii="Segoe UI" w:eastAsia="Times New Roman" w:hAnsi="Segoe UI" w:cs="Segoe UI"/>
                <w:bCs/>
                <w:color w:val="666666"/>
                <w:sz w:val="16"/>
                <w:szCs w:val="16"/>
              </w:rPr>
              <w:t>.</w:t>
            </w:r>
            <w:r w:rsidRPr="008465B4">
              <w:rPr>
                <w:rFonts w:ascii="Segoe UI" w:eastAsia="Times New Roman" w:hAnsi="Segoe UI" w:cs="Segoe UI"/>
                <w:bCs/>
                <w:color w:val="666666"/>
                <w:sz w:val="16"/>
                <w:szCs w:val="16"/>
              </w:rPr>
              <w:t>1</w:t>
            </w:r>
            <w:r w:rsidR="00FA3CA9">
              <w:rPr>
                <w:rFonts w:ascii="Segoe UI" w:eastAsia="Times New Roman" w:hAnsi="Segoe UI" w:cs="Segoe UI"/>
                <w:bCs/>
                <w:color w:val="666666"/>
                <w:sz w:val="16"/>
                <w:szCs w:val="16"/>
              </w:rPr>
              <w:t>9</w:t>
            </w:r>
          </w:p>
        </w:tc>
      </w:tr>
      <w:tr w:rsidR="006945E0" w:rsidRPr="008465B4" w14:paraId="5E0D9B03"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3A2905C5" w14:textId="77777777" w:rsidR="006945E0" w:rsidRPr="008465B4" w:rsidRDefault="006945E0"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Impairment, Integration, and Restructuring </w:t>
            </w:r>
            <w:r w:rsidR="00A918D3" w:rsidRPr="008465B4">
              <w:rPr>
                <w:rFonts w:ascii="Segoe UI" w:eastAsia="Times New Roman" w:hAnsi="Segoe UI" w:cs="Segoe UI"/>
                <w:bCs/>
                <w:color w:val="666666"/>
                <w:sz w:val="16"/>
                <w:szCs w:val="16"/>
              </w:rPr>
              <w:t>Expenses</w:t>
            </w:r>
          </w:p>
        </w:tc>
        <w:tc>
          <w:tcPr>
            <w:tcW w:w="1296" w:type="dxa"/>
            <w:tcBorders>
              <w:top w:val="single" w:sz="4" w:space="0" w:color="auto"/>
              <w:left w:val="nil"/>
              <w:bottom w:val="single" w:sz="4" w:space="0" w:color="auto"/>
              <w:right w:val="nil"/>
            </w:tcBorders>
            <w:vAlign w:val="center"/>
          </w:tcPr>
          <w:p w14:paraId="52CF2145"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tcBorders>
              <w:top w:val="single" w:sz="4" w:space="0" w:color="auto"/>
              <w:left w:val="nil"/>
              <w:bottom w:val="single" w:sz="4" w:space="0" w:color="auto"/>
              <w:right w:val="nil"/>
            </w:tcBorders>
            <w:vAlign w:val="center"/>
          </w:tcPr>
          <w:p w14:paraId="6F3C3193"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1,110</w:t>
            </w:r>
          </w:p>
        </w:tc>
        <w:tc>
          <w:tcPr>
            <w:tcW w:w="1296" w:type="dxa"/>
            <w:tcBorders>
              <w:top w:val="single" w:sz="4" w:space="0" w:color="auto"/>
              <w:left w:val="nil"/>
              <w:bottom w:val="single" w:sz="4" w:space="0" w:color="auto"/>
              <w:right w:val="nil"/>
            </w:tcBorders>
            <w:vAlign w:val="center"/>
          </w:tcPr>
          <w:p w14:paraId="7346C89D" w14:textId="77777777" w:rsidR="006945E0" w:rsidRPr="008465B4" w:rsidRDefault="00B85A7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895</w:t>
            </w:r>
          </w:p>
        </w:tc>
        <w:tc>
          <w:tcPr>
            <w:tcW w:w="1296" w:type="dxa"/>
            <w:gridSpan w:val="2"/>
            <w:tcBorders>
              <w:top w:val="single" w:sz="4" w:space="0" w:color="auto"/>
              <w:left w:val="nil"/>
              <w:bottom w:val="single" w:sz="4" w:space="0" w:color="auto"/>
              <w:right w:val="nil"/>
            </w:tcBorders>
            <w:vAlign w:val="center"/>
          </w:tcPr>
          <w:p w14:paraId="7D8B24BE" w14:textId="666D6123" w:rsidR="006945E0" w:rsidRPr="008465B4" w:rsidRDefault="001E03C5" w:rsidP="006945E0">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0.1</w:t>
            </w:r>
            <w:r w:rsidR="00FA3CA9">
              <w:rPr>
                <w:rFonts w:ascii="Segoe UI" w:eastAsia="Times New Roman" w:hAnsi="Segoe UI" w:cs="Segoe UI"/>
                <w:bCs/>
                <w:color w:val="666666"/>
                <w:sz w:val="16"/>
                <w:szCs w:val="16"/>
              </w:rPr>
              <w:t>1</w:t>
            </w:r>
          </w:p>
        </w:tc>
      </w:tr>
      <w:tr w:rsidR="006945E0" w:rsidRPr="008465B4" w14:paraId="229DBC21" w14:textId="77777777" w:rsidTr="00B519D0">
        <w:trPr>
          <w:trHeight w:val="288"/>
        </w:trPr>
        <w:tc>
          <w:tcPr>
            <w:tcW w:w="4608" w:type="dxa"/>
            <w:gridSpan w:val="2"/>
            <w:tcBorders>
              <w:top w:val="single" w:sz="4" w:space="0" w:color="auto"/>
              <w:left w:val="nil"/>
              <w:bottom w:val="single" w:sz="4" w:space="0" w:color="666666"/>
              <w:right w:val="nil"/>
            </w:tcBorders>
            <w:noWrap/>
            <w:vAlign w:val="center"/>
          </w:tcPr>
          <w:p w14:paraId="4B00A405" w14:textId="77777777" w:rsidR="006945E0" w:rsidRPr="008465B4" w:rsidRDefault="006945E0"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2016 As Adjusted (non-GAAP)</w:t>
            </w:r>
          </w:p>
        </w:tc>
        <w:tc>
          <w:tcPr>
            <w:tcW w:w="1296" w:type="dxa"/>
            <w:tcBorders>
              <w:top w:val="single" w:sz="4" w:space="0" w:color="auto"/>
              <w:left w:val="nil"/>
              <w:bottom w:val="single" w:sz="4" w:space="0" w:color="666666"/>
              <w:right w:val="nil"/>
            </w:tcBorders>
            <w:vAlign w:val="center"/>
          </w:tcPr>
          <w:p w14:paraId="72A13D2A" w14:textId="77777777" w:rsidR="006945E0" w:rsidRPr="008465B4" w:rsidRDefault="006945E0" w:rsidP="006945E0">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w:t>
            </w:r>
            <w:r w:rsidR="00065299" w:rsidRPr="008465B4">
              <w:rPr>
                <w:rFonts w:ascii="Segoe UI" w:eastAsia="Times New Roman" w:hAnsi="Segoe UI" w:cs="Segoe UI"/>
                <w:b/>
                <w:bCs/>
                <w:color w:val="666666"/>
                <w:sz w:val="16"/>
                <w:szCs w:val="16"/>
              </w:rPr>
              <w:t>2</w:t>
            </w:r>
            <w:r w:rsidRPr="008465B4">
              <w:rPr>
                <w:rFonts w:ascii="Segoe UI" w:eastAsia="Times New Roman" w:hAnsi="Segoe UI" w:cs="Segoe UI"/>
                <w:b/>
                <w:bCs/>
                <w:color w:val="666666"/>
                <w:sz w:val="16"/>
                <w:szCs w:val="16"/>
              </w:rPr>
              <w:t>,</w:t>
            </w:r>
            <w:r w:rsidR="0015787D" w:rsidRPr="008465B4">
              <w:rPr>
                <w:rFonts w:ascii="Segoe UI" w:eastAsia="Times New Roman" w:hAnsi="Segoe UI" w:cs="Segoe UI"/>
                <w:b/>
                <w:bCs/>
                <w:color w:val="666666"/>
                <w:sz w:val="16"/>
                <w:szCs w:val="16"/>
              </w:rPr>
              <w:t>642</w:t>
            </w:r>
          </w:p>
        </w:tc>
        <w:tc>
          <w:tcPr>
            <w:tcW w:w="1296" w:type="dxa"/>
            <w:tcBorders>
              <w:top w:val="single" w:sz="4" w:space="0" w:color="auto"/>
              <w:left w:val="nil"/>
              <w:bottom w:val="single" w:sz="4" w:space="0" w:color="666666"/>
              <w:right w:val="nil"/>
            </w:tcBorders>
            <w:vAlign w:val="center"/>
          </w:tcPr>
          <w:p w14:paraId="2EB45CEF" w14:textId="77777777" w:rsidR="006945E0" w:rsidRPr="008465B4" w:rsidRDefault="006945E0" w:rsidP="006945E0">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102464" w:rsidRPr="008465B4">
              <w:rPr>
                <w:rFonts w:ascii="Segoe UI" w:eastAsia="Times New Roman" w:hAnsi="Segoe UI" w:cs="Segoe UI"/>
                <w:b/>
                <w:bCs/>
                <w:color w:val="666666"/>
                <w:sz w:val="16"/>
                <w:szCs w:val="16"/>
              </w:rPr>
              <w:t>6,218</w:t>
            </w:r>
          </w:p>
        </w:tc>
        <w:tc>
          <w:tcPr>
            <w:tcW w:w="1296" w:type="dxa"/>
            <w:tcBorders>
              <w:top w:val="single" w:sz="4" w:space="0" w:color="auto"/>
              <w:left w:val="nil"/>
              <w:bottom w:val="single" w:sz="4" w:space="0" w:color="666666"/>
              <w:right w:val="nil"/>
            </w:tcBorders>
            <w:vAlign w:val="center"/>
          </w:tcPr>
          <w:p w14:paraId="585E0D39" w14:textId="77777777" w:rsidR="006945E0" w:rsidRPr="008465B4" w:rsidRDefault="006945E0" w:rsidP="006945E0">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102464" w:rsidRPr="008465B4">
              <w:rPr>
                <w:rFonts w:ascii="Segoe UI" w:eastAsia="Times New Roman" w:hAnsi="Segoe UI" w:cs="Segoe UI"/>
                <w:b/>
                <w:bCs/>
                <w:color w:val="666666"/>
                <w:sz w:val="16"/>
                <w:szCs w:val="16"/>
              </w:rPr>
              <w:t>5</w:t>
            </w:r>
            <w:r w:rsidR="006921AB" w:rsidRPr="008465B4">
              <w:rPr>
                <w:rFonts w:ascii="Segoe UI" w:eastAsia="Times New Roman" w:hAnsi="Segoe UI" w:cs="Segoe UI"/>
                <w:b/>
                <w:bCs/>
                <w:color w:val="666666"/>
                <w:sz w:val="16"/>
                <w:szCs w:val="16"/>
              </w:rPr>
              <w:t>,48</w:t>
            </w:r>
            <w:r w:rsidR="00CB40DD" w:rsidRPr="008465B4">
              <w:rPr>
                <w:rFonts w:ascii="Segoe UI" w:eastAsia="Times New Roman" w:hAnsi="Segoe UI" w:cs="Segoe UI"/>
                <w:b/>
                <w:bCs/>
                <w:color w:val="666666"/>
                <w:sz w:val="16"/>
                <w:szCs w:val="16"/>
              </w:rPr>
              <w:t>4</w:t>
            </w:r>
          </w:p>
        </w:tc>
        <w:tc>
          <w:tcPr>
            <w:tcW w:w="1296" w:type="dxa"/>
            <w:gridSpan w:val="2"/>
            <w:tcBorders>
              <w:top w:val="single" w:sz="4" w:space="0" w:color="auto"/>
              <w:left w:val="nil"/>
              <w:bottom w:val="single" w:sz="4" w:space="0" w:color="666666"/>
              <w:right w:val="nil"/>
            </w:tcBorders>
            <w:vAlign w:val="center"/>
          </w:tcPr>
          <w:p w14:paraId="2B2E19BA" w14:textId="77777777" w:rsidR="006945E0" w:rsidRPr="008465B4" w:rsidRDefault="006945E0" w:rsidP="006945E0">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65299" w:rsidRPr="008465B4">
              <w:rPr>
                <w:rFonts w:ascii="Segoe UI" w:eastAsia="Times New Roman" w:hAnsi="Segoe UI" w:cs="Segoe UI"/>
                <w:b/>
                <w:bCs/>
                <w:color w:val="666666"/>
                <w:sz w:val="16"/>
                <w:szCs w:val="16"/>
              </w:rPr>
              <w:t>0.</w:t>
            </w:r>
            <w:r w:rsidR="00AA17A5" w:rsidRPr="008465B4">
              <w:rPr>
                <w:rFonts w:ascii="Segoe UI" w:eastAsia="Times New Roman" w:hAnsi="Segoe UI" w:cs="Segoe UI"/>
                <w:b/>
                <w:bCs/>
                <w:color w:val="666666"/>
                <w:sz w:val="16"/>
                <w:szCs w:val="16"/>
              </w:rPr>
              <w:t>69</w:t>
            </w:r>
          </w:p>
        </w:tc>
      </w:tr>
      <w:tr w:rsidR="006945E0" w:rsidRPr="008465B4" w14:paraId="5DB75ACF" w14:textId="77777777" w:rsidTr="00B519D0">
        <w:trPr>
          <w:trHeight w:val="288"/>
        </w:trPr>
        <w:tc>
          <w:tcPr>
            <w:tcW w:w="4608" w:type="dxa"/>
            <w:gridSpan w:val="2"/>
            <w:tcBorders>
              <w:top w:val="single" w:sz="4" w:space="0" w:color="666666"/>
              <w:left w:val="nil"/>
              <w:right w:val="nil"/>
            </w:tcBorders>
            <w:noWrap/>
            <w:vAlign w:val="center"/>
          </w:tcPr>
          <w:p w14:paraId="18470360" w14:textId="77777777" w:rsidR="006945E0" w:rsidRPr="008465B4" w:rsidRDefault="006945E0"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296" w:type="dxa"/>
            <w:tcBorders>
              <w:top w:val="single" w:sz="4" w:space="0" w:color="666666"/>
              <w:left w:val="nil"/>
              <w:right w:val="nil"/>
            </w:tcBorders>
            <w:vAlign w:val="center"/>
          </w:tcPr>
          <w:p w14:paraId="775934FE"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(7)%</w:t>
            </w:r>
          </w:p>
        </w:tc>
        <w:tc>
          <w:tcPr>
            <w:tcW w:w="1296" w:type="dxa"/>
            <w:tcBorders>
              <w:top w:val="single" w:sz="4" w:space="0" w:color="666666"/>
              <w:left w:val="nil"/>
              <w:right w:val="nil"/>
            </w:tcBorders>
            <w:vAlign w:val="center"/>
          </w:tcPr>
          <w:p w14:paraId="3452DA2D"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tcBorders>
              <w:top w:val="single" w:sz="4" w:space="0" w:color="666666"/>
              <w:left w:val="nil"/>
              <w:right w:val="nil"/>
            </w:tcBorders>
            <w:vAlign w:val="center"/>
          </w:tcPr>
          <w:p w14:paraId="6988CB62"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gridSpan w:val="2"/>
            <w:tcBorders>
              <w:top w:val="single" w:sz="4" w:space="0" w:color="666666"/>
              <w:left w:val="nil"/>
              <w:right w:val="nil"/>
            </w:tcBorders>
            <w:vAlign w:val="center"/>
          </w:tcPr>
          <w:p w14:paraId="3FEF630A" w14:textId="77777777" w:rsidR="006945E0" w:rsidRPr="008465B4" w:rsidRDefault="006945E0"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r>
      <w:tr w:rsidR="006945E0" w:rsidRPr="008465B4" w14:paraId="5828C960" w14:textId="77777777" w:rsidTr="00B519D0">
        <w:trPr>
          <w:trHeight w:val="288"/>
        </w:trPr>
        <w:tc>
          <w:tcPr>
            <w:tcW w:w="4608" w:type="dxa"/>
            <w:gridSpan w:val="2"/>
            <w:tcBorders>
              <w:top w:val="nil"/>
              <w:left w:val="nil"/>
              <w:right w:val="nil"/>
            </w:tcBorders>
            <w:shd w:val="clear" w:color="auto" w:fill="auto"/>
            <w:noWrap/>
            <w:vAlign w:val="center"/>
          </w:tcPr>
          <w:p w14:paraId="5E23B1C8" w14:textId="77777777" w:rsidR="006945E0" w:rsidRPr="008465B4" w:rsidRDefault="006945E0"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296" w:type="dxa"/>
            <w:tcBorders>
              <w:top w:val="nil"/>
              <w:left w:val="nil"/>
              <w:right w:val="nil"/>
            </w:tcBorders>
            <w:shd w:val="clear" w:color="auto" w:fill="auto"/>
            <w:vAlign w:val="center"/>
          </w:tcPr>
          <w:p w14:paraId="1A6825CB" w14:textId="77777777" w:rsidR="006945E0" w:rsidRPr="008465B4" w:rsidRDefault="003C5181"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2</w:t>
            </w:r>
            <w:r w:rsidR="006945E0" w:rsidRPr="008465B4">
              <w:rPr>
                <w:rFonts w:ascii="Segoe UI" w:eastAsia="Times New Roman" w:hAnsi="Segoe UI" w:cs="Segoe UI"/>
                <w:bCs/>
                <w:color w:val="666666"/>
                <w:sz w:val="16"/>
                <w:szCs w:val="16"/>
              </w:rPr>
              <w:t>%</w:t>
            </w:r>
          </w:p>
        </w:tc>
        <w:tc>
          <w:tcPr>
            <w:tcW w:w="1296" w:type="dxa"/>
            <w:tcBorders>
              <w:top w:val="nil"/>
              <w:left w:val="nil"/>
              <w:right w:val="nil"/>
            </w:tcBorders>
            <w:vAlign w:val="center"/>
          </w:tcPr>
          <w:p w14:paraId="287E91F2" w14:textId="77777777" w:rsidR="006945E0" w:rsidRPr="008465B4" w:rsidRDefault="00102464"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(3</w:t>
            </w:r>
            <w:r w:rsidR="006945E0" w:rsidRPr="008465B4">
              <w:rPr>
                <w:rFonts w:ascii="Segoe UI" w:eastAsia="Times New Roman" w:hAnsi="Segoe UI" w:cs="Segoe UI"/>
                <w:bCs/>
                <w:color w:val="666666"/>
                <w:sz w:val="16"/>
                <w:szCs w:val="16"/>
              </w:rPr>
              <w:t>)%</w:t>
            </w:r>
          </w:p>
        </w:tc>
        <w:tc>
          <w:tcPr>
            <w:tcW w:w="1296" w:type="dxa"/>
            <w:tcBorders>
              <w:top w:val="nil"/>
              <w:left w:val="nil"/>
              <w:right w:val="nil"/>
            </w:tcBorders>
            <w:shd w:val="clear" w:color="auto" w:fill="auto"/>
            <w:vAlign w:val="center"/>
          </w:tcPr>
          <w:p w14:paraId="1AB1C968" w14:textId="77777777" w:rsidR="006945E0" w:rsidRPr="008465B4" w:rsidRDefault="00102464"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8</w:t>
            </w:r>
            <w:r w:rsidR="006945E0" w:rsidRPr="008465B4">
              <w:rPr>
                <w:rFonts w:ascii="Segoe UI" w:eastAsia="Times New Roman" w:hAnsi="Segoe UI" w:cs="Segoe UI"/>
                <w:bCs/>
                <w:color w:val="666666"/>
                <w:sz w:val="16"/>
                <w:szCs w:val="16"/>
              </w:rPr>
              <w:t>%</w:t>
            </w:r>
          </w:p>
        </w:tc>
        <w:tc>
          <w:tcPr>
            <w:tcW w:w="1296" w:type="dxa"/>
            <w:gridSpan w:val="2"/>
            <w:tcBorders>
              <w:top w:val="nil"/>
              <w:left w:val="nil"/>
              <w:right w:val="nil"/>
            </w:tcBorders>
            <w:shd w:val="clear" w:color="auto" w:fill="auto"/>
            <w:vAlign w:val="center"/>
          </w:tcPr>
          <w:p w14:paraId="3188621D" w14:textId="77777777" w:rsidR="006945E0" w:rsidRPr="008465B4" w:rsidRDefault="00420968" w:rsidP="006945E0">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11</w:t>
            </w:r>
            <w:r w:rsidR="006945E0" w:rsidRPr="008465B4">
              <w:rPr>
                <w:rFonts w:ascii="Segoe UI" w:eastAsia="Times New Roman" w:hAnsi="Segoe UI" w:cs="Segoe UI"/>
                <w:bCs/>
                <w:color w:val="666666"/>
                <w:sz w:val="16"/>
                <w:szCs w:val="16"/>
              </w:rPr>
              <w:t>%</w:t>
            </w:r>
          </w:p>
        </w:tc>
      </w:tr>
      <w:tr w:rsidR="00065299" w:rsidRPr="008465B4" w14:paraId="607EF771" w14:textId="77777777" w:rsidTr="00B519D0">
        <w:trPr>
          <w:trHeight w:val="288"/>
        </w:trPr>
        <w:tc>
          <w:tcPr>
            <w:tcW w:w="4608" w:type="dxa"/>
            <w:gridSpan w:val="2"/>
            <w:tcBorders>
              <w:left w:val="nil"/>
              <w:bottom w:val="single" w:sz="4" w:space="0" w:color="auto"/>
              <w:right w:val="nil"/>
            </w:tcBorders>
            <w:shd w:val="clear" w:color="auto" w:fill="auto"/>
            <w:noWrap/>
            <w:vAlign w:val="center"/>
          </w:tcPr>
          <w:p w14:paraId="2FC255B9" w14:textId="77777777" w:rsidR="00065299" w:rsidRPr="008465B4" w:rsidRDefault="00065299" w:rsidP="006945E0">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tc>
          <w:tcPr>
            <w:tcW w:w="1296" w:type="dxa"/>
            <w:tcBorders>
              <w:left w:val="nil"/>
              <w:bottom w:val="single" w:sz="4" w:space="0" w:color="auto"/>
              <w:right w:val="nil"/>
            </w:tcBorders>
            <w:shd w:val="clear" w:color="auto" w:fill="auto"/>
            <w:vAlign w:val="center"/>
          </w:tcPr>
          <w:p w14:paraId="4D5F589F" w14:textId="77777777" w:rsidR="00065299" w:rsidRPr="008465B4" w:rsidRDefault="00194C2F" w:rsidP="006945E0">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5</w:t>
            </w:r>
            <w:r w:rsidR="003C5181" w:rsidRPr="008465B4">
              <w:rPr>
                <w:rFonts w:ascii="Segoe UI" w:eastAsia="Times New Roman" w:hAnsi="Segoe UI" w:cs="Segoe UI"/>
                <w:bCs/>
                <w:color w:val="656565"/>
                <w:sz w:val="16"/>
                <w:szCs w:val="16"/>
              </w:rPr>
              <w:t>%</w:t>
            </w:r>
          </w:p>
        </w:tc>
        <w:tc>
          <w:tcPr>
            <w:tcW w:w="1296" w:type="dxa"/>
            <w:tcBorders>
              <w:left w:val="nil"/>
              <w:bottom w:val="single" w:sz="4" w:space="0" w:color="auto"/>
              <w:right w:val="nil"/>
            </w:tcBorders>
            <w:vAlign w:val="center"/>
          </w:tcPr>
          <w:p w14:paraId="5DD7B15D" w14:textId="77777777" w:rsidR="00065299" w:rsidRPr="008465B4" w:rsidRDefault="00194C2F" w:rsidP="006945E0">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6</w:t>
            </w:r>
            <w:r w:rsidR="003C5181" w:rsidRPr="008465B4">
              <w:rPr>
                <w:rFonts w:ascii="Segoe UI" w:eastAsia="Times New Roman" w:hAnsi="Segoe UI" w:cs="Segoe UI"/>
                <w:bCs/>
                <w:color w:val="656565"/>
                <w:sz w:val="16"/>
                <w:szCs w:val="16"/>
              </w:rPr>
              <w:t>%</w:t>
            </w:r>
          </w:p>
        </w:tc>
        <w:tc>
          <w:tcPr>
            <w:tcW w:w="1296" w:type="dxa"/>
            <w:tcBorders>
              <w:left w:val="nil"/>
              <w:bottom w:val="single" w:sz="4" w:space="0" w:color="auto"/>
              <w:right w:val="nil"/>
            </w:tcBorders>
            <w:shd w:val="clear" w:color="auto" w:fill="auto"/>
            <w:vAlign w:val="center"/>
          </w:tcPr>
          <w:p w14:paraId="36BC2250" w14:textId="77777777" w:rsidR="00065299" w:rsidRPr="008465B4" w:rsidRDefault="003C5181" w:rsidP="006945E0">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2</w:t>
            </w:r>
            <w:r w:rsidR="00194C2F" w:rsidRPr="008465B4">
              <w:rPr>
                <w:rFonts w:ascii="Segoe UI" w:eastAsia="Times New Roman" w:hAnsi="Segoe UI" w:cs="Segoe UI"/>
                <w:bCs/>
                <w:color w:val="656565"/>
                <w:sz w:val="16"/>
                <w:szCs w:val="16"/>
              </w:rPr>
              <w:t>3</w:t>
            </w:r>
            <w:r w:rsidRPr="008465B4">
              <w:rPr>
                <w:rFonts w:ascii="Segoe UI" w:eastAsia="Times New Roman" w:hAnsi="Segoe UI" w:cs="Segoe UI"/>
                <w:bCs/>
                <w:color w:val="656565"/>
                <w:sz w:val="16"/>
                <w:szCs w:val="16"/>
              </w:rPr>
              <w:t>%</w:t>
            </w:r>
          </w:p>
        </w:tc>
        <w:tc>
          <w:tcPr>
            <w:tcW w:w="1296" w:type="dxa"/>
            <w:gridSpan w:val="2"/>
            <w:tcBorders>
              <w:left w:val="nil"/>
              <w:bottom w:val="single" w:sz="4" w:space="0" w:color="auto"/>
              <w:right w:val="nil"/>
            </w:tcBorders>
            <w:shd w:val="clear" w:color="auto" w:fill="auto"/>
            <w:vAlign w:val="center"/>
          </w:tcPr>
          <w:p w14:paraId="6A7D359F" w14:textId="77777777" w:rsidR="00065299" w:rsidRPr="008465B4" w:rsidRDefault="00194C2F" w:rsidP="006945E0">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27</w:t>
            </w:r>
            <w:r w:rsidR="003C5181" w:rsidRPr="008465B4">
              <w:rPr>
                <w:rFonts w:ascii="Segoe UI" w:eastAsia="Times New Roman" w:hAnsi="Segoe UI" w:cs="Segoe UI"/>
                <w:bCs/>
                <w:color w:val="656565"/>
                <w:sz w:val="16"/>
                <w:szCs w:val="16"/>
              </w:rPr>
              <w:t>%</w:t>
            </w:r>
          </w:p>
        </w:tc>
      </w:tr>
      <w:tr w:rsidR="006945E0" w:rsidRPr="008465B4" w14:paraId="621903F1" w14:textId="77777777" w:rsidTr="00B519D0">
        <w:trPr>
          <w:trHeight w:val="288"/>
        </w:trPr>
        <w:tc>
          <w:tcPr>
            <w:tcW w:w="4608" w:type="dxa"/>
            <w:gridSpan w:val="2"/>
            <w:tcBorders>
              <w:top w:val="single" w:sz="4" w:space="0" w:color="auto"/>
              <w:left w:val="nil"/>
              <w:right w:val="nil"/>
            </w:tcBorders>
            <w:shd w:val="clear" w:color="auto" w:fill="auto"/>
            <w:noWrap/>
            <w:vAlign w:val="center"/>
          </w:tcPr>
          <w:p w14:paraId="01E78C5C" w14:textId="77777777" w:rsidR="006945E0" w:rsidRPr="008465B4" w:rsidRDefault="006945E0" w:rsidP="006945E0">
            <w:pPr>
              <w:spacing w:after="0" w:line="240" w:lineRule="auto"/>
              <w:rPr>
                <w:rFonts w:ascii="Segoe UI" w:eastAsia="Times New Roman" w:hAnsi="Segoe UI" w:cs="Segoe UI"/>
                <w:bCs/>
                <w:i/>
                <w:color w:val="666666"/>
                <w:sz w:val="16"/>
                <w:szCs w:val="16"/>
              </w:rPr>
            </w:pPr>
            <w:r w:rsidRPr="008465B4">
              <w:rPr>
                <w:rFonts w:ascii="Segoe UI" w:eastAsia="Times New Roman" w:hAnsi="Segoe UI" w:cs="Segoe UI"/>
                <w:bCs/>
                <w:i/>
                <w:color w:val="666666"/>
                <w:sz w:val="16"/>
                <w:szCs w:val="16"/>
              </w:rPr>
              <w:t>* Not meaningful</w:t>
            </w:r>
          </w:p>
        </w:tc>
        <w:tc>
          <w:tcPr>
            <w:tcW w:w="1296" w:type="dxa"/>
            <w:tcBorders>
              <w:top w:val="single" w:sz="4" w:space="0" w:color="auto"/>
              <w:left w:val="nil"/>
              <w:right w:val="nil"/>
            </w:tcBorders>
            <w:shd w:val="clear" w:color="auto" w:fill="auto"/>
            <w:vAlign w:val="center"/>
          </w:tcPr>
          <w:p w14:paraId="2B0064E3" w14:textId="77777777" w:rsidR="006945E0" w:rsidRPr="008465B4" w:rsidRDefault="006945E0" w:rsidP="006945E0">
            <w:pPr>
              <w:spacing w:after="0" w:line="240" w:lineRule="auto"/>
              <w:jc w:val="right"/>
              <w:rPr>
                <w:rFonts w:ascii="Segoe UI" w:eastAsia="Times New Roman" w:hAnsi="Segoe UI" w:cs="Segoe UI"/>
                <w:bCs/>
                <w:color w:val="FF0000"/>
                <w:sz w:val="16"/>
                <w:szCs w:val="16"/>
              </w:rPr>
            </w:pPr>
          </w:p>
        </w:tc>
        <w:tc>
          <w:tcPr>
            <w:tcW w:w="1296" w:type="dxa"/>
            <w:tcBorders>
              <w:top w:val="single" w:sz="4" w:space="0" w:color="auto"/>
              <w:left w:val="nil"/>
              <w:right w:val="nil"/>
            </w:tcBorders>
            <w:vAlign w:val="center"/>
          </w:tcPr>
          <w:p w14:paraId="492B2C89" w14:textId="77777777" w:rsidR="006945E0" w:rsidRPr="008465B4" w:rsidRDefault="006945E0" w:rsidP="006945E0">
            <w:pPr>
              <w:spacing w:after="0" w:line="240" w:lineRule="auto"/>
              <w:jc w:val="right"/>
              <w:rPr>
                <w:rFonts w:ascii="Segoe UI" w:eastAsia="Times New Roman" w:hAnsi="Segoe UI" w:cs="Segoe UI"/>
                <w:bCs/>
                <w:color w:val="FF0000"/>
                <w:sz w:val="16"/>
                <w:szCs w:val="16"/>
              </w:rPr>
            </w:pPr>
          </w:p>
        </w:tc>
        <w:tc>
          <w:tcPr>
            <w:tcW w:w="1296" w:type="dxa"/>
            <w:tcBorders>
              <w:top w:val="single" w:sz="4" w:space="0" w:color="auto"/>
              <w:left w:val="nil"/>
              <w:right w:val="nil"/>
            </w:tcBorders>
            <w:shd w:val="clear" w:color="auto" w:fill="auto"/>
            <w:vAlign w:val="center"/>
          </w:tcPr>
          <w:p w14:paraId="18586CF9" w14:textId="77777777" w:rsidR="006945E0" w:rsidRPr="008465B4" w:rsidRDefault="006945E0" w:rsidP="006945E0">
            <w:pPr>
              <w:spacing w:after="0" w:line="240" w:lineRule="auto"/>
              <w:jc w:val="right"/>
              <w:rPr>
                <w:rFonts w:ascii="Segoe UI" w:eastAsia="Times New Roman" w:hAnsi="Segoe UI" w:cs="Segoe UI"/>
                <w:bCs/>
                <w:color w:val="FF0000"/>
                <w:sz w:val="16"/>
                <w:szCs w:val="16"/>
              </w:rPr>
            </w:pPr>
          </w:p>
        </w:tc>
        <w:tc>
          <w:tcPr>
            <w:tcW w:w="1296" w:type="dxa"/>
            <w:gridSpan w:val="2"/>
            <w:tcBorders>
              <w:top w:val="single" w:sz="4" w:space="0" w:color="auto"/>
              <w:left w:val="nil"/>
              <w:right w:val="nil"/>
            </w:tcBorders>
            <w:shd w:val="clear" w:color="auto" w:fill="auto"/>
            <w:vAlign w:val="center"/>
          </w:tcPr>
          <w:p w14:paraId="135940D6" w14:textId="77777777" w:rsidR="006945E0" w:rsidRPr="008465B4" w:rsidRDefault="006945E0" w:rsidP="006945E0">
            <w:pPr>
              <w:spacing w:after="0" w:line="240" w:lineRule="auto"/>
              <w:jc w:val="right"/>
              <w:rPr>
                <w:rFonts w:ascii="Segoe UI" w:eastAsia="Times New Roman" w:hAnsi="Segoe UI" w:cs="Segoe UI"/>
                <w:bCs/>
                <w:color w:val="FF0000"/>
                <w:sz w:val="16"/>
                <w:szCs w:val="16"/>
              </w:rPr>
            </w:pPr>
          </w:p>
        </w:tc>
      </w:tr>
    </w:tbl>
    <w:p w14:paraId="74B92936" w14:textId="12C341DA" w:rsidR="00E15BF6" w:rsidRPr="008465B4" w:rsidRDefault="00E15BF6" w:rsidP="004D2CC8">
      <w:pPr>
        <w:spacing w:before="270" w:line="280" w:lineRule="exact"/>
        <w:rPr>
          <w:rFonts w:ascii="Segoe UI" w:hAnsi="Segoe UI" w:cs="Segoe UI"/>
          <w:color w:val="666666"/>
          <w:sz w:val="20"/>
          <w:szCs w:val="20"/>
        </w:rPr>
      </w:pPr>
      <w:r w:rsidRPr="008465B4">
        <w:rPr>
          <w:rFonts w:ascii="Segoe UI" w:hAnsi="Segoe UI" w:cs="Segoe UI"/>
          <w:color w:val="666666"/>
          <w:sz w:val="20"/>
          <w:szCs w:val="20"/>
        </w:rPr>
        <w:t xml:space="preserve">During the quarter, Microsoft </w:t>
      </w:r>
      <w:r w:rsidRPr="007636EE">
        <w:rPr>
          <w:rFonts w:ascii="Segoe UI" w:hAnsi="Segoe UI" w:cs="Segoe UI"/>
          <w:color w:val="666666"/>
          <w:sz w:val="20"/>
          <w:szCs w:val="20"/>
        </w:rPr>
        <w:t>returned $</w:t>
      </w:r>
      <w:r w:rsidR="007C3ECB" w:rsidRPr="007636EE">
        <w:rPr>
          <w:rFonts w:ascii="Segoe UI" w:hAnsi="Segoe UI" w:cs="Segoe UI"/>
          <w:color w:val="666666"/>
          <w:sz w:val="20"/>
          <w:szCs w:val="20"/>
        </w:rPr>
        <w:t>6</w:t>
      </w:r>
      <w:r w:rsidRPr="007636EE">
        <w:rPr>
          <w:rFonts w:ascii="Segoe UI" w:hAnsi="Segoe UI" w:cs="Segoe UI"/>
          <w:color w:val="666666"/>
          <w:sz w:val="20"/>
          <w:szCs w:val="20"/>
        </w:rPr>
        <w:t>.</w:t>
      </w:r>
      <w:r w:rsidR="00206595" w:rsidRPr="007636EE">
        <w:rPr>
          <w:rFonts w:ascii="Segoe UI" w:hAnsi="Segoe UI" w:cs="Segoe UI"/>
          <w:color w:val="666666"/>
          <w:sz w:val="20"/>
          <w:szCs w:val="20"/>
        </w:rPr>
        <w:t>4</w:t>
      </w:r>
      <w:r w:rsidRPr="007636EE">
        <w:rPr>
          <w:rFonts w:ascii="Segoe UI" w:hAnsi="Segoe UI" w:cs="Segoe UI"/>
          <w:color w:val="666666"/>
          <w:sz w:val="20"/>
          <w:szCs w:val="20"/>
        </w:rPr>
        <w:t xml:space="preserve"> billion</w:t>
      </w:r>
      <w:r w:rsidRPr="008465B4">
        <w:rPr>
          <w:rFonts w:ascii="Segoe UI" w:hAnsi="Segoe UI" w:cs="Segoe UI"/>
          <w:color w:val="666666"/>
          <w:sz w:val="20"/>
          <w:szCs w:val="20"/>
        </w:rPr>
        <w:t xml:space="preserve"> to shareholders in the form of share repurchases and dividends.</w:t>
      </w:r>
    </w:p>
    <w:p w14:paraId="7E6EF5B3" w14:textId="77777777" w:rsidR="000B5695" w:rsidRPr="008465B4" w:rsidRDefault="00C57CB3" w:rsidP="00F330C0">
      <w:pPr>
        <w:rPr>
          <w:rFonts w:ascii="Segoe UI" w:hAnsi="Segoe UI" w:cs="Segoe UI"/>
          <w:color w:val="666666"/>
          <w:sz w:val="20"/>
          <w:szCs w:val="20"/>
        </w:rPr>
      </w:pPr>
      <w:r w:rsidRPr="008465B4">
        <w:rPr>
          <w:rFonts w:ascii="Segoe UI" w:hAnsi="Segoe UI" w:cs="Segoe UI"/>
          <w:color w:val="666666"/>
          <w:sz w:val="20"/>
          <w:szCs w:val="20"/>
        </w:rPr>
        <w:t>The current quarter effective tax rate reflected a favorable mix of our income between the U.S. and foreign countries, as well as benefits associated with distributions from foreign affiliates. As such, the GAAP and non-GAAP tax rates were 7% and 15%, respectively.</w:t>
      </w:r>
    </w:p>
    <w:p w14:paraId="5A2CCC38" w14:textId="4E92FF3A" w:rsidR="00F330C0" w:rsidRPr="008465B4" w:rsidRDefault="00F330C0" w:rsidP="00F330C0">
      <w:pPr>
        <w:rPr>
          <w:rFonts w:ascii="Segoe UI" w:hAnsi="Segoe UI" w:cs="Segoe UI"/>
          <w:color w:val="666666"/>
          <w:sz w:val="20"/>
          <w:szCs w:val="20"/>
        </w:rPr>
      </w:pPr>
      <w:r w:rsidRPr="00665A67">
        <w:rPr>
          <w:rFonts w:ascii="Segoe UI" w:hAnsi="Segoe UI" w:cs="Segoe UI"/>
          <w:color w:val="666666"/>
          <w:sz w:val="20"/>
          <w:szCs w:val="20"/>
        </w:rPr>
        <w:t>“</w:t>
      </w:r>
      <w:r w:rsidR="00D7499A" w:rsidRPr="00665A67">
        <w:rPr>
          <w:rFonts w:ascii="Segoe UI" w:hAnsi="Segoe UI" w:cs="Segoe UI"/>
          <w:color w:val="666666"/>
          <w:sz w:val="20"/>
          <w:szCs w:val="20"/>
        </w:rPr>
        <w:t>This fiscal year we invested in innovation and expanded our market presence in key product areas and geographies</w:t>
      </w:r>
      <w:r w:rsidRPr="00665A67">
        <w:rPr>
          <w:rFonts w:ascii="Segoe UI" w:hAnsi="Segoe UI" w:cs="Segoe UI"/>
          <w:color w:val="666666"/>
          <w:sz w:val="20"/>
          <w:szCs w:val="20"/>
        </w:rPr>
        <w:t>,” said Amy Hood, executive vice president and chief financial officer at Microsoft.</w:t>
      </w:r>
      <w:r w:rsidR="00452D08" w:rsidRPr="00665A67">
        <w:rPr>
          <w:rFonts w:ascii="Segoe UI" w:hAnsi="Segoe UI" w:cs="Segoe UI"/>
          <w:color w:val="666666"/>
          <w:sz w:val="20"/>
          <w:szCs w:val="20"/>
        </w:rPr>
        <w:t xml:space="preserve"> </w:t>
      </w:r>
      <w:r w:rsidR="006A0928" w:rsidRPr="00665A67">
        <w:rPr>
          <w:rFonts w:ascii="Segoe UI" w:hAnsi="Segoe UI" w:cs="Segoe UI"/>
          <w:color w:val="666666"/>
          <w:sz w:val="20"/>
          <w:szCs w:val="20"/>
        </w:rPr>
        <w:t>“I am pleased with the execution from our sales teams and partners this quarter who delivered a strong finish to the fiscal year."</w:t>
      </w:r>
    </w:p>
    <w:p w14:paraId="03A35851" w14:textId="77777777" w:rsidR="008F2674" w:rsidRPr="008465B4" w:rsidRDefault="008F2674" w:rsidP="008F2674">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Revenue in Productivity and Business Processes grew </w:t>
      </w:r>
      <w:r w:rsidR="008526BE" w:rsidRPr="008465B4">
        <w:rPr>
          <w:rFonts w:ascii="Segoe UI" w:hAnsi="Segoe UI" w:cs="Segoe UI"/>
          <w:color w:val="666666"/>
          <w:sz w:val="20"/>
          <w:szCs w:val="20"/>
        </w:rPr>
        <w:t>5</w:t>
      </w:r>
      <w:r w:rsidRPr="008465B4">
        <w:rPr>
          <w:rFonts w:ascii="Segoe UI" w:hAnsi="Segoe UI" w:cs="Segoe UI"/>
          <w:color w:val="666666"/>
          <w:sz w:val="20"/>
          <w:szCs w:val="20"/>
        </w:rPr>
        <w:t xml:space="preserve">% (up </w:t>
      </w:r>
      <w:r w:rsidR="008526BE" w:rsidRPr="008465B4">
        <w:rPr>
          <w:rFonts w:ascii="Segoe UI" w:hAnsi="Segoe UI" w:cs="Segoe UI"/>
          <w:color w:val="666666"/>
          <w:sz w:val="20"/>
          <w:szCs w:val="20"/>
        </w:rPr>
        <w:t>8</w:t>
      </w:r>
      <w:r w:rsidRPr="008465B4">
        <w:rPr>
          <w:rFonts w:ascii="Segoe UI" w:hAnsi="Segoe UI" w:cs="Segoe UI"/>
          <w:color w:val="666666"/>
          <w:sz w:val="20"/>
          <w:szCs w:val="20"/>
        </w:rPr>
        <w:t>% in constant currency) to $</w:t>
      </w:r>
      <w:r w:rsidR="008526BE" w:rsidRPr="008465B4">
        <w:rPr>
          <w:rFonts w:ascii="Segoe UI" w:hAnsi="Segoe UI" w:cs="Segoe UI"/>
          <w:color w:val="666666"/>
          <w:sz w:val="20"/>
          <w:szCs w:val="20"/>
        </w:rPr>
        <w:t>7.0</w:t>
      </w:r>
      <w:r w:rsidRPr="008465B4">
        <w:rPr>
          <w:rFonts w:ascii="Segoe UI" w:hAnsi="Segoe UI" w:cs="Segoe UI"/>
          <w:color w:val="666666"/>
          <w:sz w:val="20"/>
          <w:szCs w:val="20"/>
        </w:rPr>
        <w:t xml:space="preserve"> billion, with the following business highlights:</w:t>
      </w:r>
    </w:p>
    <w:p w14:paraId="2C7FC8FC" w14:textId="1219B965" w:rsidR="008F2674" w:rsidRPr="008465B4" w:rsidRDefault="008F2674" w:rsidP="008F2674">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commercial products and cloud services revenue grew </w:t>
      </w:r>
      <w:r w:rsidR="00DC2811">
        <w:rPr>
          <w:rFonts w:ascii="Segoe UI" w:hAnsi="Segoe UI" w:cs="Segoe UI"/>
          <w:color w:val="666666"/>
          <w:sz w:val="20"/>
          <w:szCs w:val="20"/>
        </w:rPr>
        <w:t xml:space="preserve">5% (up </w:t>
      </w:r>
      <w:r w:rsidR="008A07BA" w:rsidRPr="008465B4">
        <w:rPr>
          <w:rFonts w:ascii="Segoe UI" w:hAnsi="Segoe UI" w:cs="Segoe UI"/>
          <w:color w:val="666666"/>
          <w:sz w:val="20"/>
          <w:szCs w:val="20"/>
        </w:rPr>
        <w:t>9</w:t>
      </w:r>
      <w:r w:rsidRPr="008465B4">
        <w:rPr>
          <w:rFonts w:ascii="Segoe UI" w:hAnsi="Segoe UI" w:cs="Segoe UI"/>
          <w:color w:val="666666"/>
          <w:sz w:val="20"/>
          <w:szCs w:val="20"/>
        </w:rPr>
        <w:t>% in constant currency</w:t>
      </w:r>
      <w:r w:rsidR="00DC2811">
        <w:rPr>
          <w:rFonts w:ascii="Segoe UI" w:hAnsi="Segoe UI" w:cs="Segoe UI"/>
          <w:color w:val="666666"/>
          <w:sz w:val="20"/>
          <w:szCs w:val="20"/>
        </w:rPr>
        <w:t>)</w:t>
      </w:r>
      <w:r w:rsidRPr="008465B4">
        <w:rPr>
          <w:rFonts w:ascii="Segoe UI" w:hAnsi="Segoe UI" w:cs="Segoe UI"/>
          <w:color w:val="666666"/>
          <w:sz w:val="20"/>
          <w:szCs w:val="20"/>
        </w:rPr>
        <w:t xml:space="preserve"> driven by Office 365 </w:t>
      </w:r>
      <w:r w:rsidR="00C45CF3">
        <w:rPr>
          <w:rFonts w:ascii="Segoe UI" w:hAnsi="Segoe UI" w:cs="Segoe UI"/>
          <w:color w:val="666666"/>
          <w:sz w:val="20"/>
          <w:szCs w:val="20"/>
        </w:rPr>
        <w:t xml:space="preserve">commercial </w:t>
      </w:r>
      <w:r w:rsidRPr="008465B4">
        <w:rPr>
          <w:rFonts w:ascii="Segoe UI" w:hAnsi="Segoe UI" w:cs="Segoe UI"/>
          <w:color w:val="666666"/>
          <w:sz w:val="20"/>
          <w:szCs w:val="20"/>
        </w:rPr>
        <w:t xml:space="preserve">revenue growth of </w:t>
      </w:r>
      <w:r w:rsidR="002C3D0B">
        <w:rPr>
          <w:rFonts w:ascii="Segoe UI" w:hAnsi="Segoe UI" w:cs="Segoe UI"/>
          <w:color w:val="666666"/>
          <w:sz w:val="20"/>
          <w:szCs w:val="20"/>
        </w:rPr>
        <w:t xml:space="preserve">54% (up </w:t>
      </w:r>
      <w:r w:rsidR="009A0D69" w:rsidRPr="008465B4">
        <w:rPr>
          <w:rFonts w:ascii="Segoe UI" w:hAnsi="Segoe UI" w:cs="Segoe UI"/>
          <w:color w:val="666666"/>
          <w:sz w:val="20"/>
          <w:szCs w:val="20"/>
        </w:rPr>
        <w:t>59</w:t>
      </w:r>
      <w:r w:rsidRPr="008465B4">
        <w:rPr>
          <w:rFonts w:ascii="Segoe UI" w:hAnsi="Segoe UI" w:cs="Segoe UI"/>
          <w:color w:val="666666"/>
          <w:sz w:val="20"/>
          <w:szCs w:val="20"/>
        </w:rPr>
        <w:t>% in constant currency</w:t>
      </w:r>
      <w:r w:rsidR="002C3D0B">
        <w:rPr>
          <w:rFonts w:ascii="Segoe UI" w:hAnsi="Segoe UI" w:cs="Segoe UI"/>
          <w:color w:val="666666"/>
          <w:sz w:val="20"/>
          <w:szCs w:val="20"/>
        </w:rPr>
        <w:t>)</w:t>
      </w:r>
    </w:p>
    <w:p w14:paraId="3D4E2FCF" w14:textId="7BAF3438" w:rsidR="008F2674" w:rsidRPr="008465B4" w:rsidRDefault="008F2674" w:rsidP="008F2674">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consumer products and cloud services revenue grew </w:t>
      </w:r>
      <w:r w:rsidR="00DC2811">
        <w:rPr>
          <w:rFonts w:ascii="Segoe UI" w:hAnsi="Segoe UI" w:cs="Segoe UI"/>
          <w:color w:val="666666"/>
          <w:sz w:val="20"/>
          <w:szCs w:val="20"/>
        </w:rPr>
        <w:t xml:space="preserve">19% (up </w:t>
      </w:r>
      <w:r w:rsidR="008A07BA" w:rsidRPr="008465B4">
        <w:rPr>
          <w:rFonts w:ascii="Segoe UI" w:hAnsi="Segoe UI" w:cs="Segoe UI"/>
          <w:color w:val="666666"/>
          <w:sz w:val="20"/>
          <w:szCs w:val="20"/>
        </w:rPr>
        <w:t>18</w:t>
      </w:r>
      <w:r w:rsidRPr="008465B4">
        <w:rPr>
          <w:rFonts w:ascii="Segoe UI" w:hAnsi="Segoe UI" w:cs="Segoe UI"/>
          <w:color w:val="666666"/>
          <w:sz w:val="20"/>
          <w:szCs w:val="20"/>
        </w:rPr>
        <w:t>% in constant currency</w:t>
      </w:r>
      <w:r w:rsidR="00DC2811">
        <w:rPr>
          <w:rFonts w:ascii="Segoe UI" w:hAnsi="Segoe UI" w:cs="Segoe UI"/>
          <w:color w:val="666666"/>
          <w:sz w:val="20"/>
          <w:szCs w:val="20"/>
        </w:rPr>
        <w:t>)</w:t>
      </w:r>
      <w:r w:rsidRPr="008465B4">
        <w:rPr>
          <w:rFonts w:ascii="Segoe UI" w:hAnsi="Segoe UI" w:cs="Segoe UI"/>
          <w:color w:val="666666"/>
          <w:sz w:val="20"/>
          <w:szCs w:val="20"/>
        </w:rPr>
        <w:t xml:space="preserve"> with Office 365 consumer subscribers increasing to </w:t>
      </w:r>
      <w:r w:rsidR="008A07BA" w:rsidRPr="008465B4">
        <w:rPr>
          <w:rFonts w:ascii="Segoe UI" w:hAnsi="Segoe UI" w:cs="Segoe UI"/>
          <w:color w:val="666666"/>
          <w:sz w:val="20"/>
          <w:szCs w:val="20"/>
        </w:rPr>
        <w:t>23.1</w:t>
      </w:r>
      <w:r w:rsidRPr="008465B4">
        <w:rPr>
          <w:rFonts w:ascii="Segoe UI" w:hAnsi="Segoe UI" w:cs="Segoe UI"/>
          <w:color w:val="666666"/>
          <w:sz w:val="20"/>
          <w:szCs w:val="20"/>
        </w:rPr>
        <w:t xml:space="preserve"> million</w:t>
      </w:r>
    </w:p>
    <w:p w14:paraId="7B8CDDE1" w14:textId="5410BC37" w:rsidR="008F2674" w:rsidRPr="008465B4" w:rsidRDefault="008F2674" w:rsidP="00965821">
      <w:pPr>
        <w:pStyle w:val="ListParagraph"/>
        <w:numPr>
          <w:ilvl w:val="0"/>
          <w:numId w:val="2"/>
        </w:numPr>
        <w:spacing w:line="240" w:lineRule="auto"/>
        <w:rPr>
          <w:rFonts w:ascii="Segoe UI" w:hAnsi="Segoe UI" w:cs="Segoe UI"/>
          <w:color w:val="666666"/>
          <w:sz w:val="20"/>
          <w:szCs w:val="20"/>
        </w:rPr>
      </w:pPr>
      <w:r w:rsidRPr="008465B4">
        <w:rPr>
          <w:rFonts w:ascii="Segoe UI" w:hAnsi="Segoe UI" w:cs="Segoe UI"/>
          <w:color w:val="666666"/>
          <w:sz w:val="20"/>
          <w:szCs w:val="20"/>
        </w:rPr>
        <w:t xml:space="preserve">Dynamics products and cloud services revenue grew </w:t>
      </w:r>
      <w:r w:rsidR="00DC2811">
        <w:rPr>
          <w:rFonts w:ascii="Segoe UI" w:hAnsi="Segoe UI" w:cs="Segoe UI"/>
          <w:color w:val="666666"/>
          <w:sz w:val="20"/>
          <w:szCs w:val="20"/>
        </w:rPr>
        <w:t>6</w:t>
      </w:r>
      <w:r w:rsidR="00C32A95">
        <w:rPr>
          <w:rFonts w:ascii="Segoe UI" w:hAnsi="Segoe UI" w:cs="Segoe UI"/>
          <w:color w:val="666666"/>
          <w:sz w:val="20"/>
          <w:szCs w:val="20"/>
        </w:rPr>
        <w:t xml:space="preserve">% </w:t>
      </w:r>
      <w:r w:rsidR="00DC2811">
        <w:rPr>
          <w:rFonts w:ascii="Segoe UI" w:hAnsi="Segoe UI" w:cs="Segoe UI"/>
          <w:color w:val="666666"/>
          <w:sz w:val="20"/>
          <w:szCs w:val="20"/>
        </w:rPr>
        <w:t xml:space="preserve">(up </w:t>
      </w:r>
      <w:r w:rsidR="009A3DBE" w:rsidRPr="008465B4">
        <w:rPr>
          <w:rFonts w:ascii="Segoe UI" w:hAnsi="Segoe UI" w:cs="Segoe UI"/>
          <w:color w:val="666666"/>
          <w:sz w:val="20"/>
          <w:szCs w:val="20"/>
        </w:rPr>
        <w:t>7</w:t>
      </w:r>
      <w:r w:rsidRPr="008465B4">
        <w:rPr>
          <w:rFonts w:ascii="Segoe UI" w:hAnsi="Segoe UI" w:cs="Segoe UI"/>
          <w:color w:val="666666"/>
          <w:sz w:val="20"/>
          <w:szCs w:val="20"/>
        </w:rPr>
        <w:t>% in constant currency</w:t>
      </w:r>
      <w:r w:rsidR="00DC2811">
        <w:rPr>
          <w:rFonts w:ascii="Segoe UI" w:hAnsi="Segoe UI" w:cs="Segoe UI"/>
          <w:color w:val="666666"/>
          <w:sz w:val="20"/>
          <w:szCs w:val="20"/>
        </w:rPr>
        <w:t>)</w:t>
      </w:r>
      <w:r w:rsidRPr="008465B4">
        <w:rPr>
          <w:rFonts w:ascii="Segoe UI" w:hAnsi="Segoe UI" w:cs="Segoe UI"/>
          <w:color w:val="666666"/>
          <w:sz w:val="20"/>
          <w:szCs w:val="20"/>
        </w:rPr>
        <w:t xml:space="preserve"> with </w:t>
      </w:r>
      <w:r w:rsidR="00965821" w:rsidRPr="008465B4">
        <w:rPr>
          <w:rFonts w:ascii="Segoe UI" w:hAnsi="Segoe UI" w:cs="Segoe UI"/>
          <w:color w:val="666666"/>
          <w:sz w:val="20"/>
          <w:szCs w:val="20"/>
        </w:rPr>
        <w:t>Dynamics CRM Online paid seats growing more than 2.5x year-over-year</w:t>
      </w:r>
    </w:p>
    <w:p w14:paraId="6628FE17" w14:textId="77777777" w:rsidR="008F2674" w:rsidRPr="008465B4" w:rsidRDefault="008F2674" w:rsidP="008F2674">
      <w:p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Revenue in Intelligent Cloud grew </w:t>
      </w:r>
      <w:r w:rsidR="008526BE" w:rsidRPr="008465B4">
        <w:rPr>
          <w:rFonts w:ascii="Segoe UI" w:eastAsia="Segoe UI" w:hAnsi="Segoe UI" w:cs="Segoe UI"/>
          <w:color w:val="666666"/>
          <w:sz w:val="20"/>
          <w:szCs w:val="20"/>
        </w:rPr>
        <w:t>7</w:t>
      </w:r>
      <w:r w:rsidRPr="008465B4">
        <w:rPr>
          <w:rFonts w:ascii="Segoe UI" w:eastAsia="Segoe UI" w:hAnsi="Segoe UI" w:cs="Segoe UI"/>
          <w:color w:val="666666"/>
          <w:sz w:val="20"/>
          <w:szCs w:val="20"/>
        </w:rPr>
        <w:t xml:space="preserve">% (up </w:t>
      </w:r>
      <w:r w:rsidR="008526BE" w:rsidRPr="008465B4">
        <w:rPr>
          <w:rFonts w:ascii="Segoe UI" w:eastAsia="Segoe UI" w:hAnsi="Segoe UI" w:cs="Segoe UI"/>
          <w:color w:val="666666"/>
          <w:sz w:val="20"/>
          <w:szCs w:val="20"/>
        </w:rPr>
        <w:t>10</w:t>
      </w:r>
      <w:r w:rsidRPr="008465B4">
        <w:rPr>
          <w:rFonts w:ascii="Segoe UI" w:eastAsia="Segoe UI" w:hAnsi="Segoe UI" w:cs="Segoe UI"/>
          <w:color w:val="666666"/>
          <w:sz w:val="20"/>
          <w:szCs w:val="20"/>
        </w:rPr>
        <w:t>% in constant currency) to $</w:t>
      </w:r>
      <w:r w:rsidR="008526BE" w:rsidRPr="008465B4">
        <w:rPr>
          <w:rFonts w:ascii="Segoe UI" w:eastAsia="Segoe UI" w:hAnsi="Segoe UI" w:cs="Segoe UI"/>
          <w:color w:val="666666"/>
          <w:sz w:val="20"/>
          <w:szCs w:val="20"/>
        </w:rPr>
        <w:t>6.7</w:t>
      </w:r>
      <w:r w:rsidRPr="008465B4">
        <w:rPr>
          <w:rFonts w:ascii="Segoe UI" w:eastAsia="Segoe UI" w:hAnsi="Segoe UI" w:cs="Segoe UI"/>
          <w:color w:val="666666"/>
          <w:sz w:val="20"/>
          <w:szCs w:val="20"/>
        </w:rPr>
        <w:t xml:space="preserve"> billion, with the following business highlights:</w:t>
      </w:r>
    </w:p>
    <w:p w14:paraId="4DA8B436" w14:textId="5D89C9E5" w:rsidR="008F2674" w:rsidRPr="008465B4" w:rsidRDefault="008F2674" w:rsidP="00A84570">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Server products and cloud services revenue increased </w:t>
      </w:r>
      <w:r w:rsidR="00DC2811">
        <w:rPr>
          <w:rFonts w:ascii="Segoe UI" w:hAnsi="Segoe UI" w:cs="Segoe UI"/>
          <w:color w:val="666666"/>
          <w:sz w:val="20"/>
          <w:szCs w:val="20"/>
        </w:rPr>
        <w:t xml:space="preserve">5% (up </w:t>
      </w:r>
      <w:r w:rsidR="009A3DBE" w:rsidRPr="008465B4">
        <w:rPr>
          <w:rFonts w:ascii="Segoe UI" w:hAnsi="Segoe UI" w:cs="Segoe UI"/>
          <w:color w:val="666666"/>
          <w:sz w:val="20"/>
          <w:szCs w:val="20"/>
        </w:rPr>
        <w:t>8</w:t>
      </w:r>
      <w:r w:rsidRPr="008465B4">
        <w:rPr>
          <w:rFonts w:ascii="Segoe UI" w:hAnsi="Segoe UI" w:cs="Segoe UI"/>
          <w:color w:val="666666"/>
          <w:sz w:val="20"/>
          <w:szCs w:val="20"/>
        </w:rPr>
        <w:t xml:space="preserve">% in constant </w:t>
      </w:r>
      <w:r w:rsidRPr="00D5044B">
        <w:rPr>
          <w:rFonts w:ascii="Segoe UI" w:hAnsi="Segoe UI" w:cs="Segoe UI"/>
          <w:color w:val="666666"/>
          <w:sz w:val="20"/>
          <w:szCs w:val="20"/>
        </w:rPr>
        <w:t>currency</w:t>
      </w:r>
      <w:r w:rsidR="00DC2811" w:rsidRPr="00D5044B">
        <w:rPr>
          <w:rFonts w:ascii="Segoe UI" w:hAnsi="Segoe UI" w:cs="Segoe UI"/>
          <w:color w:val="666666"/>
          <w:sz w:val="20"/>
          <w:szCs w:val="20"/>
        </w:rPr>
        <w:t>)</w:t>
      </w:r>
      <w:r w:rsidRPr="00D5044B">
        <w:rPr>
          <w:rFonts w:ascii="Segoe UI" w:hAnsi="Segoe UI" w:cs="Segoe UI"/>
          <w:color w:val="666666"/>
          <w:sz w:val="20"/>
          <w:szCs w:val="20"/>
        </w:rPr>
        <w:t xml:space="preserve"> </w:t>
      </w:r>
      <w:r w:rsidR="00A84570" w:rsidRPr="00D5044B">
        <w:rPr>
          <w:rFonts w:ascii="Segoe UI" w:hAnsi="Segoe UI" w:cs="Segoe UI"/>
          <w:color w:val="666666"/>
          <w:sz w:val="20"/>
          <w:szCs w:val="20"/>
        </w:rPr>
        <w:t>driven by double-digit annuity revenue growth</w:t>
      </w:r>
    </w:p>
    <w:p w14:paraId="5C165F1F" w14:textId="658DBA7C" w:rsidR="008F2674" w:rsidRPr="008465B4" w:rsidRDefault="008F2674" w:rsidP="008F2674">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Azure revenue grew </w:t>
      </w:r>
      <w:r w:rsidR="00DC2811">
        <w:rPr>
          <w:rFonts w:ascii="Segoe UI" w:hAnsi="Segoe UI" w:cs="Segoe UI"/>
          <w:color w:val="666666"/>
          <w:sz w:val="20"/>
          <w:szCs w:val="20"/>
        </w:rPr>
        <w:t xml:space="preserve">102% (up </w:t>
      </w:r>
      <w:r w:rsidR="009A0D69" w:rsidRPr="008465B4">
        <w:rPr>
          <w:rFonts w:ascii="Segoe UI" w:hAnsi="Segoe UI" w:cs="Segoe UI"/>
          <w:color w:val="666666"/>
          <w:sz w:val="20"/>
          <w:szCs w:val="20"/>
        </w:rPr>
        <w:t>108</w:t>
      </w:r>
      <w:r w:rsidRPr="008465B4">
        <w:rPr>
          <w:rFonts w:ascii="Segoe UI" w:hAnsi="Segoe UI" w:cs="Segoe UI"/>
          <w:color w:val="666666"/>
          <w:sz w:val="20"/>
          <w:szCs w:val="20"/>
        </w:rPr>
        <w:t>% in constant currency</w:t>
      </w:r>
      <w:r w:rsidR="00DC2811">
        <w:rPr>
          <w:rFonts w:ascii="Segoe UI" w:hAnsi="Segoe UI" w:cs="Segoe UI"/>
          <w:color w:val="666666"/>
          <w:sz w:val="20"/>
          <w:szCs w:val="20"/>
        </w:rPr>
        <w:t>)</w:t>
      </w:r>
      <w:r w:rsidRPr="008465B4">
        <w:rPr>
          <w:rFonts w:ascii="Segoe UI" w:hAnsi="Segoe UI" w:cs="Segoe UI"/>
          <w:color w:val="666666"/>
          <w:sz w:val="20"/>
          <w:szCs w:val="20"/>
        </w:rPr>
        <w:t xml:space="preserve"> with </w:t>
      </w:r>
      <w:r w:rsidR="003B18D0" w:rsidRPr="008465B4">
        <w:rPr>
          <w:rFonts w:ascii="Segoe UI" w:hAnsi="Segoe UI" w:cs="Segoe UI"/>
          <w:color w:val="666666"/>
          <w:sz w:val="20"/>
          <w:szCs w:val="20"/>
        </w:rPr>
        <w:t>Azure compute usage more than doubling year-over-year</w:t>
      </w:r>
    </w:p>
    <w:p w14:paraId="614C0A7E" w14:textId="77777777" w:rsidR="008F2674" w:rsidRPr="008465B4" w:rsidRDefault="003B18D0" w:rsidP="00724B6C">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Enterprise Mobility customers nearly doubled year-over-year to over 33,000</w:t>
      </w:r>
      <w:r w:rsidR="001A632B" w:rsidRPr="008465B4">
        <w:rPr>
          <w:rFonts w:ascii="Segoe UI" w:hAnsi="Segoe UI" w:cs="Segoe UI"/>
          <w:color w:val="666666"/>
          <w:sz w:val="20"/>
          <w:szCs w:val="20"/>
        </w:rPr>
        <w:t>,</w:t>
      </w:r>
      <w:r w:rsidR="00DA0E72" w:rsidRPr="008465B4">
        <w:rPr>
          <w:rFonts w:ascii="Segoe UI" w:hAnsi="Segoe UI" w:cs="Segoe UI"/>
          <w:color w:val="666666"/>
          <w:sz w:val="20"/>
          <w:szCs w:val="20"/>
        </w:rPr>
        <w:t xml:space="preserve"> </w:t>
      </w:r>
      <w:r w:rsidR="001A632B" w:rsidRPr="008465B4">
        <w:rPr>
          <w:rFonts w:ascii="Segoe UI" w:hAnsi="Segoe UI" w:cs="Segoe UI"/>
          <w:color w:val="666666"/>
          <w:sz w:val="20"/>
          <w:szCs w:val="20"/>
        </w:rPr>
        <w:t xml:space="preserve">and the installed base grew </w:t>
      </w:r>
      <w:r w:rsidR="00724B6C" w:rsidRPr="008465B4">
        <w:rPr>
          <w:rFonts w:ascii="Segoe UI" w:hAnsi="Segoe UI" w:cs="Segoe UI"/>
          <w:color w:val="666666"/>
          <w:sz w:val="20"/>
          <w:szCs w:val="20"/>
        </w:rPr>
        <w:t xml:space="preserve">nearly 2.5x </w:t>
      </w:r>
      <w:r w:rsidR="001A632B" w:rsidRPr="008465B4">
        <w:rPr>
          <w:rFonts w:ascii="Segoe UI" w:hAnsi="Segoe UI" w:cs="Segoe UI"/>
          <w:color w:val="666666"/>
          <w:sz w:val="20"/>
          <w:szCs w:val="20"/>
        </w:rPr>
        <w:t>year-over-year</w:t>
      </w:r>
    </w:p>
    <w:p w14:paraId="3D3B62A2" w14:textId="77777777" w:rsidR="008F2674" w:rsidRPr="008465B4" w:rsidRDefault="008F2674" w:rsidP="008F2674">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Revenue in More Personal Computing </w:t>
      </w:r>
      <w:r w:rsidR="00B1635E" w:rsidRPr="008465B4">
        <w:rPr>
          <w:rFonts w:ascii="Segoe UI" w:hAnsi="Segoe UI" w:cs="Segoe UI"/>
          <w:color w:val="666666"/>
          <w:sz w:val="20"/>
          <w:szCs w:val="20"/>
        </w:rPr>
        <w:t xml:space="preserve">declined </w:t>
      </w:r>
      <w:r w:rsidR="008526BE" w:rsidRPr="008465B4">
        <w:rPr>
          <w:rFonts w:ascii="Segoe UI" w:hAnsi="Segoe UI" w:cs="Segoe UI"/>
          <w:color w:val="666666"/>
          <w:sz w:val="20"/>
          <w:szCs w:val="20"/>
        </w:rPr>
        <w:t>4</w:t>
      </w:r>
      <w:r w:rsidRPr="008465B4">
        <w:rPr>
          <w:rFonts w:ascii="Segoe UI" w:hAnsi="Segoe UI" w:cs="Segoe UI"/>
          <w:color w:val="666666"/>
          <w:sz w:val="20"/>
          <w:szCs w:val="20"/>
        </w:rPr>
        <w:t>% (</w:t>
      </w:r>
      <w:r w:rsidR="006529DC" w:rsidRPr="008465B4">
        <w:rPr>
          <w:rFonts w:ascii="Segoe UI" w:hAnsi="Segoe UI" w:cs="Segoe UI"/>
          <w:color w:val="666666"/>
          <w:sz w:val="20"/>
          <w:szCs w:val="20"/>
        </w:rPr>
        <w:t xml:space="preserve">down </w:t>
      </w:r>
      <w:r w:rsidR="008526BE" w:rsidRPr="008465B4">
        <w:rPr>
          <w:rFonts w:ascii="Segoe UI" w:hAnsi="Segoe UI" w:cs="Segoe UI"/>
          <w:color w:val="666666"/>
          <w:sz w:val="20"/>
          <w:szCs w:val="20"/>
        </w:rPr>
        <w:t>2</w:t>
      </w:r>
      <w:r w:rsidRPr="008465B4">
        <w:rPr>
          <w:rFonts w:ascii="Segoe UI" w:hAnsi="Segoe UI" w:cs="Segoe UI"/>
          <w:color w:val="666666"/>
          <w:sz w:val="20"/>
          <w:szCs w:val="20"/>
        </w:rPr>
        <w:t>% in constant currency) to $</w:t>
      </w:r>
      <w:r w:rsidR="008526BE" w:rsidRPr="008465B4">
        <w:rPr>
          <w:rFonts w:ascii="Segoe UI" w:hAnsi="Segoe UI" w:cs="Segoe UI"/>
          <w:color w:val="666666"/>
          <w:sz w:val="20"/>
          <w:szCs w:val="20"/>
        </w:rPr>
        <w:t>8.9</w:t>
      </w:r>
      <w:r w:rsidRPr="008465B4">
        <w:rPr>
          <w:rFonts w:ascii="Segoe UI" w:hAnsi="Segoe UI" w:cs="Segoe UI"/>
          <w:color w:val="666666"/>
          <w:sz w:val="20"/>
          <w:szCs w:val="20"/>
        </w:rPr>
        <w:t xml:space="preserve"> billion, with the following business highlights:</w:t>
      </w:r>
    </w:p>
    <w:p w14:paraId="2A43B90B" w14:textId="0B2FB315" w:rsidR="009C1FF7" w:rsidRPr="008465B4" w:rsidRDefault="00BE6637" w:rsidP="009C1FF7">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Windows OEM non-Pro </w:t>
      </w:r>
      <w:r w:rsidR="00AB730D" w:rsidRPr="008465B4">
        <w:rPr>
          <w:rFonts w:ascii="Segoe UI" w:eastAsia="Segoe UI" w:hAnsi="Segoe UI" w:cs="Segoe UI"/>
          <w:color w:val="666666"/>
          <w:sz w:val="20"/>
          <w:szCs w:val="20"/>
        </w:rPr>
        <w:t xml:space="preserve">revenue </w:t>
      </w:r>
      <w:r w:rsidRPr="008465B4">
        <w:rPr>
          <w:rFonts w:ascii="Segoe UI" w:eastAsia="Segoe UI" w:hAnsi="Segoe UI" w:cs="Segoe UI"/>
          <w:color w:val="666666"/>
          <w:sz w:val="20"/>
          <w:szCs w:val="20"/>
        </w:rPr>
        <w:t>grew 27%</w:t>
      </w:r>
      <w:r w:rsidR="00DC2811">
        <w:rPr>
          <w:rFonts w:ascii="Segoe UI" w:eastAsia="Segoe UI" w:hAnsi="Segoe UI" w:cs="Segoe UI"/>
          <w:color w:val="666666"/>
          <w:sz w:val="20"/>
          <w:szCs w:val="20"/>
        </w:rPr>
        <w:t xml:space="preserve"> (up 27% in constant currency)</w:t>
      </w:r>
      <w:r w:rsidRPr="008465B4">
        <w:rPr>
          <w:rFonts w:ascii="Segoe UI" w:eastAsia="Segoe UI" w:hAnsi="Segoe UI" w:cs="Segoe UI"/>
          <w:color w:val="666666"/>
          <w:sz w:val="20"/>
          <w:szCs w:val="20"/>
        </w:rPr>
        <w:t>, outpacing the consumer PC market</w:t>
      </w:r>
      <w:r w:rsidR="002556CF" w:rsidRPr="008465B4">
        <w:rPr>
          <w:rFonts w:ascii="Segoe UI" w:eastAsia="Segoe UI" w:hAnsi="Segoe UI" w:cs="Segoe UI"/>
          <w:color w:val="666666"/>
          <w:sz w:val="20"/>
          <w:szCs w:val="20"/>
        </w:rPr>
        <w:t>,</w:t>
      </w:r>
      <w:r w:rsidRPr="008465B4">
        <w:rPr>
          <w:rFonts w:ascii="Segoe UI" w:eastAsia="Segoe UI" w:hAnsi="Segoe UI" w:cs="Segoe UI"/>
          <w:color w:val="666666"/>
          <w:sz w:val="20"/>
          <w:szCs w:val="20"/>
        </w:rPr>
        <w:t xml:space="preserve"> </w:t>
      </w:r>
      <w:r w:rsidR="0026469F" w:rsidRPr="008465B4">
        <w:rPr>
          <w:rFonts w:ascii="Segoe UI" w:eastAsia="Segoe UI" w:hAnsi="Segoe UI" w:cs="Segoe UI"/>
          <w:color w:val="666666"/>
          <w:sz w:val="20"/>
          <w:szCs w:val="20"/>
        </w:rPr>
        <w:t xml:space="preserve">and Windows OEM Pro </w:t>
      </w:r>
      <w:r w:rsidR="00AB730D" w:rsidRPr="008465B4">
        <w:rPr>
          <w:rFonts w:ascii="Segoe UI" w:eastAsia="Segoe UI" w:hAnsi="Segoe UI" w:cs="Segoe UI"/>
          <w:color w:val="666666"/>
          <w:sz w:val="20"/>
          <w:szCs w:val="20"/>
        </w:rPr>
        <w:t xml:space="preserve">revenue </w:t>
      </w:r>
      <w:r w:rsidR="0026469F" w:rsidRPr="008465B4">
        <w:rPr>
          <w:rFonts w:ascii="Segoe UI" w:eastAsia="Segoe UI" w:hAnsi="Segoe UI" w:cs="Segoe UI"/>
          <w:color w:val="666666"/>
          <w:sz w:val="20"/>
          <w:szCs w:val="20"/>
        </w:rPr>
        <w:t>grew 2%</w:t>
      </w:r>
      <w:r w:rsidR="00DC2811">
        <w:rPr>
          <w:rFonts w:ascii="Segoe UI" w:eastAsia="Segoe UI" w:hAnsi="Segoe UI" w:cs="Segoe UI"/>
          <w:color w:val="666666"/>
          <w:sz w:val="20"/>
          <w:szCs w:val="20"/>
        </w:rPr>
        <w:t xml:space="preserve"> (up 2% </w:t>
      </w:r>
      <w:r w:rsidR="001B2343">
        <w:rPr>
          <w:rFonts w:ascii="Segoe UI" w:eastAsia="Segoe UI" w:hAnsi="Segoe UI" w:cs="Segoe UI"/>
          <w:color w:val="666666"/>
          <w:sz w:val="20"/>
          <w:szCs w:val="20"/>
        </w:rPr>
        <w:t xml:space="preserve">in </w:t>
      </w:r>
      <w:r w:rsidR="00DC2811">
        <w:rPr>
          <w:rFonts w:ascii="Segoe UI" w:eastAsia="Segoe UI" w:hAnsi="Segoe UI" w:cs="Segoe UI"/>
          <w:color w:val="666666"/>
          <w:sz w:val="20"/>
          <w:szCs w:val="20"/>
        </w:rPr>
        <w:t>constant currency)</w:t>
      </w:r>
    </w:p>
    <w:p w14:paraId="76AE4498" w14:textId="4E67940D" w:rsidR="008F2674" w:rsidRPr="008465B4" w:rsidRDefault="008F2674" w:rsidP="008F2674">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Surface revenue increased </w:t>
      </w:r>
      <w:r w:rsidR="00DC2811">
        <w:rPr>
          <w:rFonts w:ascii="Segoe UI" w:eastAsia="Segoe UI" w:hAnsi="Segoe UI" w:cs="Segoe UI"/>
          <w:color w:val="666666"/>
          <w:sz w:val="20"/>
          <w:szCs w:val="20"/>
        </w:rPr>
        <w:t xml:space="preserve">9% (up </w:t>
      </w:r>
      <w:r w:rsidR="009A0D69" w:rsidRPr="008465B4">
        <w:rPr>
          <w:rFonts w:ascii="Segoe UI" w:eastAsia="Segoe UI" w:hAnsi="Segoe UI" w:cs="Segoe UI"/>
          <w:color w:val="666666"/>
          <w:sz w:val="20"/>
          <w:szCs w:val="20"/>
        </w:rPr>
        <w:t>9</w:t>
      </w:r>
      <w:r w:rsidRPr="008465B4">
        <w:rPr>
          <w:rFonts w:ascii="Segoe UI" w:eastAsia="Segoe UI" w:hAnsi="Segoe UI" w:cs="Segoe UI"/>
          <w:color w:val="666666"/>
          <w:sz w:val="20"/>
          <w:szCs w:val="20"/>
        </w:rPr>
        <w:t>% in constant currency</w:t>
      </w:r>
      <w:r w:rsidR="00DC2811">
        <w:rPr>
          <w:rFonts w:ascii="Segoe UI" w:eastAsia="Segoe UI" w:hAnsi="Segoe UI" w:cs="Segoe UI"/>
          <w:color w:val="666666"/>
          <w:sz w:val="20"/>
          <w:szCs w:val="20"/>
        </w:rPr>
        <w:t>)</w:t>
      </w:r>
      <w:r w:rsidRPr="008465B4">
        <w:rPr>
          <w:rFonts w:ascii="Segoe UI" w:eastAsia="Segoe UI" w:hAnsi="Segoe UI" w:cs="Segoe UI"/>
          <w:color w:val="666666"/>
          <w:sz w:val="20"/>
          <w:szCs w:val="20"/>
        </w:rPr>
        <w:t xml:space="preserve"> driven by Surface </w:t>
      </w:r>
      <w:r w:rsidR="009C1FF7" w:rsidRPr="008465B4">
        <w:rPr>
          <w:rFonts w:ascii="Segoe UI" w:eastAsia="Segoe UI" w:hAnsi="Segoe UI" w:cs="Segoe UI"/>
          <w:color w:val="666666"/>
          <w:sz w:val="20"/>
          <w:szCs w:val="20"/>
        </w:rPr>
        <w:t xml:space="preserve">Pro </w:t>
      </w:r>
      <w:r w:rsidRPr="008465B4">
        <w:rPr>
          <w:rFonts w:ascii="Segoe UI" w:eastAsia="Segoe UI" w:hAnsi="Segoe UI" w:cs="Segoe UI"/>
          <w:color w:val="666666"/>
          <w:sz w:val="20"/>
          <w:szCs w:val="20"/>
        </w:rPr>
        <w:t>4 and Surface Book</w:t>
      </w:r>
    </w:p>
    <w:p w14:paraId="08BD8C92" w14:textId="5FBBA4FF" w:rsidR="008F2674" w:rsidRPr="008465B4" w:rsidRDefault="008F2674" w:rsidP="008F2674">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Phone revenue declined </w:t>
      </w:r>
      <w:r w:rsidR="00DC2811">
        <w:rPr>
          <w:rFonts w:ascii="Segoe UI" w:eastAsia="Segoe UI" w:hAnsi="Segoe UI" w:cs="Segoe UI"/>
          <w:color w:val="666666"/>
          <w:sz w:val="20"/>
          <w:szCs w:val="20"/>
        </w:rPr>
        <w:t xml:space="preserve">71% (down </w:t>
      </w:r>
      <w:r w:rsidR="009A0D69" w:rsidRPr="008465B4">
        <w:rPr>
          <w:rFonts w:ascii="Segoe UI" w:eastAsia="Segoe UI" w:hAnsi="Segoe UI" w:cs="Segoe UI"/>
          <w:color w:val="666666"/>
          <w:sz w:val="20"/>
          <w:szCs w:val="20"/>
        </w:rPr>
        <w:t>70</w:t>
      </w:r>
      <w:r w:rsidRPr="008465B4">
        <w:rPr>
          <w:rFonts w:ascii="Segoe UI" w:eastAsia="Segoe UI" w:hAnsi="Segoe UI" w:cs="Segoe UI"/>
          <w:color w:val="666666"/>
          <w:sz w:val="20"/>
          <w:szCs w:val="20"/>
        </w:rPr>
        <w:t>% in constant currency</w:t>
      </w:r>
      <w:r w:rsidR="00DC2811">
        <w:rPr>
          <w:rFonts w:ascii="Segoe UI" w:eastAsia="Segoe UI" w:hAnsi="Segoe UI" w:cs="Segoe UI"/>
          <w:color w:val="666666"/>
          <w:sz w:val="20"/>
          <w:szCs w:val="20"/>
        </w:rPr>
        <w:t>)</w:t>
      </w:r>
    </w:p>
    <w:p w14:paraId="6AC66EDD" w14:textId="4194D9D0" w:rsidR="008F2674" w:rsidRPr="008465B4" w:rsidRDefault="008F2674" w:rsidP="008F2674">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Xbox Live monthly active users grew </w:t>
      </w:r>
      <w:r w:rsidR="001206AD">
        <w:rPr>
          <w:rFonts w:ascii="Segoe UI" w:eastAsia="Segoe UI" w:hAnsi="Segoe UI" w:cs="Segoe UI"/>
          <w:color w:val="666666"/>
          <w:sz w:val="20"/>
          <w:szCs w:val="20"/>
        </w:rPr>
        <w:t>33</w:t>
      </w:r>
      <w:r w:rsidRPr="008465B4">
        <w:rPr>
          <w:rFonts w:ascii="Segoe UI" w:eastAsia="Segoe UI" w:hAnsi="Segoe UI" w:cs="Segoe UI"/>
          <w:color w:val="666666"/>
          <w:sz w:val="20"/>
          <w:szCs w:val="20"/>
        </w:rPr>
        <w:t xml:space="preserve">% year-over-year to </w:t>
      </w:r>
      <w:r w:rsidR="00402087" w:rsidRPr="008465B4">
        <w:rPr>
          <w:rFonts w:ascii="Segoe UI" w:eastAsia="Segoe UI" w:hAnsi="Segoe UI" w:cs="Segoe UI"/>
          <w:color w:val="666666"/>
          <w:sz w:val="20"/>
          <w:szCs w:val="20"/>
        </w:rPr>
        <w:t>49</w:t>
      </w:r>
      <w:r w:rsidRPr="008465B4">
        <w:rPr>
          <w:rFonts w:ascii="Segoe UI" w:eastAsia="Segoe UI" w:hAnsi="Segoe UI" w:cs="Segoe UI"/>
          <w:color w:val="666666"/>
          <w:sz w:val="20"/>
          <w:szCs w:val="20"/>
        </w:rPr>
        <w:t xml:space="preserve"> million</w:t>
      </w:r>
    </w:p>
    <w:p w14:paraId="59980C78" w14:textId="3EAB445D" w:rsidR="008F2674" w:rsidRPr="008465B4" w:rsidRDefault="00E92F21" w:rsidP="008F2674">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Search advertising revenue excluding traffic acquisition costs grew </w:t>
      </w:r>
      <w:r w:rsidR="00DC2811">
        <w:rPr>
          <w:rFonts w:ascii="Segoe UI" w:eastAsia="Segoe UI" w:hAnsi="Segoe UI" w:cs="Segoe UI"/>
          <w:color w:val="666666"/>
          <w:sz w:val="20"/>
          <w:szCs w:val="20"/>
        </w:rPr>
        <w:t xml:space="preserve">16% (up </w:t>
      </w:r>
      <w:r w:rsidRPr="008465B4">
        <w:rPr>
          <w:rFonts w:ascii="Segoe UI" w:eastAsia="Segoe UI" w:hAnsi="Segoe UI" w:cs="Segoe UI"/>
          <w:color w:val="666666"/>
          <w:sz w:val="20"/>
          <w:szCs w:val="20"/>
        </w:rPr>
        <w:t xml:space="preserve">17% in </w:t>
      </w:r>
      <w:r w:rsidR="00DC2811">
        <w:rPr>
          <w:rFonts w:ascii="Segoe UI" w:eastAsia="Segoe UI" w:hAnsi="Segoe UI" w:cs="Segoe UI"/>
          <w:color w:val="666666"/>
          <w:sz w:val="20"/>
          <w:szCs w:val="20"/>
        </w:rPr>
        <w:t xml:space="preserve">constant currency) </w:t>
      </w:r>
      <w:r w:rsidRPr="008465B4">
        <w:rPr>
          <w:rFonts w:ascii="Segoe UI" w:eastAsia="Segoe UI" w:hAnsi="Segoe UI" w:cs="Segoe UI"/>
          <w:color w:val="666666"/>
          <w:sz w:val="20"/>
          <w:szCs w:val="20"/>
        </w:rPr>
        <w:t>with continued benefit from Windows 10 usage</w:t>
      </w:r>
    </w:p>
    <w:p w14:paraId="4448C458" w14:textId="77777777" w:rsidR="00550AA9" w:rsidRPr="008465B4" w:rsidRDefault="00550AA9" w:rsidP="00550AA9">
      <w:pPr>
        <w:spacing w:line="280" w:lineRule="exact"/>
        <w:rPr>
          <w:rFonts w:ascii="Segoe UI" w:eastAsia="Times New Roman" w:hAnsi="Segoe UI" w:cs="Segoe UI"/>
          <w:b/>
          <w:bCs/>
          <w:color w:val="666666"/>
          <w:sz w:val="20"/>
          <w:szCs w:val="20"/>
        </w:rPr>
      </w:pPr>
      <w:bookmarkStart w:id="1" w:name="_MailEndCompose"/>
      <w:bookmarkEnd w:id="1"/>
      <w:r w:rsidRPr="008465B4">
        <w:rPr>
          <w:rFonts w:ascii="Segoe UI" w:eastAsia="Times New Roman" w:hAnsi="Segoe UI" w:cs="Segoe UI"/>
          <w:b/>
          <w:bCs/>
          <w:color w:val="666666"/>
          <w:sz w:val="20"/>
          <w:szCs w:val="20"/>
        </w:rPr>
        <w:t>Fiscal Year 2016 Results</w:t>
      </w:r>
    </w:p>
    <w:p w14:paraId="36A14F44" w14:textId="77777777" w:rsidR="00550AA9" w:rsidRPr="008465B4" w:rsidRDefault="00550AA9" w:rsidP="00550AA9">
      <w:pPr>
        <w:spacing w:line="280" w:lineRule="exact"/>
        <w:rPr>
          <w:rFonts w:ascii="Segoe UI" w:hAnsi="Segoe UI" w:cs="Segoe UI"/>
          <w:color w:val="666666"/>
          <w:sz w:val="20"/>
          <w:szCs w:val="20"/>
        </w:rPr>
      </w:pPr>
      <w:r w:rsidRPr="008465B4">
        <w:rPr>
          <w:rFonts w:ascii="Segoe UI" w:hAnsi="Segoe UI" w:cs="Segoe UI"/>
          <w:color w:val="666666"/>
          <w:sz w:val="20"/>
          <w:szCs w:val="20"/>
        </w:rPr>
        <w:t>Microsoft Corp. today announced the following results for the fiscal year ended June 30, 2016:</w:t>
      </w:r>
    </w:p>
    <w:p w14:paraId="656AC1BC" w14:textId="77777777" w:rsidR="00550AA9" w:rsidRPr="008465B4" w:rsidRDefault="00550AA9" w:rsidP="00550AA9">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Revenue was $</w:t>
      </w:r>
      <w:r w:rsidR="00A74AED" w:rsidRPr="008465B4">
        <w:rPr>
          <w:rFonts w:ascii="Segoe UI" w:hAnsi="Segoe UI" w:cs="Segoe UI"/>
          <w:color w:val="666666"/>
          <w:sz w:val="20"/>
          <w:szCs w:val="20"/>
        </w:rPr>
        <w:t>85.3</w:t>
      </w:r>
      <w:r w:rsidRPr="008465B4">
        <w:rPr>
          <w:rFonts w:ascii="Segoe UI" w:hAnsi="Segoe UI" w:cs="Segoe UI"/>
          <w:color w:val="666666"/>
          <w:sz w:val="20"/>
          <w:szCs w:val="20"/>
        </w:rPr>
        <w:t xml:space="preserve"> billion GAAP, and $</w:t>
      </w:r>
      <w:r w:rsidR="00A74AED" w:rsidRPr="008465B4">
        <w:rPr>
          <w:rFonts w:ascii="Segoe UI" w:hAnsi="Segoe UI" w:cs="Segoe UI"/>
          <w:color w:val="666666"/>
          <w:sz w:val="20"/>
          <w:szCs w:val="20"/>
        </w:rPr>
        <w:t>92.0</w:t>
      </w:r>
      <w:r w:rsidRPr="008465B4">
        <w:rPr>
          <w:rFonts w:ascii="Segoe UI" w:hAnsi="Segoe UI" w:cs="Segoe UI"/>
          <w:color w:val="666666"/>
          <w:sz w:val="20"/>
          <w:szCs w:val="20"/>
        </w:rPr>
        <w:t xml:space="preserve"> billion non-GAAP</w:t>
      </w:r>
    </w:p>
    <w:p w14:paraId="4B9747ED" w14:textId="77777777" w:rsidR="00550AA9" w:rsidRPr="008465B4" w:rsidRDefault="00550AA9" w:rsidP="00550AA9">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Operating income was $</w:t>
      </w:r>
      <w:r w:rsidR="00A74AED" w:rsidRPr="008465B4">
        <w:rPr>
          <w:rFonts w:ascii="Segoe UI" w:hAnsi="Segoe UI" w:cs="Segoe UI"/>
          <w:color w:val="666666"/>
          <w:sz w:val="20"/>
          <w:szCs w:val="20"/>
        </w:rPr>
        <w:t>20.2</w:t>
      </w:r>
      <w:r w:rsidRPr="008465B4">
        <w:rPr>
          <w:rFonts w:ascii="Segoe UI" w:hAnsi="Segoe UI" w:cs="Segoe UI"/>
          <w:color w:val="666666"/>
          <w:sz w:val="20"/>
          <w:szCs w:val="20"/>
        </w:rPr>
        <w:t xml:space="preserve"> billion GAAP, and $</w:t>
      </w:r>
      <w:r w:rsidR="00A74AED" w:rsidRPr="008465B4">
        <w:rPr>
          <w:rFonts w:ascii="Segoe UI" w:hAnsi="Segoe UI" w:cs="Segoe UI"/>
          <w:color w:val="666666"/>
          <w:sz w:val="20"/>
          <w:szCs w:val="20"/>
        </w:rPr>
        <w:t>2</w:t>
      </w:r>
      <w:r w:rsidR="00003AA9" w:rsidRPr="008465B4">
        <w:rPr>
          <w:rFonts w:ascii="Segoe UI" w:hAnsi="Segoe UI" w:cs="Segoe UI"/>
          <w:color w:val="666666"/>
          <w:sz w:val="20"/>
          <w:szCs w:val="20"/>
        </w:rPr>
        <w:t>7</w:t>
      </w:r>
      <w:r w:rsidR="00A74AED" w:rsidRPr="008465B4">
        <w:rPr>
          <w:rFonts w:ascii="Segoe UI" w:hAnsi="Segoe UI" w:cs="Segoe UI"/>
          <w:color w:val="666666"/>
          <w:sz w:val="20"/>
          <w:szCs w:val="20"/>
        </w:rPr>
        <w:t>.</w:t>
      </w:r>
      <w:r w:rsidR="00003AA9" w:rsidRPr="008465B4">
        <w:rPr>
          <w:rFonts w:ascii="Segoe UI" w:hAnsi="Segoe UI" w:cs="Segoe UI"/>
          <w:color w:val="666666"/>
          <w:sz w:val="20"/>
          <w:szCs w:val="20"/>
        </w:rPr>
        <w:t>9</w:t>
      </w:r>
      <w:r w:rsidRPr="008465B4">
        <w:rPr>
          <w:rFonts w:ascii="Segoe UI" w:hAnsi="Segoe UI" w:cs="Segoe UI"/>
          <w:color w:val="666666"/>
          <w:sz w:val="20"/>
          <w:szCs w:val="20"/>
        </w:rPr>
        <w:t xml:space="preserve"> billion non-GAAP</w:t>
      </w:r>
    </w:p>
    <w:p w14:paraId="05AF27E4" w14:textId="77777777" w:rsidR="00550AA9" w:rsidRPr="008465B4" w:rsidRDefault="00550AA9" w:rsidP="00550AA9">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Net income was $</w:t>
      </w:r>
      <w:r w:rsidR="00A74AED" w:rsidRPr="008465B4">
        <w:rPr>
          <w:rFonts w:ascii="Segoe UI" w:hAnsi="Segoe UI" w:cs="Segoe UI"/>
          <w:color w:val="666666"/>
          <w:sz w:val="20"/>
          <w:szCs w:val="20"/>
        </w:rPr>
        <w:t>16.8</w:t>
      </w:r>
      <w:r w:rsidRPr="008465B4">
        <w:rPr>
          <w:rFonts w:ascii="Segoe UI" w:hAnsi="Segoe UI" w:cs="Segoe UI"/>
          <w:color w:val="666666"/>
          <w:sz w:val="20"/>
          <w:szCs w:val="20"/>
        </w:rPr>
        <w:t xml:space="preserve"> billion GAAP, and $</w:t>
      </w:r>
      <w:r w:rsidR="00A74AED" w:rsidRPr="008465B4">
        <w:rPr>
          <w:rFonts w:ascii="Segoe UI" w:hAnsi="Segoe UI" w:cs="Segoe UI"/>
          <w:color w:val="666666"/>
          <w:sz w:val="20"/>
          <w:szCs w:val="20"/>
        </w:rPr>
        <w:t>22.</w:t>
      </w:r>
      <w:r w:rsidR="00003AA9" w:rsidRPr="008465B4">
        <w:rPr>
          <w:rFonts w:ascii="Segoe UI" w:hAnsi="Segoe UI" w:cs="Segoe UI"/>
          <w:color w:val="666666"/>
          <w:sz w:val="20"/>
          <w:szCs w:val="20"/>
        </w:rPr>
        <w:t>3</w:t>
      </w:r>
      <w:r w:rsidRPr="008465B4">
        <w:rPr>
          <w:rFonts w:ascii="Segoe UI" w:hAnsi="Segoe UI" w:cs="Segoe UI"/>
          <w:color w:val="666666"/>
          <w:sz w:val="20"/>
          <w:szCs w:val="20"/>
        </w:rPr>
        <w:t xml:space="preserve"> billion non-GAAP</w:t>
      </w:r>
    </w:p>
    <w:p w14:paraId="2B9A12AC" w14:textId="77777777" w:rsidR="00550AA9" w:rsidRPr="008465B4" w:rsidRDefault="00E878DE" w:rsidP="00550AA9">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Diluted e</w:t>
      </w:r>
      <w:r w:rsidR="00550AA9" w:rsidRPr="008465B4">
        <w:rPr>
          <w:rFonts w:ascii="Segoe UI" w:hAnsi="Segoe UI" w:cs="Segoe UI"/>
          <w:color w:val="666666"/>
          <w:sz w:val="20"/>
          <w:szCs w:val="20"/>
        </w:rPr>
        <w:t>arnings per share was $</w:t>
      </w:r>
      <w:r w:rsidR="00A74AED" w:rsidRPr="008465B4">
        <w:rPr>
          <w:rFonts w:ascii="Segoe UI" w:hAnsi="Segoe UI" w:cs="Segoe UI"/>
          <w:color w:val="666666"/>
          <w:sz w:val="20"/>
          <w:szCs w:val="20"/>
        </w:rPr>
        <w:t>2.10</w:t>
      </w:r>
      <w:r w:rsidR="00550AA9" w:rsidRPr="008465B4">
        <w:rPr>
          <w:rFonts w:ascii="Segoe UI" w:hAnsi="Segoe UI" w:cs="Segoe UI"/>
          <w:color w:val="666666"/>
          <w:sz w:val="20"/>
          <w:szCs w:val="20"/>
        </w:rPr>
        <w:t xml:space="preserve"> GAAP, and $</w:t>
      </w:r>
      <w:r w:rsidR="00A74AED" w:rsidRPr="008465B4">
        <w:rPr>
          <w:rFonts w:ascii="Segoe UI" w:hAnsi="Segoe UI" w:cs="Segoe UI"/>
          <w:color w:val="666666"/>
          <w:sz w:val="20"/>
          <w:szCs w:val="20"/>
        </w:rPr>
        <w:t>2.79</w:t>
      </w:r>
      <w:r w:rsidR="00550AA9" w:rsidRPr="008465B4">
        <w:rPr>
          <w:rFonts w:ascii="Segoe UI" w:hAnsi="Segoe UI" w:cs="Segoe UI"/>
          <w:color w:val="666666"/>
          <w:sz w:val="20"/>
          <w:szCs w:val="20"/>
        </w:rPr>
        <w:t xml:space="preserve"> non-GAAP</w:t>
      </w:r>
    </w:p>
    <w:p w14:paraId="50CB16D7" w14:textId="7E6BD762" w:rsidR="008E0FC4" w:rsidRDefault="007148CD" w:rsidP="008D0744">
      <w:pPr>
        <w:spacing w:before="240" w:line="280" w:lineRule="exact"/>
        <w:rPr>
          <w:rFonts w:ascii="Segoe UI" w:hAnsi="Segoe UI" w:cs="Segoe UI"/>
          <w:color w:val="666666"/>
          <w:sz w:val="20"/>
          <w:szCs w:val="20"/>
        </w:rPr>
      </w:pPr>
      <w:r w:rsidRPr="008465B4">
        <w:rPr>
          <w:rFonts w:ascii="Segoe UI" w:hAnsi="Segoe UI" w:cs="Segoe UI"/>
          <w:color w:val="666666"/>
          <w:sz w:val="20"/>
          <w:szCs w:val="20"/>
        </w:rPr>
        <w:t xml:space="preserve">The following table reconciles our financial results reported in accordance with GAAP to non-GAAP financial results. Microsoft has provided this non-GAAP financial information to aid investors in better understanding the company’s performance. </w:t>
      </w:r>
      <w:r w:rsidR="009B770F" w:rsidRPr="008465B4">
        <w:rPr>
          <w:rFonts w:ascii="Segoe UI" w:hAnsi="Segoe UI" w:cs="Segoe UI"/>
          <w:color w:val="666666"/>
          <w:sz w:val="20"/>
          <w:szCs w:val="20"/>
        </w:rPr>
        <w:t xml:space="preserve">The items included in our non-GAAP presentation have changed this quarter to reflect the recent </w:t>
      </w:r>
      <w:r w:rsidR="00785FE0">
        <w:rPr>
          <w:rFonts w:ascii="Segoe UI" w:hAnsi="Segoe UI" w:cs="Segoe UI"/>
          <w:color w:val="666666"/>
          <w:sz w:val="20"/>
          <w:szCs w:val="20"/>
        </w:rPr>
        <w:t>Securities and Exchange Commission (“</w:t>
      </w:r>
      <w:r w:rsidR="009B770F" w:rsidRPr="008465B4">
        <w:rPr>
          <w:rFonts w:ascii="Segoe UI" w:hAnsi="Segoe UI" w:cs="Segoe UI"/>
          <w:color w:val="666666"/>
          <w:sz w:val="20"/>
          <w:szCs w:val="20"/>
        </w:rPr>
        <w:t>SEC</w:t>
      </w:r>
      <w:r w:rsidR="00785FE0">
        <w:rPr>
          <w:rFonts w:ascii="Segoe UI" w:hAnsi="Segoe UI" w:cs="Segoe UI"/>
          <w:color w:val="666666"/>
          <w:sz w:val="20"/>
          <w:szCs w:val="20"/>
        </w:rPr>
        <w:t>”)</w:t>
      </w:r>
      <w:r w:rsidR="009B770F" w:rsidRPr="008465B4">
        <w:rPr>
          <w:rFonts w:ascii="Segoe UI" w:hAnsi="Segoe UI" w:cs="Segoe UI"/>
          <w:color w:val="666666"/>
          <w:sz w:val="20"/>
          <w:szCs w:val="20"/>
        </w:rPr>
        <w:t xml:space="preserve"> Compliance &amp; Disclosure Interpretations ("C&amp;DIs"). </w:t>
      </w:r>
      <w:r w:rsidR="00D17327" w:rsidRPr="008465B4">
        <w:rPr>
          <w:rFonts w:ascii="Segoe UI" w:hAnsi="Segoe UI" w:cs="Segoe UI"/>
          <w:color w:val="666666"/>
          <w:sz w:val="20"/>
          <w:szCs w:val="20"/>
        </w:rPr>
        <w:t xml:space="preserve">Additional information regarding non-GAAP definitions is provided below. </w:t>
      </w:r>
      <w:r w:rsidRPr="008465B4">
        <w:rPr>
          <w:rFonts w:ascii="Segoe UI" w:hAnsi="Segoe UI" w:cs="Segoe UI"/>
          <w:color w:val="666666"/>
          <w:sz w:val="20"/>
          <w:szCs w:val="20"/>
        </w:rPr>
        <w:t>All growth comparisons relate to the corresponding period in the last fiscal year.</w:t>
      </w:r>
    </w:p>
    <w:p w14:paraId="11992B01" w14:textId="77777777" w:rsidR="008E0FC4" w:rsidRDefault="008E0FC4">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9792" w:type="dxa"/>
        <w:tblLayout w:type="fixed"/>
        <w:tblLook w:val="04A0" w:firstRow="1" w:lastRow="0" w:firstColumn="1" w:lastColumn="0" w:noHBand="0" w:noVBand="1"/>
      </w:tblPr>
      <w:tblGrid>
        <w:gridCol w:w="4500"/>
        <w:gridCol w:w="108"/>
        <w:gridCol w:w="1296"/>
        <w:gridCol w:w="1296"/>
        <w:gridCol w:w="1296"/>
        <w:gridCol w:w="864"/>
        <w:gridCol w:w="432"/>
      </w:tblGrid>
      <w:tr w:rsidR="002E5EC1" w:rsidRPr="008465B4" w14:paraId="101D7281" w14:textId="77777777" w:rsidTr="00B519D0">
        <w:trPr>
          <w:gridAfter w:val="1"/>
          <w:wAfter w:w="432" w:type="dxa"/>
          <w:trHeight w:val="340"/>
        </w:trPr>
        <w:tc>
          <w:tcPr>
            <w:tcW w:w="4500" w:type="dxa"/>
            <w:tcBorders>
              <w:top w:val="nil"/>
              <w:left w:val="nil"/>
              <w:bottom w:val="double" w:sz="4" w:space="0" w:color="auto"/>
              <w:right w:val="nil"/>
            </w:tcBorders>
            <w:vAlign w:val="center"/>
          </w:tcPr>
          <w:p w14:paraId="1A382574" w14:textId="77777777" w:rsidR="002E5EC1" w:rsidRPr="008465B4" w:rsidRDefault="002E5EC1" w:rsidP="00210D75">
            <w:pPr>
              <w:spacing w:after="0" w:line="240" w:lineRule="auto"/>
              <w:rPr>
                <w:rFonts w:ascii="Segoe UI" w:eastAsia="Times New Roman" w:hAnsi="Segoe UI" w:cs="Segoe UI"/>
                <w:color w:val="666666"/>
                <w:sz w:val="16"/>
                <w:szCs w:val="16"/>
              </w:rPr>
            </w:pPr>
          </w:p>
        </w:tc>
        <w:tc>
          <w:tcPr>
            <w:tcW w:w="4860" w:type="dxa"/>
            <w:gridSpan w:val="5"/>
            <w:tcBorders>
              <w:top w:val="nil"/>
              <w:left w:val="nil"/>
              <w:bottom w:val="double" w:sz="4" w:space="0" w:color="auto"/>
            </w:tcBorders>
          </w:tcPr>
          <w:p w14:paraId="77018377" w14:textId="77777777" w:rsidR="002E5EC1" w:rsidRPr="008465B4" w:rsidRDefault="002E5EC1"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Twelve Months Ended June 30,</w:t>
            </w:r>
          </w:p>
        </w:tc>
      </w:tr>
      <w:tr w:rsidR="002E5EC1" w:rsidRPr="008465B4" w14:paraId="62089B98" w14:textId="77777777" w:rsidTr="00B519D0">
        <w:trPr>
          <w:trHeight w:val="365"/>
        </w:trPr>
        <w:tc>
          <w:tcPr>
            <w:tcW w:w="4608" w:type="dxa"/>
            <w:gridSpan w:val="2"/>
            <w:tcBorders>
              <w:top w:val="double" w:sz="6" w:space="0" w:color="auto"/>
              <w:left w:val="nil"/>
              <w:bottom w:val="single" w:sz="8" w:space="0" w:color="666666"/>
              <w:right w:val="nil"/>
            </w:tcBorders>
            <w:vAlign w:val="bottom"/>
            <w:hideMark/>
          </w:tcPr>
          <w:p w14:paraId="54BE8585" w14:textId="77777777" w:rsidR="002E5EC1" w:rsidRPr="008465B4" w:rsidRDefault="002E5EC1" w:rsidP="00210D75">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296" w:type="dxa"/>
            <w:tcBorders>
              <w:top w:val="double" w:sz="6" w:space="0" w:color="auto"/>
              <w:left w:val="nil"/>
              <w:bottom w:val="single" w:sz="8" w:space="0" w:color="666666"/>
              <w:right w:val="nil"/>
            </w:tcBorders>
            <w:vAlign w:val="bottom"/>
          </w:tcPr>
          <w:p w14:paraId="2C15242C" w14:textId="77777777" w:rsidR="002E5EC1" w:rsidRPr="008465B4" w:rsidRDefault="002E5EC1"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296" w:type="dxa"/>
            <w:tcBorders>
              <w:top w:val="double" w:sz="6" w:space="0" w:color="auto"/>
              <w:left w:val="nil"/>
              <w:bottom w:val="single" w:sz="8" w:space="0" w:color="666666"/>
              <w:right w:val="nil"/>
            </w:tcBorders>
            <w:vAlign w:val="bottom"/>
          </w:tcPr>
          <w:p w14:paraId="42197231" w14:textId="77777777" w:rsidR="002E5EC1" w:rsidRPr="008465B4" w:rsidRDefault="002E5EC1"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Operating Income</w:t>
            </w:r>
          </w:p>
        </w:tc>
        <w:tc>
          <w:tcPr>
            <w:tcW w:w="1296" w:type="dxa"/>
            <w:tcBorders>
              <w:top w:val="double" w:sz="6" w:space="0" w:color="auto"/>
              <w:left w:val="nil"/>
              <w:bottom w:val="single" w:sz="8" w:space="0" w:color="666666"/>
              <w:right w:val="nil"/>
            </w:tcBorders>
            <w:vAlign w:val="bottom"/>
          </w:tcPr>
          <w:p w14:paraId="653EA335" w14:textId="77777777" w:rsidR="002E5EC1" w:rsidRPr="008465B4" w:rsidRDefault="002E5EC1"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Net Income</w:t>
            </w:r>
          </w:p>
        </w:tc>
        <w:tc>
          <w:tcPr>
            <w:tcW w:w="1296" w:type="dxa"/>
            <w:gridSpan w:val="2"/>
            <w:tcBorders>
              <w:top w:val="double" w:sz="6" w:space="0" w:color="auto"/>
              <w:left w:val="nil"/>
              <w:bottom w:val="single" w:sz="8" w:space="0" w:color="666666"/>
              <w:right w:val="nil"/>
            </w:tcBorders>
            <w:vAlign w:val="bottom"/>
          </w:tcPr>
          <w:p w14:paraId="2F080730" w14:textId="77777777" w:rsidR="002E5EC1" w:rsidRPr="008465B4" w:rsidRDefault="00E878DE"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per Share</w:t>
            </w:r>
          </w:p>
        </w:tc>
      </w:tr>
      <w:tr w:rsidR="002E5EC1" w:rsidRPr="008465B4" w14:paraId="0267B026" w14:textId="77777777" w:rsidTr="00B519D0">
        <w:trPr>
          <w:trHeight w:val="288"/>
        </w:trPr>
        <w:tc>
          <w:tcPr>
            <w:tcW w:w="4608" w:type="dxa"/>
            <w:gridSpan w:val="2"/>
            <w:tcBorders>
              <w:top w:val="single" w:sz="8" w:space="0" w:color="666666"/>
              <w:left w:val="nil"/>
              <w:bottom w:val="single" w:sz="4" w:space="0" w:color="auto"/>
              <w:right w:val="nil"/>
            </w:tcBorders>
            <w:noWrap/>
            <w:vAlign w:val="center"/>
          </w:tcPr>
          <w:p w14:paraId="7F460A47" w14:textId="77777777" w:rsidR="002E5EC1" w:rsidRPr="008465B4" w:rsidRDefault="002E5EC1"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296" w:type="dxa"/>
            <w:tcBorders>
              <w:top w:val="single" w:sz="8" w:space="0" w:color="666666"/>
              <w:left w:val="nil"/>
              <w:bottom w:val="single" w:sz="4" w:space="0" w:color="auto"/>
              <w:right w:val="nil"/>
            </w:tcBorders>
            <w:vAlign w:val="center"/>
          </w:tcPr>
          <w:p w14:paraId="3D0553DC" w14:textId="77777777" w:rsidR="002E5EC1" w:rsidRPr="008465B4" w:rsidRDefault="002E5EC1" w:rsidP="006437C3">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$93,580</w:t>
            </w:r>
          </w:p>
        </w:tc>
        <w:tc>
          <w:tcPr>
            <w:tcW w:w="1296" w:type="dxa"/>
            <w:tcBorders>
              <w:top w:val="single" w:sz="8" w:space="0" w:color="666666"/>
              <w:left w:val="nil"/>
              <w:bottom w:val="single" w:sz="4" w:space="0" w:color="auto"/>
              <w:right w:val="nil"/>
            </w:tcBorders>
            <w:vAlign w:val="center"/>
          </w:tcPr>
          <w:p w14:paraId="106EE163"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$18,161</w:t>
            </w:r>
          </w:p>
        </w:tc>
        <w:tc>
          <w:tcPr>
            <w:tcW w:w="1296" w:type="dxa"/>
            <w:tcBorders>
              <w:top w:val="single" w:sz="8" w:space="0" w:color="666666"/>
              <w:left w:val="nil"/>
              <w:bottom w:val="single" w:sz="4" w:space="0" w:color="auto"/>
              <w:right w:val="nil"/>
            </w:tcBorders>
            <w:vAlign w:val="center"/>
          </w:tcPr>
          <w:p w14:paraId="08C94ADD"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$12,193</w:t>
            </w:r>
          </w:p>
        </w:tc>
        <w:tc>
          <w:tcPr>
            <w:tcW w:w="1296" w:type="dxa"/>
            <w:gridSpan w:val="2"/>
            <w:tcBorders>
              <w:top w:val="single" w:sz="8" w:space="0" w:color="666666"/>
              <w:left w:val="nil"/>
              <w:bottom w:val="single" w:sz="4" w:space="0" w:color="auto"/>
              <w:right w:val="nil"/>
            </w:tcBorders>
            <w:vAlign w:val="center"/>
          </w:tcPr>
          <w:p w14:paraId="2D49C718"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$1.48</w:t>
            </w:r>
          </w:p>
        </w:tc>
      </w:tr>
      <w:tr w:rsidR="002E5EC1" w:rsidRPr="008465B4" w14:paraId="06458DD1"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5EDD5FC5" w14:textId="77777777" w:rsidR="002E5EC1" w:rsidRPr="008465B4" w:rsidRDefault="00B9443B"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Impairment, Integration, and Restructuring </w:t>
            </w:r>
            <w:r w:rsidR="004A521B" w:rsidRPr="008465B4">
              <w:rPr>
                <w:rFonts w:ascii="Segoe UI" w:eastAsia="Times New Roman" w:hAnsi="Segoe UI" w:cs="Segoe UI"/>
                <w:bCs/>
                <w:color w:val="666666"/>
                <w:sz w:val="16"/>
                <w:szCs w:val="16"/>
              </w:rPr>
              <w:t>Expenses</w:t>
            </w:r>
          </w:p>
        </w:tc>
        <w:tc>
          <w:tcPr>
            <w:tcW w:w="1296" w:type="dxa"/>
            <w:tcBorders>
              <w:top w:val="single" w:sz="4" w:space="0" w:color="auto"/>
              <w:left w:val="nil"/>
              <w:bottom w:val="single" w:sz="4" w:space="0" w:color="auto"/>
              <w:right w:val="nil"/>
            </w:tcBorders>
            <w:vAlign w:val="center"/>
          </w:tcPr>
          <w:p w14:paraId="6DAFEAB9" w14:textId="77777777" w:rsidR="002E5EC1" w:rsidRPr="008465B4" w:rsidRDefault="002E5EC1"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tcBorders>
              <w:top w:val="single" w:sz="4" w:space="0" w:color="auto"/>
              <w:left w:val="nil"/>
              <w:bottom w:val="single" w:sz="4" w:space="0" w:color="auto"/>
              <w:right w:val="nil"/>
            </w:tcBorders>
            <w:vAlign w:val="center"/>
          </w:tcPr>
          <w:p w14:paraId="10CCAA1B" w14:textId="77777777" w:rsidR="002E5EC1" w:rsidRPr="008465B4" w:rsidRDefault="00505A6F"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10,011</w:t>
            </w:r>
          </w:p>
        </w:tc>
        <w:tc>
          <w:tcPr>
            <w:tcW w:w="1296" w:type="dxa"/>
            <w:tcBorders>
              <w:top w:val="single" w:sz="4" w:space="0" w:color="auto"/>
              <w:left w:val="nil"/>
              <w:bottom w:val="single" w:sz="4" w:space="0" w:color="auto"/>
              <w:right w:val="nil"/>
            </w:tcBorders>
            <w:vAlign w:val="center"/>
          </w:tcPr>
          <w:p w14:paraId="16A67AB2" w14:textId="77777777" w:rsidR="002E5EC1" w:rsidRPr="008465B4" w:rsidRDefault="00505A6F"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9,</w:t>
            </w:r>
            <w:r w:rsidR="00410737" w:rsidRPr="008465B4">
              <w:rPr>
                <w:rFonts w:ascii="Segoe UI" w:eastAsia="Times New Roman" w:hAnsi="Segoe UI" w:cs="Segoe UI"/>
                <w:bCs/>
                <w:color w:val="666666"/>
                <w:sz w:val="16"/>
                <w:szCs w:val="16"/>
              </w:rPr>
              <w:t>494</w:t>
            </w:r>
          </w:p>
        </w:tc>
        <w:tc>
          <w:tcPr>
            <w:tcW w:w="1296" w:type="dxa"/>
            <w:gridSpan w:val="2"/>
            <w:tcBorders>
              <w:top w:val="single" w:sz="4" w:space="0" w:color="auto"/>
              <w:left w:val="nil"/>
              <w:bottom w:val="single" w:sz="4" w:space="0" w:color="auto"/>
              <w:right w:val="nil"/>
            </w:tcBorders>
            <w:vAlign w:val="center"/>
          </w:tcPr>
          <w:p w14:paraId="0BBDAA93" w14:textId="77777777" w:rsidR="002E5EC1" w:rsidRPr="008465B4" w:rsidRDefault="00505A6F"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$1.15</w:t>
            </w:r>
          </w:p>
        </w:tc>
      </w:tr>
      <w:tr w:rsidR="002E5EC1" w:rsidRPr="008465B4" w14:paraId="6FD680E7"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355E382F" w14:textId="77777777" w:rsidR="002E5EC1" w:rsidRPr="008465B4" w:rsidRDefault="002E5EC1"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Adjusted (non-GAAP)</w:t>
            </w:r>
          </w:p>
        </w:tc>
        <w:tc>
          <w:tcPr>
            <w:tcW w:w="1296" w:type="dxa"/>
            <w:tcBorders>
              <w:top w:val="single" w:sz="4" w:space="0" w:color="auto"/>
              <w:left w:val="nil"/>
              <w:bottom w:val="single" w:sz="4" w:space="0" w:color="auto"/>
              <w:right w:val="nil"/>
            </w:tcBorders>
            <w:vAlign w:val="center"/>
          </w:tcPr>
          <w:p w14:paraId="7A9E31D2" w14:textId="77777777" w:rsidR="002E5EC1" w:rsidRPr="008465B4" w:rsidRDefault="002E5EC1" w:rsidP="006437C3">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505A6F" w:rsidRPr="008465B4">
              <w:rPr>
                <w:rFonts w:ascii="Segoe UI" w:eastAsia="Times New Roman" w:hAnsi="Segoe UI" w:cs="Segoe UI"/>
                <w:b/>
                <w:bCs/>
                <w:color w:val="666666"/>
                <w:sz w:val="16"/>
                <w:szCs w:val="16"/>
              </w:rPr>
              <w:t>93,</w:t>
            </w:r>
            <w:r w:rsidR="004F0846" w:rsidRPr="008465B4">
              <w:rPr>
                <w:rFonts w:ascii="Segoe UI" w:eastAsia="Times New Roman" w:hAnsi="Segoe UI" w:cs="Segoe UI"/>
                <w:b/>
                <w:bCs/>
                <w:color w:val="666666"/>
                <w:sz w:val="16"/>
                <w:szCs w:val="16"/>
              </w:rPr>
              <w:t>580</w:t>
            </w:r>
          </w:p>
        </w:tc>
        <w:tc>
          <w:tcPr>
            <w:tcW w:w="1296" w:type="dxa"/>
            <w:tcBorders>
              <w:top w:val="single" w:sz="4" w:space="0" w:color="auto"/>
              <w:left w:val="nil"/>
              <w:bottom w:val="single" w:sz="4" w:space="0" w:color="auto"/>
              <w:right w:val="nil"/>
            </w:tcBorders>
            <w:vAlign w:val="center"/>
          </w:tcPr>
          <w:p w14:paraId="21EA41D2"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4F0846" w:rsidRPr="008465B4">
              <w:rPr>
                <w:rFonts w:ascii="Segoe UI" w:eastAsia="Times New Roman" w:hAnsi="Segoe UI" w:cs="Segoe UI"/>
                <w:b/>
                <w:bCs/>
                <w:color w:val="666666"/>
                <w:sz w:val="16"/>
                <w:szCs w:val="16"/>
              </w:rPr>
              <w:t>28,172</w:t>
            </w:r>
          </w:p>
        </w:tc>
        <w:tc>
          <w:tcPr>
            <w:tcW w:w="1296" w:type="dxa"/>
            <w:tcBorders>
              <w:top w:val="single" w:sz="4" w:space="0" w:color="auto"/>
              <w:left w:val="nil"/>
              <w:bottom w:val="single" w:sz="4" w:space="0" w:color="auto"/>
              <w:right w:val="nil"/>
            </w:tcBorders>
            <w:vAlign w:val="center"/>
          </w:tcPr>
          <w:p w14:paraId="32EBEAEF"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505A6F" w:rsidRPr="008465B4">
              <w:rPr>
                <w:rFonts w:ascii="Segoe UI" w:eastAsia="Times New Roman" w:hAnsi="Segoe UI" w:cs="Segoe UI"/>
                <w:b/>
                <w:bCs/>
                <w:color w:val="666666"/>
                <w:sz w:val="16"/>
                <w:szCs w:val="16"/>
              </w:rPr>
              <w:t>21,</w:t>
            </w:r>
            <w:r w:rsidR="00EB6620" w:rsidRPr="008465B4">
              <w:rPr>
                <w:rFonts w:ascii="Segoe UI" w:eastAsia="Times New Roman" w:hAnsi="Segoe UI" w:cs="Segoe UI"/>
                <w:b/>
                <w:bCs/>
                <w:color w:val="666666"/>
                <w:sz w:val="16"/>
                <w:szCs w:val="16"/>
              </w:rPr>
              <w:t>687</w:t>
            </w:r>
          </w:p>
        </w:tc>
        <w:tc>
          <w:tcPr>
            <w:tcW w:w="1296" w:type="dxa"/>
            <w:gridSpan w:val="2"/>
            <w:tcBorders>
              <w:top w:val="single" w:sz="4" w:space="0" w:color="auto"/>
              <w:left w:val="nil"/>
              <w:bottom w:val="single" w:sz="4" w:space="0" w:color="auto"/>
              <w:right w:val="nil"/>
            </w:tcBorders>
            <w:vAlign w:val="center"/>
          </w:tcPr>
          <w:p w14:paraId="1FA09DE8"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F70CB5" w:rsidRPr="008465B4">
              <w:rPr>
                <w:rFonts w:ascii="Segoe UI" w:eastAsia="Times New Roman" w:hAnsi="Segoe UI" w:cs="Segoe UI"/>
                <w:b/>
                <w:bCs/>
                <w:color w:val="666666"/>
                <w:sz w:val="16"/>
                <w:szCs w:val="16"/>
              </w:rPr>
              <w:t>2.6</w:t>
            </w:r>
            <w:r w:rsidR="004F0846" w:rsidRPr="008465B4">
              <w:rPr>
                <w:rFonts w:ascii="Segoe UI" w:eastAsia="Times New Roman" w:hAnsi="Segoe UI" w:cs="Segoe UI"/>
                <w:b/>
                <w:bCs/>
                <w:color w:val="666666"/>
                <w:sz w:val="16"/>
                <w:szCs w:val="16"/>
              </w:rPr>
              <w:t>3</w:t>
            </w:r>
          </w:p>
        </w:tc>
      </w:tr>
      <w:tr w:rsidR="002E5EC1" w:rsidRPr="008465B4" w14:paraId="5356BB80"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131C23E5" w14:textId="77777777" w:rsidR="002E5EC1" w:rsidRPr="008465B4" w:rsidRDefault="002E5EC1"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296" w:type="dxa"/>
            <w:tcBorders>
              <w:top w:val="single" w:sz="4" w:space="0" w:color="auto"/>
              <w:left w:val="nil"/>
              <w:bottom w:val="single" w:sz="4" w:space="0" w:color="auto"/>
              <w:right w:val="nil"/>
            </w:tcBorders>
            <w:vAlign w:val="center"/>
          </w:tcPr>
          <w:p w14:paraId="3999B2FA"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7A41B4" w:rsidRPr="008465B4">
              <w:rPr>
                <w:rFonts w:ascii="Segoe UI" w:eastAsia="Times New Roman" w:hAnsi="Segoe UI" w:cs="Segoe UI"/>
                <w:b/>
                <w:bCs/>
                <w:color w:val="666666"/>
                <w:sz w:val="16"/>
                <w:szCs w:val="16"/>
              </w:rPr>
              <w:t>85,320</w:t>
            </w:r>
          </w:p>
        </w:tc>
        <w:tc>
          <w:tcPr>
            <w:tcW w:w="1296" w:type="dxa"/>
            <w:tcBorders>
              <w:top w:val="single" w:sz="4" w:space="0" w:color="auto"/>
              <w:left w:val="nil"/>
              <w:bottom w:val="single" w:sz="4" w:space="0" w:color="auto"/>
              <w:right w:val="nil"/>
            </w:tcBorders>
            <w:vAlign w:val="center"/>
          </w:tcPr>
          <w:p w14:paraId="5873EFCB"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E9022D" w:rsidRPr="008465B4">
              <w:rPr>
                <w:rFonts w:ascii="Segoe UI" w:eastAsia="Times New Roman" w:hAnsi="Segoe UI" w:cs="Segoe UI"/>
                <w:b/>
                <w:bCs/>
                <w:color w:val="666666"/>
                <w:sz w:val="16"/>
                <w:szCs w:val="16"/>
              </w:rPr>
              <w:t>20</w:t>
            </w:r>
            <w:r w:rsidR="007A41B4" w:rsidRPr="008465B4">
              <w:rPr>
                <w:rFonts w:ascii="Segoe UI" w:eastAsia="Times New Roman" w:hAnsi="Segoe UI" w:cs="Segoe UI"/>
                <w:b/>
                <w:bCs/>
                <w:color w:val="666666"/>
                <w:sz w:val="16"/>
                <w:szCs w:val="16"/>
              </w:rPr>
              <w:t>,</w:t>
            </w:r>
            <w:r w:rsidR="00E9022D" w:rsidRPr="008465B4">
              <w:rPr>
                <w:rFonts w:ascii="Segoe UI" w:eastAsia="Times New Roman" w:hAnsi="Segoe UI" w:cs="Segoe UI"/>
                <w:b/>
                <w:bCs/>
                <w:color w:val="666666"/>
                <w:sz w:val="16"/>
                <w:szCs w:val="16"/>
              </w:rPr>
              <w:t>182</w:t>
            </w:r>
          </w:p>
        </w:tc>
        <w:tc>
          <w:tcPr>
            <w:tcW w:w="1296" w:type="dxa"/>
            <w:tcBorders>
              <w:top w:val="single" w:sz="4" w:space="0" w:color="auto"/>
              <w:left w:val="nil"/>
              <w:bottom w:val="single" w:sz="4" w:space="0" w:color="auto"/>
              <w:right w:val="nil"/>
            </w:tcBorders>
            <w:vAlign w:val="center"/>
          </w:tcPr>
          <w:p w14:paraId="72C329D1"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B43134" w:rsidRPr="008465B4">
              <w:rPr>
                <w:rFonts w:ascii="Segoe UI" w:eastAsia="Times New Roman" w:hAnsi="Segoe UI" w:cs="Segoe UI"/>
                <w:b/>
                <w:bCs/>
                <w:color w:val="666666"/>
                <w:sz w:val="16"/>
                <w:szCs w:val="16"/>
              </w:rPr>
              <w:t>16</w:t>
            </w:r>
            <w:r w:rsidR="00A50A40" w:rsidRPr="008465B4">
              <w:rPr>
                <w:rFonts w:ascii="Segoe UI" w:eastAsia="Times New Roman" w:hAnsi="Segoe UI" w:cs="Segoe UI"/>
                <w:b/>
                <w:bCs/>
                <w:color w:val="666666"/>
                <w:sz w:val="16"/>
                <w:szCs w:val="16"/>
              </w:rPr>
              <w:t>,798</w:t>
            </w:r>
          </w:p>
        </w:tc>
        <w:tc>
          <w:tcPr>
            <w:tcW w:w="1296" w:type="dxa"/>
            <w:gridSpan w:val="2"/>
            <w:tcBorders>
              <w:top w:val="single" w:sz="4" w:space="0" w:color="auto"/>
              <w:left w:val="nil"/>
              <w:bottom w:val="single" w:sz="4" w:space="0" w:color="auto"/>
              <w:right w:val="nil"/>
            </w:tcBorders>
            <w:vAlign w:val="center"/>
          </w:tcPr>
          <w:p w14:paraId="4428266B"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A50A40" w:rsidRPr="008465B4">
              <w:rPr>
                <w:rFonts w:ascii="Segoe UI" w:eastAsia="Times New Roman" w:hAnsi="Segoe UI" w:cs="Segoe UI"/>
                <w:b/>
                <w:bCs/>
                <w:color w:val="666666"/>
                <w:sz w:val="16"/>
                <w:szCs w:val="16"/>
              </w:rPr>
              <w:t>2.10</w:t>
            </w:r>
          </w:p>
        </w:tc>
      </w:tr>
      <w:tr w:rsidR="00514408" w:rsidRPr="008465B4" w14:paraId="51184043"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4163F52B" w14:textId="77777777" w:rsidR="00514408" w:rsidRPr="008465B4" w:rsidRDefault="00514408"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t>
            </w:r>
            <w:r w:rsidR="00674A96" w:rsidRPr="008465B4">
              <w:rPr>
                <w:rFonts w:ascii="Segoe UI" w:eastAsia="Times New Roman" w:hAnsi="Segoe UI" w:cs="Segoe UI"/>
                <w:bCs/>
                <w:color w:val="666666"/>
                <w:sz w:val="16"/>
                <w:szCs w:val="16"/>
              </w:rPr>
              <w:t xml:space="preserve">Windows 10 </w:t>
            </w:r>
            <w:r w:rsidRPr="008465B4">
              <w:rPr>
                <w:rFonts w:ascii="Segoe UI" w:eastAsia="Times New Roman" w:hAnsi="Segoe UI" w:cs="Segoe UI"/>
                <w:bCs/>
                <w:color w:val="666666"/>
                <w:sz w:val="16"/>
                <w:szCs w:val="16"/>
              </w:rPr>
              <w:t>Revenue Deferrals</w:t>
            </w:r>
          </w:p>
        </w:tc>
        <w:tc>
          <w:tcPr>
            <w:tcW w:w="1296" w:type="dxa"/>
            <w:tcBorders>
              <w:top w:val="single" w:sz="4" w:space="0" w:color="auto"/>
              <w:left w:val="nil"/>
              <w:bottom w:val="single" w:sz="4" w:space="0" w:color="auto"/>
              <w:right w:val="nil"/>
            </w:tcBorders>
            <w:vAlign w:val="center"/>
          </w:tcPr>
          <w:p w14:paraId="32C13A07" w14:textId="77777777" w:rsidR="00514408" w:rsidRPr="008465B4" w:rsidRDefault="005E5EA8"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6,6</w:t>
            </w:r>
            <w:r w:rsidR="00345E4E" w:rsidRPr="008465B4">
              <w:rPr>
                <w:rFonts w:ascii="Segoe UI" w:eastAsia="Times New Roman" w:hAnsi="Segoe UI" w:cs="Segoe UI"/>
                <w:bCs/>
                <w:color w:val="666666"/>
                <w:sz w:val="16"/>
                <w:szCs w:val="16"/>
              </w:rPr>
              <w:t>43</w:t>
            </w:r>
          </w:p>
        </w:tc>
        <w:tc>
          <w:tcPr>
            <w:tcW w:w="1296" w:type="dxa"/>
            <w:tcBorders>
              <w:top w:val="single" w:sz="4" w:space="0" w:color="auto"/>
              <w:left w:val="nil"/>
              <w:bottom w:val="single" w:sz="4" w:space="0" w:color="auto"/>
              <w:right w:val="nil"/>
            </w:tcBorders>
            <w:vAlign w:val="center"/>
          </w:tcPr>
          <w:p w14:paraId="39DBFC5B" w14:textId="77777777" w:rsidR="00514408" w:rsidRPr="008465B4" w:rsidRDefault="005E5EA8"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6,6</w:t>
            </w:r>
            <w:r w:rsidR="00345E4E" w:rsidRPr="008465B4">
              <w:rPr>
                <w:rFonts w:ascii="Segoe UI" w:eastAsia="Times New Roman" w:hAnsi="Segoe UI" w:cs="Segoe UI"/>
                <w:bCs/>
                <w:color w:val="666666"/>
                <w:sz w:val="16"/>
                <w:szCs w:val="16"/>
              </w:rPr>
              <w:t>43</w:t>
            </w:r>
          </w:p>
        </w:tc>
        <w:tc>
          <w:tcPr>
            <w:tcW w:w="1296" w:type="dxa"/>
            <w:tcBorders>
              <w:top w:val="single" w:sz="4" w:space="0" w:color="auto"/>
              <w:left w:val="nil"/>
              <w:bottom w:val="single" w:sz="4" w:space="0" w:color="auto"/>
              <w:right w:val="nil"/>
            </w:tcBorders>
            <w:vAlign w:val="center"/>
          </w:tcPr>
          <w:p w14:paraId="476CF26B" w14:textId="77777777" w:rsidR="00514408" w:rsidRPr="008465B4" w:rsidRDefault="00D45618"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4,6</w:t>
            </w:r>
            <w:r w:rsidR="00345E4E" w:rsidRPr="008465B4">
              <w:rPr>
                <w:rFonts w:ascii="Segoe UI" w:eastAsia="Times New Roman" w:hAnsi="Segoe UI" w:cs="Segoe UI"/>
                <w:bCs/>
                <w:color w:val="666666"/>
                <w:sz w:val="16"/>
                <w:szCs w:val="16"/>
              </w:rPr>
              <w:t>35</w:t>
            </w:r>
          </w:p>
        </w:tc>
        <w:tc>
          <w:tcPr>
            <w:tcW w:w="1296" w:type="dxa"/>
            <w:gridSpan w:val="2"/>
            <w:tcBorders>
              <w:top w:val="single" w:sz="4" w:space="0" w:color="auto"/>
              <w:left w:val="nil"/>
              <w:bottom w:val="single" w:sz="4" w:space="0" w:color="auto"/>
              <w:right w:val="nil"/>
            </w:tcBorders>
            <w:vAlign w:val="center"/>
          </w:tcPr>
          <w:p w14:paraId="399CD806" w14:textId="77777777" w:rsidR="00514408" w:rsidRPr="008465B4" w:rsidRDefault="003909FC"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0.58</w:t>
            </w:r>
          </w:p>
        </w:tc>
      </w:tr>
      <w:tr w:rsidR="002E5EC1" w:rsidRPr="008465B4" w14:paraId="3E3821B9" w14:textId="77777777" w:rsidTr="00B519D0">
        <w:trPr>
          <w:trHeight w:val="288"/>
        </w:trPr>
        <w:tc>
          <w:tcPr>
            <w:tcW w:w="4608" w:type="dxa"/>
            <w:gridSpan w:val="2"/>
            <w:tcBorders>
              <w:top w:val="single" w:sz="4" w:space="0" w:color="auto"/>
              <w:left w:val="nil"/>
              <w:bottom w:val="single" w:sz="4" w:space="0" w:color="auto"/>
              <w:right w:val="nil"/>
            </w:tcBorders>
            <w:noWrap/>
            <w:vAlign w:val="center"/>
          </w:tcPr>
          <w:p w14:paraId="2A661B44" w14:textId="77777777" w:rsidR="002E5EC1" w:rsidRPr="008465B4" w:rsidRDefault="002E5EC1"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w:t>
            </w:r>
            <w:r w:rsidR="00B9443B" w:rsidRPr="008465B4">
              <w:rPr>
                <w:rFonts w:ascii="Segoe UI" w:eastAsia="Times New Roman" w:hAnsi="Segoe UI" w:cs="Segoe UI"/>
                <w:bCs/>
                <w:color w:val="666666"/>
                <w:sz w:val="16"/>
                <w:szCs w:val="16"/>
              </w:rPr>
              <w:t xml:space="preserve">Impairment, Integration, and Restructuring </w:t>
            </w:r>
            <w:r w:rsidR="004A521B" w:rsidRPr="008465B4">
              <w:rPr>
                <w:rFonts w:ascii="Segoe UI" w:eastAsia="Times New Roman" w:hAnsi="Segoe UI" w:cs="Segoe UI"/>
                <w:bCs/>
                <w:color w:val="666666"/>
                <w:sz w:val="16"/>
                <w:szCs w:val="16"/>
              </w:rPr>
              <w:t>Expenses</w:t>
            </w:r>
          </w:p>
        </w:tc>
        <w:tc>
          <w:tcPr>
            <w:tcW w:w="1296" w:type="dxa"/>
            <w:tcBorders>
              <w:top w:val="single" w:sz="4" w:space="0" w:color="auto"/>
              <w:left w:val="nil"/>
              <w:bottom w:val="single" w:sz="4" w:space="0" w:color="auto"/>
              <w:right w:val="nil"/>
            </w:tcBorders>
            <w:vAlign w:val="center"/>
          </w:tcPr>
          <w:p w14:paraId="2A30B9C6" w14:textId="77777777" w:rsidR="002E5EC1" w:rsidRPr="008465B4" w:rsidRDefault="002E5EC1"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96" w:type="dxa"/>
            <w:tcBorders>
              <w:top w:val="single" w:sz="4" w:space="0" w:color="auto"/>
              <w:left w:val="nil"/>
              <w:bottom w:val="single" w:sz="4" w:space="0" w:color="auto"/>
              <w:right w:val="nil"/>
            </w:tcBorders>
            <w:vAlign w:val="center"/>
          </w:tcPr>
          <w:p w14:paraId="2A53B201" w14:textId="77777777" w:rsidR="002E5EC1" w:rsidRPr="008465B4" w:rsidRDefault="00185ACF"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1,110</w:t>
            </w:r>
          </w:p>
        </w:tc>
        <w:tc>
          <w:tcPr>
            <w:tcW w:w="1296" w:type="dxa"/>
            <w:tcBorders>
              <w:top w:val="single" w:sz="4" w:space="0" w:color="auto"/>
              <w:left w:val="nil"/>
              <w:bottom w:val="single" w:sz="4" w:space="0" w:color="auto"/>
              <w:right w:val="nil"/>
            </w:tcBorders>
            <w:vAlign w:val="center"/>
          </w:tcPr>
          <w:p w14:paraId="67E0985E" w14:textId="77777777" w:rsidR="002E5EC1" w:rsidRPr="008465B4" w:rsidRDefault="00D45618"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895</w:t>
            </w:r>
          </w:p>
        </w:tc>
        <w:tc>
          <w:tcPr>
            <w:tcW w:w="1296" w:type="dxa"/>
            <w:gridSpan w:val="2"/>
            <w:tcBorders>
              <w:top w:val="single" w:sz="4" w:space="0" w:color="auto"/>
              <w:left w:val="nil"/>
              <w:bottom w:val="single" w:sz="4" w:space="0" w:color="auto"/>
              <w:right w:val="nil"/>
            </w:tcBorders>
            <w:vAlign w:val="center"/>
          </w:tcPr>
          <w:p w14:paraId="2E423D58" w14:textId="77777777" w:rsidR="002E5EC1" w:rsidRPr="008465B4" w:rsidRDefault="003909FC"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0.11</w:t>
            </w:r>
          </w:p>
        </w:tc>
      </w:tr>
      <w:tr w:rsidR="002E5EC1" w:rsidRPr="008465B4" w14:paraId="23A80B3F" w14:textId="77777777" w:rsidTr="00B519D0">
        <w:trPr>
          <w:trHeight w:val="288"/>
        </w:trPr>
        <w:tc>
          <w:tcPr>
            <w:tcW w:w="4608" w:type="dxa"/>
            <w:gridSpan w:val="2"/>
            <w:tcBorders>
              <w:top w:val="single" w:sz="4" w:space="0" w:color="auto"/>
              <w:left w:val="nil"/>
              <w:bottom w:val="single" w:sz="4" w:space="0" w:color="666666"/>
              <w:right w:val="nil"/>
            </w:tcBorders>
            <w:noWrap/>
            <w:vAlign w:val="center"/>
          </w:tcPr>
          <w:p w14:paraId="0A729E5C" w14:textId="77777777" w:rsidR="002E5EC1" w:rsidRPr="008465B4" w:rsidRDefault="002E5EC1"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2016 As Adjusted (non-GAAP)</w:t>
            </w:r>
          </w:p>
        </w:tc>
        <w:tc>
          <w:tcPr>
            <w:tcW w:w="1296" w:type="dxa"/>
            <w:tcBorders>
              <w:top w:val="single" w:sz="4" w:space="0" w:color="auto"/>
              <w:left w:val="nil"/>
              <w:bottom w:val="single" w:sz="4" w:space="0" w:color="666666"/>
              <w:right w:val="nil"/>
            </w:tcBorders>
            <w:vAlign w:val="center"/>
          </w:tcPr>
          <w:p w14:paraId="6A31F554"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A50A40" w:rsidRPr="008465B4">
              <w:rPr>
                <w:rFonts w:ascii="Segoe UI" w:eastAsia="Times New Roman" w:hAnsi="Segoe UI" w:cs="Segoe UI"/>
                <w:b/>
                <w:bCs/>
                <w:color w:val="666666"/>
                <w:sz w:val="16"/>
                <w:szCs w:val="16"/>
              </w:rPr>
              <w:t>91,9</w:t>
            </w:r>
            <w:r w:rsidR="00223EE2" w:rsidRPr="008465B4">
              <w:rPr>
                <w:rFonts w:ascii="Segoe UI" w:eastAsia="Times New Roman" w:hAnsi="Segoe UI" w:cs="Segoe UI"/>
                <w:b/>
                <w:bCs/>
                <w:color w:val="666666"/>
                <w:sz w:val="16"/>
                <w:szCs w:val="16"/>
              </w:rPr>
              <w:t>6</w:t>
            </w:r>
            <w:r w:rsidR="00EB6620" w:rsidRPr="008465B4">
              <w:rPr>
                <w:rFonts w:ascii="Segoe UI" w:eastAsia="Times New Roman" w:hAnsi="Segoe UI" w:cs="Segoe UI"/>
                <w:b/>
                <w:bCs/>
                <w:color w:val="666666"/>
                <w:sz w:val="16"/>
                <w:szCs w:val="16"/>
              </w:rPr>
              <w:t>3</w:t>
            </w:r>
          </w:p>
        </w:tc>
        <w:tc>
          <w:tcPr>
            <w:tcW w:w="1296" w:type="dxa"/>
            <w:tcBorders>
              <w:top w:val="single" w:sz="4" w:space="0" w:color="auto"/>
              <w:left w:val="nil"/>
              <w:bottom w:val="single" w:sz="4" w:space="0" w:color="666666"/>
              <w:right w:val="nil"/>
            </w:tcBorders>
            <w:vAlign w:val="center"/>
          </w:tcPr>
          <w:p w14:paraId="199D836A"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A50A40" w:rsidRPr="008465B4">
              <w:rPr>
                <w:rFonts w:ascii="Segoe UI" w:eastAsia="Times New Roman" w:hAnsi="Segoe UI" w:cs="Segoe UI"/>
                <w:b/>
                <w:bCs/>
                <w:color w:val="666666"/>
                <w:sz w:val="16"/>
                <w:szCs w:val="16"/>
              </w:rPr>
              <w:t>27,9</w:t>
            </w:r>
            <w:r w:rsidR="00223EE2" w:rsidRPr="008465B4">
              <w:rPr>
                <w:rFonts w:ascii="Segoe UI" w:eastAsia="Times New Roman" w:hAnsi="Segoe UI" w:cs="Segoe UI"/>
                <w:b/>
                <w:bCs/>
                <w:color w:val="666666"/>
                <w:sz w:val="16"/>
                <w:szCs w:val="16"/>
              </w:rPr>
              <w:t>3</w:t>
            </w:r>
            <w:r w:rsidR="00EB6620" w:rsidRPr="008465B4">
              <w:rPr>
                <w:rFonts w:ascii="Segoe UI" w:eastAsia="Times New Roman" w:hAnsi="Segoe UI" w:cs="Segoe UI"/>
                <w:b/>
                <w:bCs/>
                <w:color w:val="666666"/>
                <w:sz w:val="16"/>
                <w:szCs w:val="16"/>
              </w:rPr>
              <w:t>5</w:t>
            </w:r>
          </w:p>
        </w:tc>
        <w:tc>
          <w:tcPr>
            <w:tcW w:w="1296" w:type="dxa"/>
            <w:tcBorders>
              <w:top w:val="single" w:sz="4" w:space="0" w:color="auto"/>
              <w:left w:val="nil"/>
              <w:bottom w:val="single" w:sz="4" w:space="0" w:color="666666"/>
              <w:right w:val="nil"/>
            </w:tcBorders>
            <w:vAlign w:val="center"/>
          </w:tcPr>
          <w:p w14:paraId="4AC74290"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A50A40" w:rsidRPr="008465B4">
              <w:rPr>
                <w:rFonts w:ascii="Segoe UI" w:eastAsia="Times New Roman" w:hAnsi="Segoe UI" w:cs="Segoe UI"/>
                <w:b/>
                <w:bCs/>
                <w:color w:val="666666"/>
                <w:sz w:val="16"/>
                <w:szCs w:val="16"/>
              </w:rPr>
              <w:t>22,3</w:t>
            </w:r>
            <w:r w:rsidR="00EB6620" w:rsidRPr="008465B4">
              <w:rPr>
                <w:rFonts w:ascii="Segoe UI" w:eastAsia="Times New Roman" w:hAnsi="Segoe UI" w:cs="Segoe UI"/>
                <w:b/>
                <w:bCs/>
                <w:color w:val="666666"/>
                <w:sz w:val="16"/>
                <w:szCs w:val="16"/>
              </w:rPr>
              <w:t>28</w:t>
            </w:r>
          </w:p>
        </w:tc>
        <w:tc>
          <w:tcPr>
            <w:tcW w:w="1296" w:type="dxa"/>
            <w:gridSpan w:val="2"/>
            <w:tcBorders>
              <w:top w:val="single" w:sz="4" w:space="0" w:color="auto"/>
              <w:left w:val="nil"/>
              <w:bottom w:val="single" w:sz="4" w:space="0" w:color="666666"/>
              <w:right w:val="nil"/>
            </w:tcBorders>
            <w:vAlign w:val="center"/>
          </w:tcPr>
          <w:p w14:paraId="59516BF9" w14:textId="77777777" w:rsidR="002E5EC1" w:rsidRPr="008465B4" w:rsidRDefault="002E5EC1" w:rsidP="006437C3">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A50A40" w:rsidRPr="008465B4">
              <w:rPr>
                <w:rFonts w:ascii="Segoe UI" w:eastAsia="Times New Roman" w:hAnsi="Segoe UI" w:cs="Segoe UI"/>
                <w:b/>
                <w:bCs/>
                <w:color w:val="666666"/>
                <w:sz w:val="16"/>
                <w:szCs w:val="16"/>
              </w:rPr>
              <w:t>2.79</w:t>
            </w:r>
          </w:p>
        </w:tc>
      </w:tr>
      <w:tr w:rsidR="002E5EC1" w:rsidRPr="008465B4" w14:paraId="2F28AA9D" w14:textId="77777777" w:rsidTr="00B519D0">
        <w:trPr>
          <w:trHeight w:val="288"/>
        </w:trPr>
        <w:tc>
          <w:tcPr>
            <w:tcW w:w="4608" w:type="dxa"/>
            <w:gridSpan w:val="2"/>
            <w:tcBorders>
              <w:top w:val="single" w:sz="4" w:space="0" w:color="666666"/>
              <w:left w:val="nil"/>
              <w:right w:val="nil"/>
            </w:tcBorders>
            <w:noWrap/>
            <w:vAlign w:val="center"/>
          </w:tcPr>
          <w:p w14:paraId="00C436EC" w14:textId="77777777" w:rsidR="002E5EC1" w:rsidRPr="008465B4" w:rsidRDefault="002E5EC1"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296" w:type="dxa"/>
            <w:tcBorders>
              <w:top w:val="single" w:sz="4" w:space="0" w:color="666666"/>
              <w:left w:val="nil"/>
              <w:right w:val="nil"/>
            </w:tcBorders>
            <w:vAlign w:val="center"/>
          </w:tcPr>
          <w:p w14:paraId="027BB6B5" w14:textId="77777777" w:rsidR="002E5EC1" w:rsidRPr="008465B4" w:rsidRDefault="00E9022D"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r w:rsidR="007A41B4" w:rsidRPr="008465B4">
              <w:rPr>
                <w:rFonts w:ascii="Segoe UI" w:eastAsia="Times New Roman" w:hAnsi="Segoe UI" w:cs="Segoe UI"/>
                <w:bCs/>
                <w:color w:val="666666"/>
                <w:sz w:val="16"/>
                <w:szCs w:val="16"/>
              </w:rPr>
              <w:t>9</w:t>
            </w:r>
            <w:r w:rsidRPr="008465B4">
              <w:rPr>
                <w:rFonts w:ascii="Segoe UI" w:eastAsia="Times New Roman" w:hAnsi="Segoe UI" w:cs="Segoe UI"/>
                <w:bCs/>
                <w:color w:val="666666"/>
                <w:sz w:val="16"/>
                <w:szCs w:val="16"/>
              </w:rPr>
              <w:t>)</w:t>
            </w:r>
            <w:r w:rsidR="002E5EC1" w:rsidRPr="008465B4">
              <w:rPr>
                <w:rFonts w:ascii="Segoe UI" w:eastAsia="Times New Roman" w:hAnsi="Segoe UI" w:cs="Segoe UI"/>
                <w:bCs/>
                <w:color w:val="666666"/>
                <w:sz w:val="16"/>
                <w:szCs w:val="16"/>
              </w:rPr>
              <w:t>%</w:t>
            </w:r>
          </w:p>
        </w:tc>
        <w:tc>
          <w:tcPr>
            <w:tcW w:w="1296" w:type="dxa"/>
            <w:tcBorders>
              <w:top w:val="single" w:sz="4" w:space="0" w:color="666666"/>
              <w:left w:val="nil"/>
              <w:right w:val="nil"/>
            </w:tcBorders>
            <w:vAlign w:val="center"/>
          </w:tcPr>
          <w:p w14:paraId="5F1CEF5B" w14:textId="77777777" w:rsidR="002E5EC1" w:rsidRPr="008465B4" w:rsidRDefault="00E9022D"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11</w:t>
            </w:r>
            <w:r w:rsidR="002E5EC1" w:rsidRPr="008465B4">
              <w:rPr>
                <w:rFonts w:ascii="Segoe UI" w:eastAsia="Times New Roman" w:hAnsi="Segoe UI" w:cs="Segoe UI"/>
                <w:bCs/>
                <w:color w:val="666666"/>
                <w:sz w:val="16"/>
                <w:szCs w:val="16"/>
              </w:rPr>
              <w:t>%</w:t>
            </w:r>
          </w:p>
        </w:tc>
        <w:tc>
          <w:tcPr>
            <w:tcW w:w="1296" w:type="dxa"/>
            <w:tcBorders>
              <w:top w:val="single" w:sz="4" w:space="0" w:color="666666"/>
              <w:left w:val="nil"/>
              <w:right w:val="nil"/>
            </w:tcBorders>
            <w:vAlign w:val="center"/>
          </w:tcPr>
          <w:p w14:paraId="741764D6" w14:textId="77777777" w:rsidR="002E5EC1" w:rsidRPr="008465B4" w:rsidRDefault="000C63DE"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38</w:t>
            </w:r>
            <w:r w:rsidR="002E5EC1" w:rsidRPr="008465B4">
              <w:rPr>
                <w:rFonts w:ascii="Segoe UI" w:eastAsia="Times New Roman" w:hAnsi="Segoe UI" w:cs="Segoe UI"/>
                <w:bCs/>
                <w:color w:val="666666"/>
                <w:sz w:val="16"/>
                <w:szCs w:val="16"/>
              </w:rPr>
              <w:t>%</w:t>
            </w:r>
          </w:p>
        </w:tc>
        <w:tc>
          <w:tcPr>
            <w:tcW w:w="1296" w:type="dxa"/>
            <w:gridSpan w:val="2"/>
            <w:tcBorders>
              <w:top w:val="single" w:sz="4" w:space="0" w:color="666666"/>
              <w:left w:val="nil"/>
              <w:right w:val="nil"/>
            </w:tcBorders>
            <w:vAlign w:val="center"/>
          </w:tcPr>
          <w:p w14:paraId="4084511D" w14:textId="77777777" w:rsidR="002E5EC1" w:rsidRPr="008465B4" w:rsidRDefault="000C63DE"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42</w:t>
            </w:r>
            <w:r w:rsidR="002E5EC1" w:rsidRPr="008465B4">
              <w:rPr>
                <w:rFonts w:ascii="Segoe UI" w:eastAsia="Times New Roman" w:hAnsi="Segoe UI" w:cs="Segoe UI"/>
                <w:bCs/>
                <w:color w:val="666666"/>
                <w:sz w:val="16"/>
                <w:szCs w:val="16"/>
              </w:rPr>
              <w:t>%</w:t>
            </w:r>
          </w:p>
        </w:tc>
      </w:tr>
      <w:tr w:rsidR="002E5EC1" w:rsidRPr="008465B4" w14:paraId="33512FCA" w14:textId="77777777" w:rsidTr="00B519D0">
        <w:trPr>
          <w:trHeight w:val="288"/>
        </w:trPr>
        <w:tc>
          <w:tcPr>
            <w:tcW w:w="4608" w:type="dxa"/>
            <w:gridSpan w:val="2"/>
            <w:tcBorders>
              <w:top w:val="nil"/>
              <w:left w:val="nil"/>
              <w:bottom w:val="single" w:sz="4" w:space="0" w:color="auto"/>
              <w:right w:val="nil"/>
            </w:tcBorders>
            <w:shd w:val="clear" w:color="auto" w:fill="auto"/>
            <w:noWrap/>
            <w:vAlign w:val="center"/>
          </w:tcPr>
          <w:p w14:paraId="46262426" w14:textId="77777777" w:rsidR="002E5EC1" w:rsidRPr="008465B4" w:rsidRDefault="002E5EC1"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296" w:type="dxa"/>
            <w:tcBorders>
              <w:top w:val="nil"/>
              <w:left w:val="nil"/>
              <w:bottom w:val="single" w:sz="4" w:space="0" w:color="auto"/>
              <w:right w:val="nil"/>
            </w:tcBorders>
            <w:shd w:val="clear" w:color="auto" w:fill="auto"/>
            <w:vAlign w:val="center"/>
          </w:tcPr>
          <w:p w14:paraId="40459AD9" w14:textId="77777777" w:rsidR="002E5EC1" w:rsidRPr="008465B4" w:rsidRDefault="00E9022D"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r w:rsidR="00003AA9" w:rsidRPr="008465B4">
              <w:rPr>
                <w:rFonts w:ascii="Segoe UI" w:eastAsia="Times New Roman" w:hAnsi="Segoe UI" w:cs="Segoe UI"/>
                <w:bCs/>
                <w:color w:val="666666"/>
                <w:sz w:val="16"/>
                <w:szCs w:val="16"/>
              </w:rPr>
              <w:t>2</w:t>
            </w:r>
            <w:r w:rsidRPr="008465B4">
              <w:rPr>
                <w:rFonts w:ascii="Segoe UI" w:eastAsia="Times New Roman" w:hAnsi="Segoe UI" w:cs="Segoe UI"/>
                <w:bCs/>
                <w:color w:val="666666"/>
                <w:sz w:val="16"/>
                <w:szCs w:val="16"/>
              </w:rPr>
              <w:t>)</w:t>
            </w:r>
            <w:r w:rsidR="002E5EC1" w:rsidRPr="008465B4">
              <w:rPr>
                <w:rFonts w:ascii="Segoe UI" w:eastAsia="Times New Roman" w:hAnsi="Segoe UI" w:cs="Segoe UI"/>
                <w:bCs/>
                <w:color w:val="666666"/>
                <w:sz w:val="16"/>
                <w:szCs w:val="16"/>
              </w:rPr>
              <w:t>%</w:t>
            </w:r>
          </w:p>
        </w:tc>
        <w:tc>
          <w:tcPr>
            <w:tcW w:w="1296" w:type="dxa"/>
            <w:tcBorders>
              <w:top w:val="nil"/>
              <w:left w:val="nil"/>
              <w:bottom w:val="single" w:sz="4" w:space="0" w:color="auto"/>
              <w:right w:val="nil"/>
            </w:tcBorders>
            <w:vAlign w:val="center"/>
          </w:tcPr>
          <w:p w14:paraId="495256E4" w14:textId="77777777" w:rsidR="002E5EC1" w:rsidRPr="008465B4" w:rsidRDefault="00003AA9"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(1)</w:t>
            </w:r>
            <w:r w:rsidR="002E5EC1" w:rsidRPr="008465B4">
              <w:rPr>
                <w:rFonts w:ascii="Segoe UI" w:eastAsia="Times New Roman" w:hAnsi="Segoe UI" w:cs="Segoe UI"/>
                <w:bCs/>
                <w:color w:val="666666"/>
                <w:sz w:val="16"/>
                <w:szCs w:val="16"/>
              </w:rPr>
              <w:t>%</w:t>
            </w:r>
          </w:p>
        </w:tc>
        <w:tc>
          <w:tcPr>
            <w:tcW w:w="1296" w:type="dxa"/>
            <w:tcBorders>
              <w:top w:val="nil"/>
              <w:left w:val="nil"/>
              <w:bottom w:val="single" w:sz="4" w:space="0" w:color="auto"/>
              <w:right w:val="nil"/>
            </w:tcBorders>
            <w:shd w:val="clear" w:color="auto" w:fill="auto"/>
            <w:vAlign w:val="center"/>
          </w:tcPr>
          <w:p w14:paraId="76DC3D6B" w14:textId="77777777" w:rsidR="002E5EC1" w:rsidRPr="008465B4" w:rsidRDefault="00003AA9"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3</w:t>
            </w:r>
            <w:r w:rsidR="002E5EC1" w:rsidRPr="008465B4">
              <w:rPr>
                <w:rFonts w:ascii="Segoe UI" w:eastAsia="Times New Roman" w:hAnsi="Segoe UI" w:cs="Segoe UI"/>
                <w:bCs/>
                <w:color w:val="666666"/>
                <w:sz w:val="16"/>
                <w:szCs w:val="16"/>
              </w:rPr>
              <w:t>%</w:t>
            </w:r>
          </w:p>
        </w:tc>
        <w:tc>
          <w:tcPr>
            <w:tcW w:w="1296" w:type="dxa"/>
            <w:gridSpan w:val="2"/>
            <w:tcBorders>
              <w:top w:val="nil"/>
              <w:left w:val="nil"/>
              <w:bottom w:val="single" w:sz="4" w:space="0" w:color="auto"/>
              <w:right w:val="nil"/>
            </w:tcBorders>
            <w:shd w:val="clear" w:color="auto" w:fill="auto"/>
            <w:vAlign w:val="center"/>
          </w:tcPr>
          <w:p w14:paraId="7A2D34D8" w14:textId="77777777" w:rsidR="002E5EC1" w:rsidRPr="008465B4" w:rsidRDefault="00003AA9" w:rsidP="006437C3">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6</w:t>
            </w:r>
            <w:r w:rsidR="002E5EC1" w:rsidRPr="008465B4">
              <w:rPr>
                <w:rFonts w:ascii="Segoe UI" w:eastAsia="Times New Roman" w:hAnsi="Segoe UI" w:cs="Segoe UI"/>
                <w:bCs/>
                <w:color w:val="666666"/>
                <w:sz w:val="16"/>
                <w:szCs w:val="16"/>
              </w:rPr>
              <w:t>%</w:t>
            </w:r>
          </w:p>
        </w:tc>
      </w:tr>
    </w:tbl>
    <w:p w14:paraId="7759D9C0" w14:textId="6D2B90FA" w:rsidR="00C5134D" w:rsidRDefault="00C5134D" w:rsidP="008F2674">
      <w:pPr>
        <w:spacing w:before="240" w:line="280" w:lineRule="exact"/>
        <w:rPr>
          <w:rFonts w:ascii="Segoe UI" w:eastAsia="Times New Roman" w:hAnsi="Segoe UI" w:cs="Segoe UI"/>
          <w:b/>
          <w:bCs/>
          <w:color w:val="666666"/>
          <w:sz w:val="20"/>
          <w:szCs w:val="20"/>
        </w:rPr>
      </w:pPr>
      <w:r w:rsidRPr="00E91507">
        <w:rPr>
          <w:rFonts w:ascii="Segoe UI" w:hAnsi="Segoe UI" w:cs="Segoe UI"/>
          <w:color w:val="666666"/>
          <w:sz w:val="20"/>
          <w:szCs w:val="20"/>
        </w:rPr>
        <w:t xml:space="preserve">The current year </w:t>
      </w:r>
      <w:r w:rsidR="00F57938" w:rsidRPr="00E91507">
        <w:rPr>
          <w:rFonts w:ascii="Segoe UI" w:hAnsi="Segoe UI" w:cs="Segoe UI"/>
          <w:color w:val="666666"/>
          <w:sz w:val="20"/>
          <w:szCs w:val="20"/>
        </w:rPr>
        <w:t xml:space="preserve">GAAP and non-GAAP </w:t>
      </w:r>
      <w:r w:rsidRPr="00E91507">
        <w:rPr>
          <w:rFonts w:ascii="Segoe UI" w:hAnsi="Segoe UI" w:cs="Segoe UI"/>
          <w:color w:val="666666"/>
          <w:sz w:val="20"/>
          <w:szCs w:val="20"/>
        </w:rPr>
        <w:t>effective tax rate</w:t>
      </w:r>
      <w:r w:rsidR="00F57938" w:rsidRPr="00E91507">
        <w:rPr>
          <w:rFonts w:ascii="Segoe UI" w:hAnsi="Segoe UI" w:cs="Segoe UI"/>
          <w:color w:val="666666"/>
          <w:sz w:val="20"/>
          <w:szCs w:val="20"/>
        </w:rPr>
        <w:t>s</w:t>
      </w:r>
      <w:r w:rsidRPr="00E91507">
        <w:rPr>
          <w:rFonts w:ascii="Segoe UI" w:hAnsi="Segoe UI" w:cs="Segoe UI"/>
          <w:color w:val="666666"/>
          <w:sz w:val="20"/>
          <w:szCs w:val="20"/>
        </w:rPr>
        <w:t xml:space="preserve"> </w:t>
      </w:r>
      <w:r w:rsidR="00F57938" w:rsidRPr="00E91507">
        <w:rPr>
          <w:rFonts w:ascii="Segoe UI" w:hAnsi="Segoe UI" w:cs="Segoe UI"/>
          <w:color w:val="666666"/>
          <w:sz w:val="20"/>
          <w:szCs w:val="20"/>
        </w:rPr>
        <w:t xml:space="preserve">were </w:t>
      </w:r>
      <w:r w:rsidRPr="00E91507">
        <w:rPr>
          <w:rFonts w:ascii="Segoe UI" w:hAnsi="Segoe UI" w:cs="Segoe UI"/>
          <w:color w:val="666666"/>
          <w:sz w:val="20"/>
          <w:szCs w:val="20"/>
        </w:rPr>
        <w:t>15%</w:t>
      </w:r>
      <w:r w:rsidR="00F57938" w:rsidRPr="00E91507">
        <w:rPr>
          <w:rFonts w:ascii="Segoe UI" w:hAnsi="Segoe UI" w:cs="Segoe UI"/>
          <w:color w:val="666666"/>
          <w:sz w:val="20"/>
          <w:szCs w:val="20"/>
        </w:rPr>
        <w:t xml:space="preserve"> and </w:t>
      </w:r>
      <w:r w:rsidRPr="00E91507">
        <w:rPr>
          <w:rFonts w:ascii="Segoe UI" w:hAnsi="Segoe UI" w:cs="Segoe UI"/>
          <w:color w:val="666666"/>
          <w:sz w:val="20"/>
          <w:szCs w:val="20"/>
        </w:rPr>
        <w:t>19%</w:t>
      </w:r>
      <w:r w:rsidR="00F57938" w:rsidRPr="00E91507">
        <w:rPr>
          <w:rFonts w:ascii="Segoe UI" w:hAnsi="Segoe UI" w:cs="Segoe UI"/>
          <w:color w:val="666666"/>
          <w:sz w:val="20"/>
          <w:szCs w:val="20"/>
        </w:rPr>
        <w:t>, respectively.</w:t>
      </w:r>
      <w:r>
        <w:rPr>
          <w:rFonts w:ascii="Segoe UI" w:eastAsia="Times New Roman" w:hAnsi="Segoe UI" w:cs="Segoe UI"/>
          <w:b/>
          <w:bCs/>
          <w:color w:val="666666"/>
          <w:sz w:val="20"/>
          <w:szCs w:val="20"/>
        </w:rPr>
        <w:t xml:space="preserve"> </w:t>
      </w:r>
    </w:p>
    <w:p w14:paraId="4CA332D2" w14:textId="77BF0CC5" w:rsidR="008F2674" w:rsidRPr="008465B4" w:rsidRDefault="008F2674" w:rsidP="008F2674">
      <w:pPr>
        <w:spacing w:before="24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Business Outlook</w:t>
      </w:r>
    </w:p>
    <w:p w14:paraId="2BE18559" w14:textId="77777777" w:rsidR="008F2674" w:rsidRPr="008465B4" w:rsidRDefault="008F2674" w:rsidP="008F2674">
      <w:pPr>
        <w:spacing w:line="280" w:lineRule="exact"/>
        <w:rPr>
          <w:rFonts w:ascii="Segoe UI" w:hAnsi="Segoe UI" w:cs="Segoe UI"/>
          <w:color w:val="666666"/>
          <w:sz w:val="20"/>
          <w:szCs w:val="20"/>
        </w:rPr>
      </w:pPr>
      <w:r w:rsidRPr="008465B4">
        <w:rPr>
          <w:rFonts w:ascii="Segoe UI" w:hAnsi="Segoe UI" w:cs="Segoe UI"/>
          <w:color w:val="666666"/>
          <w:sz w:val="20"/>
          <w:szCs w:val="20"/>
        </w:rPr>
        <w:t>Microsoft will provide forward-looking guidance in connection with this quarterly earnings announcement on its earnings conference call and webcast.</w:t>
      </w:r>
    </w:p>
    <w:p w14:paraId="05C55FC2" w14:textId="77777777" w:rsidR="008F2674" w:rsidRPr="008465B4" w:rsidRDefault="008F2674" w:rsidP="008F2674">
      <w:pPr>
        <w:spacing w:before="240" w:line="280" w:lineRule="exact"/>
        <w:rPr>
          <w:rFonts w:ascii="Segoe UI" w:eastAsia="Times New Roman" w:hAnsi="Segoe UI" w:cs="Segoe UI"/>
          <w:b/>
          <w:bCs/>
          <w:color w:val="666666"/>
          <w:sz w:val="20"/>
          <w:szCs w:val="20"/>
        </w:rPr>
      </w:pPr>
      <w:bookmarkStart w:id="2" w:name="RANGE!A1:D14"/>
      <w:bookmarkEnd w:id="2"/>
      <w:r w:rsidRPr="008465B4">
        <w:rPr>
          <w:rFonts w:ascii="Segoe UI" w:eastAsia="Times New Roman" w:hAnsi="Segoe UI" w:cs="Segoe UI"/>
          <w:b/>
          <w:bCs/>
          <w:color w:val="666666"/>
          <w:sz w:val="20"/>
          <w:szCs w:val="20"/>
        </w:rPr>
        <w:t>Webcast Details</w:t>
      </w:r>
    </w:p>
    <w:p w14:paraId="7FF74055" w14:textId="77777777" w:rsidR="008F2674" w:rsidRPr="008465B4" w:rsidRDefault="008F2674" w:rsidP="008F2674">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Satya Nadella, chief executive officer, Amy Hood, executive vice president and chief financial officer, Frank Brod, chief accounting officer, John Seethoff, deputy general counsel and corporate secretary,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8" w:history="1">
        <w:r w:rsidRPr="008465B4">
          <w:rPr>
            <w:rStyle w:val="Hyperlink"/>
          </w:rPr>
          <w:t>http://www.microsoft.com/en-us/investor</w:t>
        </w:r>
      </w:hyperlink>
      <w:r w:rsidRPr="008465B4">
        <w:rPr>
          <w:rFonts w:ascii="Segoe UI" w:hAnsi="Segoe UI" w:cs="Segoe UI"/>
          <w:color w:val="666666"/>
          <w:sz w:val="20"/>
          <w:szCs w:val="20"/>
        </w:rPr>
        <w:t xml:space="preserve">. The webcast will be available for replay through the close of business on </w:t>
      </w:r>
      <w:r w:rsidR="006F31EF" w:rsidRPr="008465B4">
        <w:rPr>
          <w:rFonts w:ascii="Segoe UI" w:hAnsi="Segoe UI" w:cs="Segoe UI"/>
          <w:color w:val="666666"/>
          <w:sz w:val="20"/>
          <w:szCs w:val="20"/>
        </w:rPr>
        <w:t>July 19</w:t>
      </w:r>
      <w:r w:rsidRPr="008465B4">
        <w:rPr>
          <w:rFonts w:ascii="Segoe UI" w:hAnsi="Segoe UI" w:cs="Segoe UI"/>
          <w:color w:val="666666"/>
          <w:sz w:val="20"/>
          <w:szCs w:val="20"/>
        </w:rPr>
        <w:t>, 2017.</w:t>
      </w:r>
    </w:p>
    <w:p w14:paraId="4B6BF92F" w14:textId="77777777" w:rsidR="008F2674" w:rsidRPr="008465B4" w:rsidRDefault="00BE2962" w:rsidP="008F2674">
      <w:pPr>
        <w:pStyle w:val="NormalWeb"/>
        <w:keepNext/>
        <w:rPr>
          <w:rFonts w:ascii="Segoe UI" w:hAnsi="Segoe UI" w:cs="Segoe UI"/>
          <w:b/>
          <w:bCs/>
          <w:color w:val="666666"/>
          <w:sz w:val="20"/>
          <w:szCs w:val="20"/>
        </w:rPr>
      </w:pPr>
      <w:r w:rsidRPr="008465B4">
        <w:rPr>
          <w:rFonts w:ascii="Segoe UI" w:hAnsi="Segoe UI" w:cs="Segoe UI"/>
          <w:b/>
          <w:bCs/>
          <w:color w:val="666666"/>
          <w:sz w:val="20"/>
          <w:szCs w:val="20"/>
        </w:rPr>
        <w:t xml:space="preserve">“As </w:t>
      </w:r>
      <w:r w:rsidR="009C1FF7" w:rsidRPr="008465B4">
        <w:rPr>
          <w:rFonts w:ascii="Segoe UI" w:hAnsi="Segoe UI" w:cs="Segoe UI"/>
          <w:b/>
          <w:bCs/>
          <w:color w:val="666666"/>
          <w:sz w:val="20"/>
          <w:szCs w:val="20"/>
        </w:rPr>
        <w:t>Adjusted</w:t>
      </w:r>
      <w:r w:rsidRPr="008465B4">
        <w:rPr>
          <w:rFonts w:ascii="Segoe UI" w:hAnsi="Segoe UI" w:cs="Segoe UI"/>
          <w:b/>
          <w:bCs/>
          <w:color w:val="666666"/>
          <w:sz w:val="20"/>
          <w:szCs w:val="20"/>
        </w:rPr>
        <w:t>”</w:t>
      </w:r>
      <w:r w:rsidR="008F2674" w:rsidRPr="008465B4">
        <w:rPr>
          <w:rFonts w:ascii="Segoe UI" w:hAnsi="Segoe UI" w:cs="Segoe UI"/>
          <w:b/>
          <w:bCs/>
          <w:color w:val="666666"/>
          <w:sz w:val="20"/>
          <w:szCs w:val="20"/>
        </w:rPr>
        <w:t xml:space="preserve"> Financial Results and non-GAAP Measures </w:t>
      </w:r>
    </w:p>
    <w:p w14:paraId="0416B45C" w14:textId="79ECC470" w:rsidR="008F2674" w:rsidRPr="008465B4" w:rsidRDefault="00317234" w:rsidP="00B1348B">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During fiscal year 2016, GAAP revenue, operating income, net income, and diluted earnings per share include the net impact from Windows 10 revenue deferrals. </w:t>
      </w:r>
      <w:r w:rsidR="008F2674" w:rsidRPr="008465B4">
        <w:rPr>
          <w:rFonts w:ascii="Segoe UI" w:hAnsi="Segoe UI" w:cs="Segoe UI"/>
          <w:color w:val="666666"/>
          <w:sz w:val="20"/>
          <w:szCs w:val="20"/>
        </w:rPr>
        <w:t>During fiscal year 2016</w:t>
      </w:r>
      <w:r w:rsidR="00073AD7" w:rsidRPr="008465B4">
        <w:rPr>
          <w:rFonts w:ascii="Segoe UI" w:hAnsi="Segoe UI" w:cs="Segoe UI"/>
          <w:color w:val="666666"/>
          <w:sz w:val="20"/>
          <w:szCs w:val="20"/>
        </w:rPr>
        <w:t xml:space="preserve"> and fiscal year 2015</w:t>
      </w:r>
      <w:r w:rsidR="008F2674" w:rsidRPr="008465B4">
        <w:rPr>
          <w:rFonts w:ascii="Segoe UI" w:hAnsi="Segoe UI" w:cs="Segoe UI"/>
          <w:color w:val="666666"/>
          <w:sz w:val="20"/>
          <w:szCs w:val="20"/>
        </w:rPr>
        <w:t xml:space="preserve">, GAAP operating income, net income, and </w:t>
      </w:r>
      <w:r w:rsidR="00E878DE" w:rsidRPr="008465B4">
        <w:rPr>
          <w:rFonts w:ascii="Segoe UI" w:hAnsi="Segoe UI" w:cs="Segoe UI"/>
          <w:color w:val="666666"/>
          <w:sz w:val="20"/>
          <w:szCs w:val="20"/>
        </w:rPr>
        <w:t xml:space="preserve">diluted </w:t>
      </w:r>
      <w:r w:rsidR="008F2674" w:rsidRPr="008465B4">
        <w:rPr>
          <w:rFonts w:ascii="Segoe UI" w:hAnsi="Segoe UI" w:cs="Segoe UI"/>
          <w:color w:val="666666"/>
          <w:sz w:val="20"/>
          <w:szCs w:val="20"/>
        </w:rPr>
        <w:t xml:space="preserve">earnings per share include </w:t>
      </w:r>
      <w:r w:rsidR="00D66993" w:rsidRPr="008465B4">
        <w:rPr>
          <w:rFonts w:ascii="Segoe UI" w:hAnsi="Segoe UI" w:cs="Segoe UI"/>
          <w:color w:val="666666"/>
          <w:sz w:val="20"/>
          <w:szCs w:val="20"/>
        </w:rPr>
        <w:t xml:space="preserve">impairment, integration, and restructuring </w:t>
      </w:r>
      <w:r w:rsidR="004A521B" w:rsidRPr="008465B4">
        <w:rPr>
          <w:rFonts w:ascii="Segoe UI" w:hAnsi="Segoe UI" w:cs="Segoe UI"/>
          <w:color w:val="666666"/>
          <w:sz w:val="20"/>
          <w:szCs w:val="20"/>
        </w:rPr>
        <w:t>expenses</w:t>
      </w:r>
      <w:r w:rsidR="008F2674" w:rsidRPr="008465B4">
        <w:rPr>
          <w:rFonts w:ascii="Segoe UI" w:hAnsi="Segoe UI" w:cs="Segoe UI"/>
          <w:color w:val="666666"/>
          <w:sz w:val="20"/>
          <w:szCs w:val="20"/>
        </w:rPr>
        <w:t xml:space="preserve">. These items are 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t>
      </w:r>
      <w:r w:rsidR="00E92F21" w:rsidRPr="008465B4">
        <w:rPr>
          <w:rFonts w:ascii="Segoe UI" w:hAnsi="Segoe UI" w:cs="Segoe UI"/>
          <w:color w:val="666666"/>
          <w:sz w:val="20"/>
          <w:szCs w:val="20"/>
        </w:rPr>
        <w:t xml:space="preserve">With respect to our non-GAAP measures related to Windows 10 revenue we believe </w:t>
      </w:r>
      <w:r w:rsidR="00D82488" w:rsidRPr="008465B4">
        <w:rPr>
          <w:rFonts w:ascii="Segoe UI" w:hAnsi="Segoe UI" w:cs="Segoe UI"/>
          <w:color w:val="666666"/>
          <w:sz w:val="20"/>
          <w:szCs w:val="20"/>
        </w:rPr>
        <w:t xml:space="preserve">these </w:t>
      </w:r>
      <w:r w:rsidR="00E92F21" w:rsidRPr="008465B4">
        <w:rPr>
          <w:rFonts w:ascii="Segoe UI" w:hAnsi="Segoe UI" w:cs="Segoe UI"/>
          <w:color w:val="666666"/>
          <w:sz w:val="20"/>
          <w:szCs w:val="20"/>
        </w:rPr>
        <w:t xml:space="preserve">measures bridge investor information and minimize potential confusion during the brief period between the time Windows 10 revenue recognition moved from upfront to ratable, and the adoption of the new revenue standard, when Windows 10 will </w:t>
      </w:r>
      <w:r w:rsidR="00AC6BBB" w:rsidRPr="008465B4">
        <w:rPr>
          <w:rFonts w:ascii="Segoe UI" w:hAnsi="Segoe UI" w:cs="Segoe UI"/>
          <w:color w:val="666666"/>
          <w:sz w:val="20"/>
          <w:szCs w:val="20"/>
        </w:rPr>
        <w:t xml:space="preserve">again </w:t>
      </w:r>
      <w:r w:rsidR="00E92F21" w:rsidRPr="008465B4">
        <w:rPr>
          <w:rFonts w:ascii="Segoe UI" w:hAnsi="Segoe UI" w:cs="Segoe UI"/>
          <w:color w:val="666666"/>
          <w:sz w:val="20"/>
          <w:szCs w:val="20"/>
        </w:rPr>
        <w:t xml:space="preserve">be recognized predominantly upfront. The net change in Windows 10 revenue from period to period is indicative of the net change in revenue we expect from adoption of the new revenue standard. </w:t>
      </w:r>
      <w:r w:rsidR="008F2674" w:rsidRPr="008465B4">
        <w:rPr>
          <w:rFonts w:ascii="Segoe UI" w:hAnsi="Segoe UI" w:cs="Segoe UI"/>
          <w:color w:val="666666"/>
          <w:sz w:val="20"/>
          <w:szCs w:val="20"/>
        </w:rPr>
        <w:t>These non-GAAP financial measures should not be considered as a substitute for, or superior to, the measures of financial performance prepared in accordance with GAAP.</w:t>
      </w:r>
    </w:p>
    <w:p w14:paraId="4FC80D36" w14:textId="77777777" w:rsidR="008F2674" w:rsidRPr="008465B4" w:rsidRDefault="000262E9" w:rsidP="008F2674">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Non-GAAP Definition</w:t>
      </w:r>
      <w:r w:rsidR="006945E0" w:rsidRPr="008465B4">
        <w:rPr>
          <w:rFonts w:ascii="Segoe UI" w:eastAsia="Times New Roman" w:hAnsi="Segoe UI" w:cs="Segoe UI"/>
          <w:b/>
          <w:bCs/>
          <w:color w:val="666666"/>
          <w:sz w:val="20"/>
          <w:szCs w:val="20"/>
        </w:rPr>
        <w:t>s</w:t>
      </w:r>
    </w:p>
    <w:p w14:paraId="48AFA55C" w14:textId="77777777" w:rsidR="00955275" w:rsidRPr="008465B4" w:rsidRDefault="00E363B3" w:rsidP="00FD6CC6">
      <w:pPr>
        <w:spacing w:before="270" w:after="270" w:line="240" w:lineRule="auto"/>
        <w:rPr>
          <w:rFonts w:ascii="Segoe UI" w:hAnsi="Segoe UI" w:cs="Segoe UI"/>
          <w:color w:val="666666"/>
          <w:sz w:val="20"/>
          <w:szCs w:val="20"/>
        </w:rPr>
      </w:pPr>
      <w:r w:rsidRPr="00FD6CC6">
        <w:rPr>
          <w:rFonts w:ascii="Segoe UI" w:hAnsi="Segoe UI" w:cs="Segoe UI"/>
          <w:i/>
          <w:color w:val="666666"/>
          <w:sz w:val="20"/>
          <w:szCs w:val="20"/>
        </w:rPr>
        <w:t xml:space="preserve">Net Impact from </w:t>
      </w:r>
      <w:r w:rsidR="00317234" w:rsidRPr="00FD6CC6">
        <w:rPr>
          <w:rFonts w:ascii="Segoe UI" w:hAnsi="Segoe UI" w:cs="Segoe UI"/>
          <w:i/>
          <w:color w:val="666666"/>
          <w:sz w:val="20"/>
          <w:szCs w:val="20"/>
        </w:rPr>
        <w:t xml:space="preserve">Windows 10 </w:t>
      </w:r>
      <w:r w:rsidRPr="00FD6CC6">
        <w:rPr>
          <w:rFonts w:ascii="Segoe UI" w:hAnsi="Segoe UI" w:cs="Segoe UI"/>
          <w:i/>
          <w:color w:val="666666"/>
          <w:sz w:val="20"/>
          <w:szCs w:val="20"/>
        </w:rPr>
        <w:t>Revenue Deferrals.</w:t>
      </w:r>
      <w:r w:rsidRPr="008465B4">
        <w:rPr>
          <w:rFonts w:ascii="Segoe UI" w:hAnsi="Segoe UI" w:cs="Segoe UI"/>
          <w:color w:val="666666"/>
          <w:sz w:val="20"/>
          <w:szCs w:val="20"/>
        </w:rPr>
        <w:t xml:space="preserve"> </w:t>
      </w:r>
      <w:r w:rsidR="00517495" w:rsidRPr="008465B4">
        <w:rPr>
          <w:rFonts w:ascii="Segoe UI" w:hAnsi="Segoe UI" w:cs="Segoe UI"/>
          <w:color w:val="666666"/>
          <w:sz w:val="20"/>
          <w:szCs w:val="20"/>
        </w:rPr>
        <w:t>Microsoft recorded net revenue deferral</w:t>
      </w:r>
      <w:r w:rsidR="007212E4" w:rsidRPr="008465B4">
        <w:rPr>
          <w:rFonts w:ascii="Segoe UI" w:hAnsi="Segoe UI" w:cs="Segoe UI"/>
          <w:color w:val="666666"/>
          <w:sz w:val="20"/>
          <w:szCs w:val="20"/>
        </w:rPr>
        <w:t>s</w:t>
      </w:r>
      <w:r w:rsidR="00955275" w:rsidRPr="008465B4">
        <w:rPr>
          <w:rFonts w:ascii="Segoe UI" w:hAnsi="Segoe UI" w:cs="Segoe UI"/>
          <w:color w:val="666666"/>
          <w:sz w:val="20"/>
          <w:szCs w:val="20"/>
        </w:rPr>
        <w:t xml:space="preserve"> </w:t>
      </w:r>
      <w:r w:rsidR="00517495" w:rsidRPr="008465B4">
        <w:rPr>
          <w:rFonts w:ascii="Segoe UI" w:hAnsi="Segoe UI" w:cs="Segoe UI"/>
          <w:color w:val="666666"/>
          <w:sz w:val="20"/>
          <w:szCs w:val="20"/>
        </w:rPr>
        <w:t>of $</w:t>
      </w:r>
      <w:r w:rsidR="00897839" w:rsidRPr="008465B4">
        <w:rPr>
          <w:rFonts w:ascii="Segoe UI" w:hAnsi="Segoe UI" w:cs="Segoe UI"/>
          <w:color w:val="666666"/>
          <w:sz w:val="20"/>
          <w:szCs w:val="20"/>
        </w:rPr>
        <w:t>2.0</w:t>
      </w:r>
      <w:r w:rsidR="00517495" w:rsidRPr="008465B4">
        <w:rPr>
          <w:rFonts w:ascii="Segoe UI" w:hAnsi="Segoe UI" w:cs="Segoe UI"/>
          <w:color w:val="666666"/>
          <w:sz w:val="20"/>
          <w:szCs w:val="20"/>
        </w:rPr>
        <w:t xml:space="preserve"> billion during the three months ended June 30, 2016 and </w:t>
      </w:r>
      <w:r w:rsidR="00D81F47" w:rsidRPr="008465B4">
        <w:rPr>
          <w:rFonts w:ascii="Segoe UI" w:hAnsi="Segoe UI" w:cs="Segoe UI"/>
          <w:color w:val="666666"/>
          <w:sz w:val="20"/>
          <w:szCs w:val="20"/>
        </w:rPr>
        <w:t>net revenue deferral</w:t>
      </w:r>
      <w:r w:rsidR="007212E4" w:rsidRPr="008465B4">
        <w:rPr>
          <w:rFonts w:ascii="Segoe UI" w:hAnsi="Segoe UI" w:cs="Segoe UI"/>
          <w:color w:val="666666"/>
          <w:sz w:val="20"/>
          <w:szCs w:val="20"/>
        </w:rPr>
        <w:t>s</w:t>
      </w:r>
      <w:r w:rsidR="00D81F47" w:rsidRPr="008465B4">
        <w:rPr>
          <w:rFonts w:ascii="Segoe UI" w:hAnsi="Segoe UI" w:cs="Segoe UI"/>
          <w:color w:val="666666"/>
          <w:sz w:val="20"/>
          <w:szCs w:val="20"/>
        </w:rPr>
        <w:t xml:space="preserve"> of </w:t>
      </w:r>
      <w:r w:rsidR="00517495" w:rsidRPr="008465B4">
        <w:rPr>
          <w:rFonts w:ascii="Segoe UI" w:hAnsi="Segoe UI" w:cs="Segoe UI"/>
          <w:color w:val="666666"/>
          <w:sz w:val="20"/>
          <w:szCs w:val="20"/>
        </w:rPr>
        <w:t>$</w:t>
      </w:r>
      <w:r w:rsidR="00897839" w:rsidRPr="008465B4">
        <w:rPr>
          <w:rFonts w:ascii="Segoe UI" w:hAnsi="Segoe UI" w:cs="Segoe UI"/>
          <w:color w:val="666666"/>
          <w:sz w:val="20"/>
          <w:szCs w:val="20"/>
        </w:rPr>
        <w:t>6.</w:t>
      </w:r>
      <w:r w:rsidR="009627DB" w:rsidRPr="008465B4">
        <w:rPr>
          <w:rFonts w:ascii="Segoe UI" w:hAnsi="Segoe UI" w:cs="Segoe UI"/>
          <w:color w:val="666666"/>
          <w:sz w:val="20"/>
          <w:szCs w:val="20"/>
        </w:rPr>
        <w:t>6</w:t>
      </w:r>
      <w:r w:rsidR="00517495" w:rsidRPr="008465B4">
        <w:rPr>
          <w:rFonts w:ascii="Segoe UI" w:hAnsi="Segoe UI" w:cs="Segoe UI"/>
          <w:color w:val="666666"/>
          <w:sz w:val="20"/>
          <w:szCs w:val="20"/>
        </w:rPr>
        <w:t xml:space="preserve"> billion during the twelve months ended June 30, 2016</w:t>
      </w:r>
      <w:r w:rsidR="00955275" w:rsidRPr="008465B4">
        <w:rPr>
          <w:rFonts w:ascii="Segoe UI" w:hAnsi="Segoe UI" w:cs="Segoe UI"/>
          <w:color w:val="666666"/>
          <w:sz w:val="20"/>
          <w:szCs w:val="20"/>
        </w:rPr>
        <w:t>, related to Windows 10</w:t>
      </w:r>
      <w:r w:rsidR="00517495" w:rsidRPr="008465B4">
        <w:rPr>
          <w:rFonts w:ascii="Segoe UI" w:hAnsi="Segoe UI" w:cs="Segoe UI"/>
          <w:color w:val="666666"/>
          <w:sz w:val="20"/>
          <w:szCs w:val="20"/>
        </w:rPr>
        <w:t>.</w:t>
      </w:r>
    </w:p>
    <w:p w14:paraId="1567A4F9" w14:textId="0346D360" w:rsidR="005F5209" w:rsidRPr="008465B4" w:rsidRDefault="00E92F21" w:rsidP="00FD6CC6">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With the launch of Windows 10 in July </w:t>
      </w:r>
      <w:r w:rsidR="009B770F">
        <w:rPr>
          <w:rFonts w:ascii="Segoe UI" w:hAnsi="Segoe UI" w:cs="Segoe UI"/>
          <w:color w:val="666666"/>
          <w:sz w:val="20"/>
          <w:szCs w:val="20"/>
        </w:rPr>
        <w:t xml:space="preserve">2015, Windows 10 customers </w:t>
      </w:r>
      <w:r w:rsidRPr="008465B4">
        <w:rPr>
          <w:rFonts w:ascii="Segoe UI" w:hAnsi="Segoe UI" w:cs="Segoe UI"/>
          <w:color w:val="666666"/>
          <w:sz w:val="20"/>
          <w:szCs w:val="20"/>
        </w:rPr>
        <w:t>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w:t>
      </w:r>
      <w:r w:rsidR="000A768B">
        <w:rPr>
          <w:rFonts w:ascii="Segoe UI" w:hAnsi="Segoe UI" w:cs="Segoe UI"/>
          <w:color w:val="666666"/>
          <w:sz w:val="20"/>
          <w:szCs w:val="20"/>
        </w:rPr>
        <w:t>, i.e., upfront</w:t>
      </w:r>
      <w:r w:rsidRPr="008465B4">
        <w:rPr>
          <w:rFonts w:ascii="Segoe UI" w:hAnsi="Segoe UI" w:cs="Segoe UI"/>
          <w:color w:val="666666"/>
          <w:sz w:val="20"/>
          <w:szCs w:val="20"/>
        </w:rPr>
        <w:t xml:space="preserve">. </w:t>
      </w:r>
    </w:p>
    <w:p w14:paraId="18F0AA1A" w14:textId="61049F72" w:rsidR="00EF2C73" w:rsidRPr="008465B4" w:rsidRDefault="00E92F21" w:rsidP="00FD6CC6">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When Microsoft adopts the new revenue standard, predominately all Windows OEM revenue will </w:t>
      </w:r>
      <w:r w:rsidR="009B770F">
        <w:rPr>
          <w:rFonts w:ascii="Segoe UI" w:hAnsi="Segoe UI" w:cs="Segoe UI"/>
          <w:color w:val="666666"/>
          <w:sz w:val="20"/>
          <w:szCs w:val="20"/>
        </w:rPr>
        <w:t xml:space="preserve">be </w:t>
      </w:r>
      <w:r w:rsidRPr="008465B4">
        <w:rPr>
          <w:rFonts w:ascii="Segoe UI" w:hAnsi="Segoe UI" w:cs="Segoe UI"/>
          <w:color w:val="666666"/>
          <w:sz w:val="20"/>
          <w:szCs w:val="20"/>
        </w:rPr>
        <w:t xml:space="preserve">recognized at the time of billing, which is similar to the revenue recognition for prior versions of Windows. </w:t>
      </w:r>
      <w:r w:rsidR="00AC6BBB" w:rsidRPr="008465B4">
        <w:rPr>
          <w:rFonts w:ascii="Segoe UI" w:hAnsi="Segoe UI" w:cs="Segoe UI"/>
          <w:color w:val="666666"/>
          <w:sz w:val="20"/>
          <w:szCs w:val="20"/>
        </w:rPr>
        <w:t xml:space="preserve">Additional information regarding the new revenue standard is provided below. </w:t>
      </w:r>
      <w:r w:rsidRPr="008465B4">
        <w:rPr>
          <w:rFonts w:ascii="Segoe UI" w:hAnsi="Segoe UI" w:cs="Segoe UI"/>
          <w:color w:val="666666"/>
          <w:sz w:val="20"/>
          <w:szCs w:val="20"/>
        </w:rPr>
        <w:t xml:space="preserve">Microsoft reflects the recognition of Windows 10 revenue at the time of billing in </w:t>
      </w:r>
      <w:r w:rsidR="00AC6BBB" w:rsidRPr="008465B4">
        <w:rPr>
          <w:rFonts w:ascii="Segoe UI" w:hAnsi="Segoe UI" w:cs="Segoe UI"/>
          <w:color w:val="666666"/>
          <w:sz w:val="20"/>
          <w:szCs w:val="20"/>
        </w:rPr>
        <w:t>“</w:t>
      </w:r>
      <w:r w:rsidRPr="008465B4">
        <w:rPr>
          <w:rFonts w:ascii="Segoe UI" w:hAnsi="Segoe UI" w:cs="Segoe UI"/>
          <w:color w:val="666666"/>
          <w:sz w:val="20"/>
          <w:szCs w:val="20"/>
        </w:rPr>
        <w:t>As Adjusted (non-GAAP)</w:t>
      </w:r>
      <w:r w:rsidR="00AC6BBB" w:rsidRPr="008465B4">
        <w:rPr>
          <w:rFonts w:ascii="Segoe UI" w:hAnsi="Segoe UI" w:cs="Segoe UI"/>
          <w:color w:val="666666"/>
          <w:sz w:val="20"/>
          <w:szCs w:val="20"/>
        </w:rPr>
        <w:t>”</w:t>
      </w:r>
      <w:r w:rsidRPr="008465B4">
        <w:rPr>
          <w:rFonts w:ascii="Segoe UI" w:hAnsi="Segoe UI" w:cs="Segoe UI"/>
          <w:color w:val="666666"/>
          <w:sz w:val="20"/>
          <w:szCs w:val="20"/>
        </w:rPr>
        <w:t xml:space="preserve"> revenue to provide comparability during the short period of time where Windows 10 will be recognized over the estimated life of a </w:t>
      </w:r>
      <w:r w:rsidR="000A768B" w:rsidRPr="008465B4">
        <w:rPr>
          <w:rFonts w:ascii="Segoe UI" w:hAnsi="Segoe UI" w:cs="Segoe UI"/>
          <w:color w:val="666666"/>
          <w:sz w:val="20"/>
          <w:szCs w:val="20"/>
        </w:rPr>
        <w:t>device</w:t>
      </w:r>
      <w:r w:rsidR="000A768B">
        <w:rPr>
          <w:rFonts w:ascii="Segoe UI" w:hAnsi="Segoe UI" w:cs="Segoe UI"/>
          <w:color w:val="666666"/>
          <w:sz w:val="20"/>
          <w:szCs w:val="20"/>
        </w:rPr>
        <w:t xml:space="preserve">, i.e., ratable, </w:t>
      </w:r>
      <w:r w:rsidR="000A768B" w:rsidRPr="008465B4">
        <w:rPr>
          <w:rFonts w:ascii="Segoe UI" w:hAnsi="Segoe UI" w:cs="Segoe UI"/>
          <w:color w:val="666666"/>
          <w:sz w:val="20"/>
          <w:szCs w:val="20"/>
        </w:rPr>
        <w:t>rather than at the time of billing</w:t>
      </w:r>
      <w:r w:rsidRPr="008465B4">
        <w:rPr>
          <w:rFonts w:ascii="Segoe UI" w:hAnsi="Segoe UI" w:cs="Segoe UI"/>
          <w:color w:val="666666"/>
          <w:sz w:val="20"/>
          <w:szCs w:val="20"/>
        </w:rPr>
        <w:t>.</w:t>
      </w:r>
    </w:p>
    <w:p w14:paraId="5D9DEF9C" w14:textId="71617379" w:rsidR="00662262" w:rsidRPr="008465B4" w:rsidRDefault="00662262" w:rsidP="00FD6CC6">
      <w:pPr>
        <w:spacing w:before="270" w:after="270" w:line="240" w:lineRule="auto"/>
        <w:rPr>
          <w:rFonts w:ascii="Segoe UI" w:hAnsi="Segoe UI" w:cs="Segoe UI"/>
          <w:color w:val="666666"/>
          <w:sz w:val="20"/>
          <w:szCs w:val="20"/>
        </w:rPr>
      </w:pPr>
      <w:r w:rsidRPr="00FD6CC6">
        <w:rPr>
          <w:rFonts w:ascii="Segoe UI" w:hAnsi="Segoe UI" w:cs="Segoe UI"/>
          <w:i/>
          <w:color w:val="666666"/>
          <w:sz w:val="20"/>
          <w:szCs w:val="20"/>
        </w:rPr>
        <w:t xml:space="preserve">Impairment, Integration and Restructuring </w:t>
      </w:r>
      <w:r w:rsidR="004A521B" w:rsidRPr="00FD6CC6">
        <w:rPr>
          <w:rFonts w:ascii="Segoe UI" w:hAnsi="Segoe UI" w:cs="Segoe UI"/>
          <w:i/>
          <w:color w:val="666666"/>
          <w:sz w:val="20"/>
          <w:szCs w:val="20"/>
        </w:rPr>
        <w:t>Expenses</w:t>
      </w:r>
      <w:r w:rsidRPr="00FD6CC6">
        <w:rPr>
          <w:rFonts w:ascii="Segoe UI" w:hAnsi="Segoe UI" w:cs="Segoe UI"/>
          <w:i/>
          <w:color w:val="666666"/>
          <w:sz w:val="20"/>
          <w:szCs w:val="20"/>
        </w:rPr>
        <w:t xml:space="preserve">. </w:t>
      </w:r>
      <w:r w:rsidRPr="008465B4">
        <w:rPr>
          <w:rFonts w:ascii="Segoe UI" w:hAnsi="Segoe UI" w:cs="Segoe UI"/>
          <w:color w:val="666666"/>
          <w:sz w:val="20"/>
          <w:szCs w:val="20"/>
        </w:rPr>
        <w:t xml:space="preserve">During the fourth quarter of fiscal year 2016, restructuring and related impairment </w:t>
      </w:r>
      <w:r w:rsidR="004A521B" w:rsidRPr="008465B4">
        <w:rPr>
          <w:rFonts w:ascii="Segoe UI" w:hAnsi="Segoe UI" w:cs="Segoe UI"/>
          <w:color w:val="666666"/>
          <w:sz w:val="20"/>
          <w:szCs w:val="20"/>
        </w:rPr>
        <w:t>expenses</w:t>
      </w:r>
      <w:r w:rsidRPr="008465B4">
        <w:rPr>
          <w:rFonts w:ascii="Segoe UI" w:hAnsi="Segoe UI" w:cs="Segoe UI"/>
          <w:color w:val="666666"/>
          <w:sz w:val="20"/>
          <w:szCs w:val="20"/>
        </w:rPr>
        <w:t xml:space="preserve"> were $1.1 billion. Microsoft </w:t>
      </w:r>
      <w:r w:rsidR="00750826" w:rsidRPr="008465B4">
        <w:rPr>
          <w:rFonts w:ascii="Segoe UI" w:hAnsi="Segoe UI" w:cs="Segoe UI"/>
          <w:color w:val="666666"/>
          <w:sz w:val="20"/>
          <w:szCs w:val="20"/>
        </w:rPr>
        <w:t xml:space="preserve">recorded $630 million of asset impairment charges </w:t>
      </w:r>
      <w:r w:rsidR="005D1040" w:rsidRPr="008465B4">
        <w:rPr>
          <w:rFonts w:ascii="Segoe UI" w:hAnsi="Segoe UI" w:cs="Segoe UI"/>
          <w:color w:val="666666"/>
          <w:sz w:val="20"/>
          <w:szCs w:val="20"/>
        </w:rPr>
        <w:t xml:space="preserve">which reflected </w:t>
      </w:r>
      <w:r w:rsidR="00750826" w:rsidRPr="008465B4">
        <w:rPr>
          <w:rFonts w:ascii="Segoe UI" w:hAnsi="Segoe UI" w:cs="Segoe UI"/>
          <w:color w:val="666666"/>
          <w:sz w:val="20"/>
          <w:szCs w:val="20"/>
        </w:rPr>
        <w:t xml:space="preserve">the performance of our phone business, </w:t>
      </w:r>
      <w:r w:rsidR="00637D00">
        <w:rPr>
          <w:rFonts w:ascii="Segoe UI" w:hAnsi="Segoe UI" w:cs="Segoe UI"/>
          <w:color w:val="666666"/>
          <w:sz w:val="20"/>
          <w:szCs w:val="20"/>
        </w:rPr>
        <w:t>and</w:t>
      </w:r>
      <w:r w:rsidR="00750826" w:rsidRPr="008465B4">
        <w:rPr>
          <w:rFonts w:ascii="Segoe UI" w:hAnsi="Segoe UI" w:cs="Segoe UI"/>
          <w:color w:val="666666"/>
          <w:sz w:val="20"/>
          <w:szCs w:val="20"/>
        </w:rPr>
        <w:t xml:space="preserve"> $480 million of restructuring charges primarily related to our </w:t>
      </w:r>
      <w:r w:rsidR="005A43F7" w:rsidRPr="008465B4">
        <w:rPr>
          <w:rFonts w:ascii="Segoe UI" w:hAnsi="Segoe UI" w:cs="Segoe UI"/>
          <w:color w:val="666666"/>
          <w:sz w:val="20"/>
          <w:szCs w:val="20"/>
        </w:rPr>
        <w:t xml:space="preserve">previously announced </w:t>
      </w:r>
      <w:r w:rsidR="00750826" w:rsidRPr="008465B4">
        <w:rPr>
          <w:rFonts w:ascii="Segoe UI" w:hAnsi="Segoe UI" w:cs="Segoe UI"/>
          <w:color w:val="666666"/>
          <w:sz w:val="20"/>
          <w:szCs w:val="20"/>
        </w:rPr>
        <w:t>phone business restructuring plans</w:t>
      </w:r>
      <w:r w:rsidRPr="008465B4">
        <w:rPr>
          <w:rFonts w:ascii="Segoe UI" w:hAnsi="Segoe UI" w:cs="Segoe UI"/>
          <w:color w:val="666666"/>
          <w:sz w:val="20"/>
          <w:szCs w:val="20"/>
        </w:rPr>
        <w:t>.</w:t>
      </w:r>
    </w:p>
    <w:p w14:paraId="0EFE130F" w14:textId="4297CC50" w:rsidR="00662262" w:rsidRPr="008465B4" w:rsidRDefault="00662262" w:rsidP="00FD6CC6">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During the fourth quarter of fiscal year 2015, impairment, integration, and restructuring </w:t>
      </w:r>
      <w:r w:rsidR="004A521B" w:rsidRPr="008465B4">
        <w:rPr>
          <w:rFonts w:ascii="Segoe UI" w:hAnsi="Segoe UI" w:cs="Segoe UI"/>
          <w:color w:val="666666"/>
          <w:sz w:val="20"/>
          <w:szCs w:val="20"/>
        </w:rPr>
        <w:t>expenses</w:t>
      </w:r>
      <w:r w:rsidRPr="008465B4">
        <w:rPr>
          <w:rFonts w:ascii="Segoe UI" w:hAnsi="Segoe UI" w:cs="Segoe UI"/>
          <w:color w:val="666666"/>
          <w:sz w:val="20"/>
          <w:szCs w:val="20"/>
        </w:rPr>
        <w:t xml:space="preserve"> were $8.4 billion. Microsoft recorded $7.5 billion of goodwill and asset impairment charges related to our phone business, </w:t>
      </w:r>
      <w:r w:rsidR="00D82488" w:rsidRPr="008465B4">
        <w:rPr>
          <w:rFonts w:ascii="Segoe UI" w:hAnsi="Segoe UI" w:cs="Segoe UI"/>
          <w:color w:val="666666"/>
          <w:sz w:val="20"/>
          <w:szCs w:val="20"/>
        </w:rPr>
        <w:t xml:space="preserve">and </w:t>
      </w:r>
      <w:r w:rsidRPr="008465B4">
        <w:rPr>
          <w:rFonts w:ascii="Segoe UI" w:hAnsi="Segoe UI" w:cs="Segoe UI"/>
          <w:color w:val="666666"/>
          <w:sz w:val="20"/>
          <w:szCs w:val="20"/>
        </w:rPr>
        <w:t xml:space="preserve">$940 million of integration and restructuring expenses </w:t>
      </w:r>
      <w:r w:rsidR="005D1040" w:rsidRPr="008465B4">
        <w:rPr>
          <w:rFonts w:ascii="Segoe UI" w:hAnsi="Segoe UI" w:cs="Segoe UI"/>
          <w:color w:val="666666"/>
          <w:sz w:val="20"/>
          <w:szCs w:val="20"/>
        </w:rPr>
        <w:t xml:space="preserve">primarily </w:t>
      </w:r>
      <w:r w:rsidRPr="008465B4">
        <w:rPr>
          <w:rFonts w:ascii="Segoe UI" w:hAnsi="Segoe UI" w:cs="Segoe UI"/>
          <w:color w:val="666666"/>
          <w:sz w:val="20"/>
          <w:szCs w:val="20"/>
        </w:rPr>
        <w:t xml:space="preserve">related to </w:t>
      </w:r>
      <w:r w:rsidR="005A43F7" w:rsidRPr="008465B4">
        <w:rPr>
          <w:rFonts w:ascii="Segoe UI" w:hAnsi="Segoe UI" w:cs="Segoe UI"/>
          <w:color w:val="666666"/>
          <w:sz w:val="20"/>
          <w:szCs w:val="20"/>
        </w:rPr>
        <w:t xml:space="preserve">our </w:t>
      </w:r>
      <w:r w:rsidR="005D1040" w:rsidRPr="008465B4">
        <w:rPr>
          <w:rFonts w:ascii="Segoe UI" w:hAnsi="Segoe UI" w:cs="Segoe UI"/>
          <w:color w:val="666666"/>
          <w:sz w:val="20"/>
          <w:szCs w:val="20"/>
        </w:rPr>
        <w:t xml:space="preserve">phone business </w:t>
      </w:r>
      <w:r w:rsidRPr="008465B4">
        <w:rPr>
          <w:rFonts w:ascii="Segoe UI" w:hAnsi="Segoe UI" w:cs="Segoe UI"/>
          <w:color w:val="666666"/>
          <w:sz w:val="20"/>
          <w:szCs w:val="20"/>
        </w:rPr>
        <w:t>restructuring plans.</w:t>
      </w:r>
    </w:p>
    <w:p w14:paraId="442DE2B1" w14:textId="50E0071E" w:rsidR="00662262" w:rsidRPr="008465B4" w:rsidRDefault="00662262" w:rsidP="00FD6CC6">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For fiscal year 2015, impairment, integration, and restructuring </w:t>
      </w:r>
      <w:r w:rsidR="002E1648" w:rsidRPr="008465B4">
        <w:rPr>
          <w:rFonts w:ascii="Segoe UI" w:hAnsi="Segoe UI" w:cs="Segoe UI"/>
          <w:color w:val="666666"/>
          <w:sz w:val="20"/>
          <w:szCs w:val="20"/>
        </w:rPr>
        <w:t>expenses</w:t>
      </w:r>
      <w:r w:rsidRPr="008465B4">
        <w:rPr>
          <w:rFonts w:ascii="Segoe UI" w:hAnsi="Segoe UI" w:cs="Segoe UI"/>
          <w:color w:val="666666"/>
          <w:sz w:val="20"/>
          <w:szCs w:val="20"/>
        </w:rPr>
        <w:t xml:space="preserve"> were $10.0 billion. Microsoft recorded $7.5 billion of goodwill and asset impairment charges related to the phone business, </w:t>
      </w:r>
      <w:r w:rsidR="00D82488" w:rsidRPr="008465B4">
        <w:rPr>
          <w:rFonts w:ascii="Segoe UI" w:hAnsi="Segoe UI" w:cs="Segoe UI"/>
          <w:color w:val="666666"/>
          <w:sz w:val="20"/>
          <w:szCs w:val="20"/>
        </w:rPr>
        <w:t>and</w:t>
      </w:r>
      <w:r w:rsidRPr="008465B4">
        <w:rPr>
          <w:rFonts w:ascii="Segoe UI" w:hAnsi="Segoe UI" w:cs="Segoe UI"/>
          <w:color w:val="666666"/>
          <w:sz w:val="20"/>
          <w:szCs w:val="20"/>
        </w:rPr>
        <w:t xml:space="preserve"> $2.5 billion of integration and restructuring expenses </w:t>
      </w:r>
      <w:r w:rsidR="008D71D9">
        <w:rPr>
          <w:rFonts w:ascii="Segoe UI" w:hAnsi="Segoe UI" w:cs="Segoe UI"/>
          <w:color w:val="666666"/>
          <w:sz w:val="20"/>
          <w:szCs w:val="20"/>
        </w:rPr>
        <w:t xml:space="preserve">primarily </w:t>
      </w:r>
      <w:r w:rsidRPr="008465B4">
        <w:rPr>
          <w:rFonts w:ascii="Segoe UI" w:hAnsi="Segoe UI" w:cs="Segoe UI"/>
          <w:color w:val="666666"/>
          <w:sz w:val="20"/>
          <w:szCs w:val="20"/>
        </w:rPr>
        <w:t xml:space="preserve">related to our </w:t>
      </w:r>
      <w:r w:rsidR="008D71D9">
        <w:rPr>
          <w:rFonts w:ascii="Segoe UI" w:hAnsi="Segoe UI" w:cs="Segoe UI"/>
          <w:color w:val="666666"/>
          <w:sz w:val="20"/>
          <w:szCs w:val="20"/>
        </w:rPr>
        <w:t xml:space="preserve">phone business </w:t>
      </w:r>
      <w:r w:rsidRPr="008465B4">
        <w:rPr>
          <w:rFonts w:ascii="Segoe UI" w:hAnsi="Segoe UI" w:cs="Segoe UI"/>
          <w:color w:val="666666"/>
          <w:sz w:val="20"/>
          <w:szCs w:val="20"/>
        </w:rPr>
        <w:t>restructuring plans.</w:t>
      </w:r>
    </w:p>
    <w:p w14:paraId="2F5E7BA4" w14:textId="77777777" w:rsidR="005D16CF" w:rsidRPr="008465B4" w:rsidRDefault="005D16CF" w:rsidP="006C3477">
      <w:pPr>
        <w:keepNext/>
        <w:spacing w:before="270" w:after="270" w:line="240" w:lineRule="auto"/>
        <w:rPr>
          <w:rFonts w:ascii="Segoe UI" w:hAnsi="Segoe UI" w:cs="Segoe UI"/>
          <w:b/>
          <w:color w:val="666666"/>
          <w:sz w:val="20"/>
          <w:szCs w:val="20"/>
        </w:rPr>
      </w:pPr>
      <w:r w:rsidRPr="008465B4">
        <w:rPr>
          <w:rFonts w:ascii="Segoe UI" w:hAnsi="Segoe UI" w:cs="Segoe UI"/>
          <w:b/>
          <w:color w:val="666666"/>
          <w:sz w:val="20"/>
          <w:szCs w:val="20"/>
        </w:rPr>
        <w:t xml:space="preserve">New Revenue </w:t>
      </w:r>
      <w:r w:rsidR="004D2BEE" w:rsidRPr="008465B4">
        <w:rPr>
          <w:rFonts w:ascii="Segoe UI" w:hAnsi="Segoe UI" w:cs="Segoe UI"/>
          <w:b/>
          <w:color w:val="666666"/>
          <w:sz w:val="20"/>
          <w:szCs w:val="20"/>
        </w:rPr>
        <w:t>Standard</w:t>
      </w:r>
    </w:p>
    <w:p w14:paraId="56BA062A" w14:textId="77777777" w:rsidR="00334120" w:rsidRPr="008465B4" w:rsidRDefault="00334120" w:rsidP="006C3477">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In May 2014, the Financial Accounting Standards Board (“FASB”) issued a new standard related to revenue recognition. Under the new standard, revenue is recognized when a customer obtains control of promised goods or services and is recognized in an amount that reflects the consideration the entity expects to receive in exchange for those goods or services. In addition, the standard requires disclosure of the nature, amount, timing, and uncertainty of revenue and cash flows arising from contracts with customers. The FASB has recently issued several amendments to the standard, including clarification on accounting for licenses of intellectual property and identifying performance obligations. </w:t>
      </w:r>
    </w:p>
    <w:p w14:paraId="398B4CF4" w14:textId="7BC4169F" w:rsidR="00E61C49" w:rsidRPr="008465B4" w:rsidRDefault="00E61C49" w:rsidP="006C3477">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3014025C" w14:textId="77777777" w:rsidR="00E61C49" w:rsidRPr="008465B4" w:rsidRDefault="00E61C49" w:rsidP="006C3477">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The new standard will be effective for us beginning July 1, 2018, and adoption as of the original effective date of July 1, 2017 is permitted. We currently anticipate early adoption of the new standard effective July 1, 2017. Our ability to early adopt using the full retrospective method is dependent on system readiness, including software procured from third-party providers, and the completion of our analysis of information necessary to restate prior period financial statements. </w:t>
      </w:r>
    </w:p>
    <w:p w14:paraId="0AAB5579" w14:textId="74F9C0E4" w:rsidR="00E61C49" w:rsidRPr="008465B4" w:rsidRDefault="00E61C49" w:rsidP="006C3477">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We anticipate this standard will have a material impact on our consolidated financial statements. While we are continuing to assess all potential impacts of the standard, we currently believe the most significant impact relates to our accounting for software license revenue. We expect revenue related to hardware, cloud offerings, and professional services to r</w:t>
      </w:r>
      <w:r w:rsidR="00984025" w:rsidRPr="008465B4">
        <w:rPr>
          <w:rFonts w:ascii="Segoe UI" w:hAnsi="Segoe UI" w:cs="Segoe UI"/>
          <w:color w:val="666666"/>
          <w:sz w:val="20"/>
          <w:szCs w:val="20"/>
        </w:rPr>
        <w:t xml:space="preserve">emain substantially unchanged. </w:t>
      </w:r>
      <w:r w:rsidRPr="008465B4">
        <w:rPr>
          <w:rFonts w:ascii="Segoe UI" w:hAnsi="Segoe UI" w:cs="Segoe UI"/>
          <w:color w:val="666666"/>
          <w:sz w:val="20"/>
          <w:szCs w:val="20"/>
        </w:rPr>
        <w:t>Specifically, under the new standard we expect to recognize Windows 10 revenue predominantly upfront rather than ratably over the life of the re</w:t>
      </w:r>
      <w:r w:rsidR="00984025" w:rsidRPr="008465B4">
        <w:rPr>
          <w:rFonts w:ascii="Segoe UI" w:hAnsi="Segoe UI" w:cs="Segoe UI"/>
          <w:color w:val="666666"/>
          <w:sz w:val="20"/>
          <w:szCs w:val="20"/>
        </w:rPr>
        <w:t xml:space="preserve">lated device. </w:t>
      </w:r>
      <w:r w:rsidRPr="008465B4">
        <w:rPr>
          <w:rFonts w:ascii="Segoe UI" w:hAnsi="Segoe UI" w:cs="Segoe UI"/>
          <w:color w:val="666666"/>
          <w:sz w:val="20"/>
          <w:szCs w:val="20"/>
        </w:rPr>
        <w:t>We also expect to recognize license revenue upfront rather than over the subscription period from certain multi-year commercial software subscriptions that include both software li</w:t>
      </w:r>
      <w:r w:rsidR="00984025" w:rsidRPr="008465B4">
        <w:rPr>
          <w:rFonts w:ascii="Segoe UI" w:hAnsi="Segoe UI" w:cs="Segoe UI"/>
          <w:color w:val="666666"/>
          <w:sz w:val="20"/>
          <w:szCs w:val="20"/>
        </w:rPr>
        <w:t xml:space="preserve">censes and software assurance. </w:t>
      </w:r>
      <w:r w:rsidRPr="008465B4">
        <w:rPr>
          <w:rFonts w:ascii="Segoe UI" w:hAnsi="Segoe UI" w:cs="Segoe UI"/>
          <w:color w:val="666666"/>
          <w:sz w:val="20"/>
          <w:szCs w:val="20"/>
        </w:rPr>
        <w:t>Due to the complexity of certain of our commercial license subscription contracts, the actual revenue recognition treatment required under the standard will be dependent on contract</w:t>
      </w:r>
      <w:r w:rsidR="00D82488" w:rsidRPr="008465B4">
        <w:rPr>
          <w:rFonts w:ascii="Segoe UI" w:hAnsi="Segoe UI" w:cs="Segoe UI"/>
          <w:color w:val="666666"/>
          <w:sz w:val="20"/>
          <w:szCs w:val="20"/>
        </w:rPr>
        <w:t>-</w:t>
      </w:r>
      <w:r w:rsidRPr="008465B4">
        <w:rPr>
          <w:rFonts w:ascii="Segoe UI" w:hAnsi="Segoe UI" w:cs="Segoe UI"/>
          <w:color w:val="666666"/>
          <w:sz w:val="20"/>
          <w:szCs w:val="20"/>
        </w:rPr>
        <w:t xml:space="preserve">specific terms, and may vary in some instances from upfront recognition.  </w:t>
      </w:r>
    </w:p>
    <w:p w14:paraId="69FAB276" w14:textId="2C69CE42" w:rsidR="005D16CF" w:rsidRPr="006C3477" w:rsidRDefault="00E92F21" w:rsidP="006C3477">
      <w:pPr>
        <w:spacing w:before="270" w:after="270" w:line="240" w:lineRule="auto"/>
        <w:rPr>
          <w:rFonts w:ascii="Segoe UI" w:hAnsi="Segoe UI" w:cs="Segoe UI"/>
          <w:color w:val="666666"/>
          <w:sz w:val="20"/>
          <w:szCs w:val="20"/>
        </w:rPr>
      </w:pPr>
      <w:r w:rsidRPr="006C3477">
        <w:rPr>
          <w:rFonts w:ascii="Segoe UI" w:hAnsi="Segoe UI" w:cs="Segoe UI"/>
          <w:color w:val="666666"/>
          <w:sz w:val="20"/>
          <w:szCs w:val="20"/>
        </w:rPr>
        <w:t>We currently believe the net change in Windows 10 revenue from period to period is indicative of the net change in revenue we expect from the adoption of the new standard.</w:t>
      </w:r>
    </w:p>
    <w:p w14:paraId="179AD0D3" w14:textId="7C0D69CB" w:rsidR="008F2674" w:rsidRPr="008465B4" w:rsidRDefault="008F2674" w:rsidP="00AF0ECE">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Constant Currency</w:t>
      </w:r>
    </w:p>
    <w:p w14:paraId="2949E906" w14:textId="77777777" w:rsidR="008F2674" w:rsidRPr="008465B4" w:rsidRDefault="008F2674" w:rsidP="00B1348B">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137D51C4" w14:textId="77777777" w:rsidR="008F2674" w:rsidRPr="008465B4" w:rsidRDefault="008F2674" w:rsidP="008F2674">
      <w:pPr>
        <w:keepNext/>
        <w:spacing w:before="270" w:after="270" w:line="240" w:lineRule="auto"/>
        <w:rPr>
          <w:rFonts w:ascii="Segoe UI" w:hAnsi="Segoe UI" w:cs="Segoe UI"/>
          <w:b/>
          <w:color w:val="666666"/>
          <w:sz w:val="20"/>
          <w:szCs w:val="20"/>
        </w:rPr>
      </w:pPr>
      <w:r w:rsidRPr="008465B4">
        <w:rPr>
          <w:rFonts w:ascii="Segoe UI" w:hAnsi="Segoe UI" w:cs="Segoe UI"/>
          <w:color w:val="666666"/>
          <w:sz w:val="20"/>
          <w:szCs w:val="20"/>
        </w:rPr>
        <w:tab/>
      </w:r>
      <w:r w:rsidRPr="008465B4">
        <w:rPr>
          <w:rFonts w:ascii="Segoe UI" w:eastAsia="Times New Roman" w:hAnsi="Segoe UI" w:cs="Segoe UI"/>
          <w:b/>
          <w:bCs/>
          <w:color w:val="666666"/>
          <w:sz w:val="20"/>
          <w:szCs w:val="20"/>
        </w:rPr>
        <w:t>Financial Performance Constant Currency Reconciliation</w:t>
      </w:r>
    </w:p>
    <w:tbl>
      <w:tblPr>
        <w:tblW w:w="5000" w:type="pct"/>
        <w:tblLayout w:type="fixed"/>
        <w:tblLook w:val="04A0" w:firstRow="1" w:lastRow="0" w:firstColumn="1" w:lastColumn="0" w:noHBand="0" w:noVBand="1"/>
      </w:tblPr>
      <w:tblGrid>
        <w:gridCol w:w="4464"/>
        <w:gridCol w:w="1224"/>
        <w:gridCol w:w="1224"/>
        <w:gridCol w:w="1224"/>
        <w:gridCol w:w="1224"/>
      </w:tblGrid>
      <w:tr w:rsidR="008F2674" w:rsidRPr="008465B4" w14:paraId="5E0E9896" w14:textId="77777777" w:rsidTr="00210D75">
        <w:trPr>
          <w:trHeight w:val="340"/>
        </w:trPr>
        <w:tc>
          <w:tcPr>
            <w:tcW w:w="4464" w:type="dxa"/>
            <w:tcBorders>
              <w:top w:val="nil"/>
              <w:left w:val="nil"/>
              <w:bottom w:val="single" w:sz="8" w:space="0" w:color="auto"/>
              <w:right w:val="nil"/>
            </w:tcBorders>
            <w:vAlign w:val="center"/>
          </w:tcPr>
          <w:p w14:paraId="49B683BA" w14:textId="77777777" w:rsidR="008F2674" w:rsidRPr="008465B4" w:rsidRDefault="008F2674" w:rsidP="00210D75">
            <w:pPr>
              <w:spacing w:after="0" w:line="240" w:lineRule="auto"/>
              <w:rPr>
                <w:rFonts w:ascii="Segoe UI" w:eastAsia="Times New Roman" w:hAnsi="Segoe UI" w:cs="Segoe UI"/>
                <w:color w:val="666666"/>
                <w:sz w:val="16"/>
                <w:szCs w:val="16"/>
              </w:rPr>
            </w:pPr>
          </w:p>
        </w:tc>
        <w:tc>
          <w:tcPr>
            <w:tcW w:w="4896" w:type="dxa"/>
            <w:gridSpan w:val="4"/>
            <w:tcBorders>
              <w:top w:val="nil"/>
              <w:left w:val="nil"/>
              <w:bottom w:val="single" w:sz="8" w:space="0" w:color="auto"/>
            </w:tcBorders>
          </w:tcPr>
          <w:p w14:paraId="79E840E5"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017264" w:rsidRPr="008465B4">
              <w:rPr>
                <w:rFonts w:ascii="Segoe UI" w:eastAsia="Times New Roman" w:hAnsi="Segoe UI" w:cs="Segoe UI"/>
                <w:b/>
                <w:bCs/>
                <w:color w:val="666666"/>
                <w:sz w:val="16"/>
                <w:szCs w:val="16"/>
              </w:rPr>
              <w:t>June 30</w:t>
            </w:r>
            <w:r w:rsidRPr="008465B4">
              <w:rPr>
                <w:rFonts w:ascii="Segoe UI" w:eastAsia="Times New Roman" w:hAnsi="Segoe UI" w:cs="Segoe UI"/>
                <w:b/>
                <w:bCs/>
                <w:color w:val="666666"/>
                <w:sz w:val="16"/>
                <w:szCs w:val="16"/>
              </w:rPr>
              <w:t>,</w:t>
            </w:r>
          </w:p>
        </w:tc>
      </w:tr>
      <w:tr w:rsidR="008F2674" w:rsidRPr="008465B4" w14:paraId="2DA13D40" w14:textId="77777777" w:rsidTr="00210D75">
        <w:trPr>
          <w:trHeight w:val="365"/>
        </w:trPr>
        <w:tc>
          <w:tcPr>
            <w:tcW w:w="4464" w:type="dxa"/>
            <w:tcBorders>
              <w:top w:val="single" w:sz="8" w:space="0" w:color="666666"/>
              <w:left w:val="nil"/>
              <w:bottom w:val="single" w:sz="8" w:space="0" w:color="666666"/>
              <w:right w:val="nil"/>
            </w:tcBorders>
            <w:vAlign w:val="bottom"/>
            <w:hideMark/>
          </w:tcPr>
          <w:p w14:paraId="71009505" w14:textId="77777777" w:rsidR="008F2674" w:rsidRPr="008465B4" w:rsidRDefault="008F2674" w:rsidP="00210D75">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224" w:type="dxa"/>
            <w:tcBorders>
              <w:top w:val="single" w:sz="8" w:space="0" w:color="666666"/>
              <w:left w:val="nil"/>
              <w:bottom w:val="single" w:sz="8" w:space="0" w:color="666666"/>
              <w:right w:val="nil"/>
            </w:tcBorders>
            <w:vAlign w:val="bottom"/>
          </w:tcPr>
          <w:p w14:paraId="3E61DB8D"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224" w:type="dxa"/>
            <w:tcBorders>
              <w:top w:val="single" w:sz="8" w:space="0" w:color="666666"/>
              <w:left w:val="nil"/>
              <w:bottom w:val="single" w:sz="8" w:space="0" w:color="666666"/>
              <w:right w:val="nil"/>
            </w:tcBorders>
            <w:vAlign w:val="bottom"/>
          </w:tcPr>
          <w:p w14:paraId="4B307814"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Operating Income</w:t>
            </w:r>
            <w:r w:rsidR="009A6AB2" w:rsidRPr="008465B4">
              <w:rPr>
                <w:rFonts w:ascii="Segoe UI" w:eastAsia="Times New Roman" w:hAnsi="Segoe UI" w:cs="Segoe UI"/>
                <w:b/>
                <w:bCs/>
                <w:color w:val="666666"/>
                <w:sz w:val="16"/>
                <w:szCs w:val="16"/>
              </w:rPr>
              <w:t xml:space="preserve"> (Loss)</w:t>
            </w:r>
          </w:p>
        </w:tc>
        <w:tc>
          <w:tcPr>
            <w:tcW w:w="1224" w:type="dxa"/>
            <w:tcBorders>
              <w:top w:val="single" w:sz="8" w:space="0" w:color="666666"/>
              <w:left w:val="nil"/>
              <w:bottom w:val="single" w:sz="8" w:space="0" w:color="666666"/>
              <w:right w:val="nil"/>
            </w:tcBorders>
            <w:vAlign w:val="bottom"/>
          </w:tcPr>
          <w:p w14:paraId="1D7B7886"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Net Income</w:t>
            </w:r>
            <w:r w:rsidR="009A6AB2" w:rsidRPr="008465B4">
              <w:rPr>
                <w:rFonts w:ascii="Segoe UI" w:eastAsia="Times New Roman" w:hAnsi="Segoe UI" w:cs="Segoe UI"/>
                <w:b/>
                <w:bCs/>
                <w:color w:val="666666"/>
                <w:sz w:val="16"/>
                <w:szCs w:val="16"/>
              </w:rPr>
              <w:t xml:space="preserve"> (Loss)</w:t>
            </w:r>
          </w:p>
        </w:tc>
        <w:tc>
          <w:tcPr>
            <w:tcW w:w="1224" w:type="dxa"/>
            <w:tcBorders>
              <w:top w:val="single" w:sz="8" w:space="0" w:color="666666"/>
              <w:left w:val="nil"/>
              <w:bottom w:val="single" w:sz="8" w:space="0" w:color="666666"/>
              <w:right w:val="nil"/>
            </w:tcBorders>
            <w:vAlign w:val="bottom"/>
          </w:tcPr>
          <w:p w14:paraId="24CB7DAE" w14:textId="77777777" w:rsidR="008F2674" w:rsidRPr="008465B4" w:rsidRDefault="00E878DE"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(Loss) per Share</w:t>
            </w:r>
          </w:p>
        </w:tc>
      </w:tr>
      <w:tr w:rsidR="00964C3F" w:rsidRPr="008465B4" w14:paraId="236B8C64" w14:textId="77777777" w:rsidTr="00210D75">
        <w:trPr>
          <w:trHeight w:val="288"/>
        </w:trPr>
        <w:tc>
          <w:tcPr>
            <w:tcW w:w="4464" w:type="dxa"/>
            <w:tcBorders>
              <w:top w:val="single" w:sz="8" w:space="0" w:color="666666"/>
              <w:left w:val="nil"/>
              <w:bottom w:val="single" w:sz="4" w:space="0" w:color="auto"/>
              <w:right w:val="nil"/>
            </w:tcBorders>
            <w:noWrap/>
            <w:vAlign w:val="center"/>
          </w:tcPr>
          <w:p w14:paraId="1DB78D34" w14:textId="77777777" w:rsidR="00964C3F" w:rsidRPr="008465B4" w:rsidRDefault="00964C3F" w:rsidP="00964C3F">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224" w:type="dxa"/>
            <w:tcBorders>
              <w:top w:val="single" w:sz="8" w:space="0" w:color="666666"/>
              <w:left w:val="nil"/>
              <w:bottom w:val="single" w:sz="4" w:space="0" w:color="auto"/>
              <w:right w:val="nil"/>
            </w:tcBorders>
            <w:vAlign w:val="center"/>
          </w:tcPr>
          <w:p w14:paraId="25B0CC46" w14:textId="77777777" w:rsidR="00964C3F" w:rsidRPr="008465B4" w:rsidRDefault="00964C3F" w:rsidP="00964C3F">
            <w:pPr>
              <w:spacing w:after="0" w:line="240" w:lineRule="auto"/>
              <w:ind w:firstLine="82"/>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666666"/>
                <w:sz w:val="16"/>
                <w:szCs w:val="16"/>
              </w:rPr>
              <w:t>$22,180</w:t>
            </w:r>
          </w:p>
        </w:tc>
        <w:tc>
          <w:tcPr>
            <w:tcW w:w="1224" w:type="dxa"/>
            <w:tcBorders>
              <w:top w:val="single" w:sz="8" w:space="0" w:color="666666"/>
              <w:left w:val="nil"/>
              <w:bottom w:val="single" w:sz="4" w:space="0" w:color="auto"/>
              <w:right w:val="nil"/>
            </w:tcBorders>
            <w:vAlign w:val="center"/>
          </w:tcPr>
          <w:p w14:paraId="0A995EBE" w14:textId="77777777" w:rsidR="00964C3F" w:rsidRPr="008465B4" w:rsidRDefault="00964C3F" w:rsidP="00964C3F">
            <w:pPr>
              <w:spacing w:after="0" w:line="240" w:lineRule="auto"/>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666666"/>
                <w:sz w:val="16"/>
                <w:szCs w:val="16"/>
              </w:rPr>
              <w:t>$(2,053)</w:t>
            </w:r>
          </w:p>
        </w:tc>
        <w:tc>
          <w:tcPr>
            <w:tcW w:w="1224" w:type="dxa"/>
            <w:tcBorders>
              <w:top w:val="single" w:sz="8" w:space="0" w:color="666666"/>
              <w:left w:val="nil"/>
              <w:bottom w:val="single" w:sz="4" w:space="0" w:color="auto"/>
              <w:right w:val="nil"/>
            </w:tcBorders>
            <w:vAlign w:val="center"/>
          </w:tcPr>
          <w:p w14:paraId="38D4532D"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$(3,195)</w:t>
            </w:r>
          </w:p>
        </w:tc>
        <w:tc>
          <w:tcPr>
            <w:tcW w:w="1224" w:type="dxa"/>
            <w:tcBorders>
              <w:top w:val="single" w:sz="8" w:space="0" w:color="666666"/>
              <w:left w:val="nil"/>
              <w:bottom w:val="single" w:sz="4" w:space="0" w:color="auto"/>
              <w:right w:val="nil"/>
            </w:tcBorders>
            <w:vAlign w:val="center"/>
          </w:tcPr>
          <w:p w14:paraId="4487A902"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$(0.40)</w:t>
            </w:r>
          </w:p>
        </w:tc>
      </w:tr>
      <w:tr w:rsidR="00964C3F" w:rsidRPr="008465B4" w14:paraId="5AF2BB2E" w14:textId="77777777" w:rsidTr="00210D75">
        <w:trPr>
          <w:trHeight w:val="288"/>
        </w:trPr>
        <w:tc>
          <w:tcPr>
            <w:tcW w:w="4464" w:type="dxa"/>
            <w:tcBorders>
              <w:top w:val="single" w:sz="4" w:space="0" w:color="auto"/>
              <w:left w:val="nil"/>
              <w:bottom w:val="single" w:sz="4" w:space="0" w:color="auto"/>
              <w:right w:val="nil"/>
            </w:tcBorders>
            <w:noWrap/>
            <w:vAlign w:val="center"/>
          </w:tcPr>
          <w:p w14:paraId="6FF5A9EC" w14:textId="77777777" w:rsidR="00964C3F" w:rsidRPr="008465B4" w:rsidRDefault="00964C3F" w:rsidP="00964C3F">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Adjusted (non-GAAP)</w:t>
            </w:r>
          </w:p>
        </w:tc>
        <w:tc>
          <w:tcPr>
            <w:tcW w:w="1224" w:type="dxa"/>
            <w:tcBorders>
              <w:top w:val="single" w:sz="4" w:space="0" w:color="auto"/>
              <w:left w:val="nil"/>
              <w:bottom w:val="single" w:sz="4" w:space="0" w:color="auto"/>
              <w:right w:val="nil"/>
            </w:tcBorders>
            <w:vAlign w:val="center"/>
          </w:tcPr>
          <w:p w14:paraId="3E84BB85"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$22,180</w:t>
            </w:r>
          </w:p>
        </w:tc>
        <w:tc>
          <w:tcPr>
            <w:tcW w:w="1224" w:type="dxa"/>
            <w:tcBorders>
              <w:top w:val="single" w:sz="4" w:space="0" w:color="auto"/>
              <w:left w:val="nil"/>
              <w:bottom w:val="single" w:sz="4" w:space="0" w:color="auto"/>
              <w:right w:val="nil"/>
            </w:tcBorders>
            <w:vAlign w:val="center"/>
          </w:tcPr>
          <w:p w14:paraId="051AAFAB"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$6,385</w:t>
            </w:r>
          </w:p>
        </w:tc>
        <w:tc>
          <w:tcPr>
            <w:tcW w:w="1224" w:type="dxa"/>
            <w:tcBorders>
              <w:top w:val="single" w:sz="4" w:space="0" w:color="auto"/>
              <w:left w:val="nil"/>
              <w:bottom w:val="single" w:sz="4" w:space="0" w:color="auto"/>
              <w:right w:val="nil"/>
            </w:tcBorders>
            <w:vAlign w:val="center"/>
          </w:tcPr>
          <w:p w14:paraId="6BD1D822"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$5,067</w:t>
            </w:r>
          </w:p>
        </w:tc>
        <w:tc>
          <w:tcPr>
            <w:tcW w:w="1224" w:type="dxa"/>
            <w:tcBorders>
              <w:top w:val="single" w:sz="4" w:space="0" w:color="auto"/>
              <w:left w:val="nil"/>
              <w:bottom w:val="single" w:sz="4" w:space="0" w:color="auto"/>
              <w:right w:val="nil"/>
            </w:tcBorders>
            <w:vAlign w:val="center"/>
          </w:tcPr>
          <w:p w14:paraId="6C5D8636"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$0.62</w:t>
            </w:r>
          </w:p>
        </w:tc>
      </w:tr>
      <w:tr w:rsidR="00964C3F" w:rsidRPr="008465B4" w14:paraId="70F872F0" w14:textId="77777777" w:rsidTr="00210D75">
        <w:trPr>
          <w:trHeight w:val="288"/>
        </w:trPr>
        <w:tc>
          <w:tcPr>
            <w:tcW w:w="4464" w:type="dxa"/>
            <w:tcBorders>
              <w:top w:val="single" w:sz="4" w:space="0" w:color="auto"/>
              <w:left w:val="nil"/>
              <w:bottom w:val="single" w:sz="4" w:space="0" w:color="auto"/>
              <w:right w:val="nil"/>
            </w:tcBorders>
            <w:noWrap/>
            <w:vAlign w:val="center"/>
          </w:tcPr>
          <w:p w14:paraId="2D03AD67" w14:textId="77777777" w:rsidR="00964C3F" w:rsidRPr="008465B4" w:rsidRDefault="00964C3F" w:rsidP="00964C3F">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224" w:type="dxa"/>
            <w:tcBorders>
              <w:top w:val="single" w:sz="4" w:space="0" w:color="auto"/>
              <w:left w:val="nil"/>
              <w:bottom w:val="single" w:sz="4" w:space="0" w:color="auto"/>
              <w:right w:val="nil"/>
            </w:tcBorders>
            <w:vAlign w:val="center"/>
          </w:tcPr>
          <w:p w14:paraId="01200C28"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$20,614</w:t>
            </w:r>
          </w:p>
        </w:tc>
        <w:tc>
          <w:tcPr>
            <w:tcW w:w="1224" w:type="dxa"/>
            <w:tcBorders>
              <w:top w:val="single" w:sz="4" w:space="0" w:color="auto"/>
              <w:left w:val="nil"/>
              <w:bottom w:val="single" w:sz="4" w:space="0" w:color="auto"/>
              <w:right w:val="nil"/>
            </w:tcBorders>
            <w:vAlign w:val="center"/>
          </w:tcPr>
          <w:p w14:paraId="457F15CD"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$3,080</w:t>
            </w:r>
          </w:p>
        </w:tc>
        <w:tc>
          <w:tcPr>
            <w:tcW w:w="1224" w:type="dxa"/>
            <w:tcBorders>
              <w:top w:val="single" w:sz="4" w:space="0" w:color="auto"/>
              <w:left w:val="nil"/>
              <w:bottom w:val="single" w:sz="4" w:space="0" w:color="auto"/>
              <w:right w:val="nil"/>
            </w:tcBorders>
            <w:vAlign w:val="center"/>
          </w:tcPr>
          <w:p w14:paraId="377426F3"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$3,122</w:t>
            </w:r>
          </w:p>
        </w:tc>
        <w:tc>
          <w:tcPr>
            <w:tcW w:w="1224" w:type="dxa"/>
            <w:tcBorders>
              <w:top w:val="single" w:sz="4" w:space="0" w:color="auto"/>
              <w:left w:val="nil"/>
              <w:bottom w:val="single" w:sz="4" w:space="0" w:color="auto"/>
              <w:right w:val="nil"/>
            </w:tcBorders>
            <w:vAlign w:val="center"/>
          </w:tcPr>
          <w:p w14:paraId="7E071689" w14:textId="77777777" w:rsidR="00964C3F" w:rsidRPr="008465B4" w:rsidRDefault="00964C3F" w:rsidP="00964C3F">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$0.39</w:t>
            </w:r>
          </w:p>
        </w:tc>
      </w:tr>
      <w:tr w:rsidR="00964C3F" w:rsidRPr="008465B4" w14:paraId="57C2C07A" w14:textId="77777777" w:rsidTr="00210D75">
        <w:trPr>
          <w:trHeight w:val="288"/>
        </w:trPr>
        <w:tc>
          <w:tcPr>
            <w:tcW w:w="4464" w:type="dxa"/>
            <w:tcBorders>
              <w:top w:val="single" w:sz="4" w:space="0" w:color="auto"/>
              <w:left w:val="nil"/>
              <w:bottom w:val="single" w:sz="4" w:space="0" w:color="666666"/>
              <w:right w:val="nil"/>
            </w:tcBorders>
            <w:noWrap/>
            <w:vAlign w:val="center"/>
          </w:tcPr>
          <w:p w14:paraId="065E540E" w14:textId="77777777" w:rsidR="00964C3F" w:rsidRPr="008465B4" w:rsidRDefault="00964C3F" w:rsidP="00964C3F">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Adjusted (non-GAAP)</w:t>
            </w:r>
          </w:p>
        </w:tc>
        <w:tc>
          <w:tcPr>
            <w:tcW w:w="1224" w:type="dxa"/>
            <w:tcBorders>
              <w:top w:val="single" w:sz="4" w:space="0" w:color="auto"/>
              <w:left w:val="nil"/>
              <w:bottom w:val="single" w:sz="4" w:space="0" w:color="666666"/>
              <w:right w:val="nil"/>
            </w:tcBorders>
            <w:vAlign w:val="center"/>
          </w:tcPr>
          <w:p w14:paraId="6BCB6218"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$22,642</w:t>
            </w:r>
          </w:p>
        </w:tc>
        <w:tc>
          <w:tcPr>
            <w:tcW w:w="1224" w:type="dxa"/>
            <w:tcBorders>
              <w:top w:val="single" w:sz="4" w:space="0" w:color="auto"/>
              <w:left w:val="nil"/>
              <w:bottom w:val="single" w:sz="4" w:space="0" w:color="666666"/>
              <w:right w:val="nil"/>
            </w:tcBorders>
            <w:vAlign w:val="center"/>
          </w:tcPr>
          <w:p w14:paraId="747F17B8"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$6,218</w:t>
            </w:r>
          </w:p>
        </w:tc>
        <w:tc>
          <w:tcPr>
            <w:tcW w:w="1224" w:type="dxa"/>
            <w:tcBorders>
              <w:top w:val="single" w:sz="4" w:space="0" w:color="auto"/>
              <w:left w:val="nil"/>
              <w:bottom w:val="single" w:sz="4" w:space="0" w:color="666666"/>
              <w:right w:val="nil"/>
            </w:tcBorders>
            <w:vAlign w:val="center"/>
          </w:tcPr>
          <w:p w14:paraId="4ABDE85A"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$5,484</w:t>
            </w:r>
          </w:p>
        </w:tc>
        <w:tc>
          <w:tcPr>
            <w:tcW w:w="1224" w:type="dxa"/>
            <w:tcBorders>
              <w:top w:val="single" w:sz="4" w:space="0" w:color="auto"/>
              <w:left w:val="nil"/>
              <w:bottom w:val="single" w:sz="4" w:space="0" w:color="666666"/>
              <w:right w:val="nil"/>
            </w:tcBorders>
            <w:vAlign w:val="center"/>
          </w:tcPr>
          <w:p w14:paraId="72879DEF" w14:textId="77777777" w:rsidR="00964C3F" w:rsidRPr="008465B4" w:rsidRDefault="00964C3F" w:rsidP="00964C3F">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$0.69</w:t>
            </w:r>
          </w:p>
        </w:tc>
      </w:tr>
      <w:tr w:rsidR="00E60FD8" w:rsidRPr="008465B4" w14:paraId="0A3E0C5F" w14:textId="77777777" w:rsidTr="00210D75">
        <w:trPr>
          <w:trHeight w:val="288"/>
        </w:trPr>
        <w:tc>
          <w:tcPr>
            <w:tcW w:w="4464" w:type="dxa"/>
            <w:tcBorders>
              <w:top w:val="single" w:sz="4" w:space="0" w:color="666666"/>
              <w:left w:val="nil"/>
              <w:right w:val="nil"/>
            </w:tcBorders>
            <w:noWrap/>
            <w:vAlign w:val="center"/>
          </w:tcPr>
          <w:p w14:paraId="655EDC76" w14:textId="77777777" w:rsidR="00E60FD8" w:rsidRPr="008465B4" w:rsidRDefault="00E60FD8" w:rsidP="00E60FD8">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224" w:type="dxa"/>
            <w:tcBorders>
              <w:top w:val="single" w:sz="4" w:space="0" w:color="666666"/>
              <w:left w:val="nil"/>
              <w:right w:val="nil"/>
            </w:tcBorders>
            <w:vAlign w:val="center"/>
          </w:tcPr>
          <w:p w14:paraId="033C9A66" w14:textId="77777777" w:rsidR="00E60FD8" w:rsidRPr="008465B4" w:rsidRDefault="00E60FD8" w:rsidP="00E60FD8">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(7)%</w:t>
            </w:r>
          </w:p>
        </w:tc>
        <w:tc>
          <w:tcPr>
            <w:tcW w:w="1224" w:type="dxa"/>
            <w:tcBorders>
              <w:top w:val="single" w:sz="4" w:space="0" w:color="666666"/>
              <w:left w:val="nil"/>
              <w:right w:val="nil"/>
            </w:tcBorders>
            <w:vAlign w:val="center"/>
          </w:tcPr>
          <w:p w14:paraId="46FBF460" w14:textId="77777777" w:rsidR="00E60FD8" w:rsidRPr="008465B4" w:rsidRDefault="00E60FD8" w:rsidP="00E60FD8">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24" w:type="dxa"/>
            <w:tcBorders>
              <w:top w:val="single" w:sz="4" w:space="0" w:color="666666"/>
              <w:left w:val="nil"/>
              <w:right w:val="nil"/>
            </w:tcBorders>
            <w:vAlign w:val="center"/>
          </w:tcPr>
          <w:p w14:paraId="4ADADEFE" w14:textId="77777777" w:rsidR="00E60FD8" w:rsidRPr="008465B4" w:rsidRDefault="00E60FD8" w:rsidP="00E60FD8">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c>
          <w:tcPr>
            <w:tcW w:w="1224" w:type="dxa"/>
            <w:tcBorders>
              <w:top w:val="single" w:sz="4" w:space="0" w:color="666666"/>
              <w:left w:val="nil"/>
              <w:right w:val="nil"/>
            </w:tcBorders>
            <w:vAlign w:val="center"/>
          </w:tcPr>
          <w:p w14:paraId="49A99821" w14:textId="77777777" w:rsidR="00E60FD8" w:rsidRPr="008465B4" w:rsidRDefault="00E60FD8" w:rsidP="00E60FD8">
            <w:pPr>
              <w:spacing w:after="0" w:line="240" w:lineRule="auto"/>
              <w:jc w:val="right"/>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w:t>
            </w:r>
          </w:p>
        </w:tc>
      </w:tr>
      <w:tr w:rsidR="00E60FD8" w:rsidRPr="008465B4" w14:paraId="4B5F398E" w14:textId="77777777" w:rsidTr="00210D75">
        <w:trPr>
          <w:trHeight w:val="288"/>
        </w:trPr>
        <w:tc>
          <w:tcPr>
            <w:tcW w:w="4464" w:type="dxa"/>
            <w:tcBorders>
              <w:top w:val="nil"/>
              <w:left w:val="nil"/>
              <w:bottom w:val="single" w:sz="4" w:space="0" w:color="auto"/>
              <w:right w:val="nil"/>
            </w:tcBorders>
            <w:noWrap/>
            <w:vAlign w:val="center"/>
          </w:tcPr>
          <w:p w14:paraId="096D5EF3" w14:textId="77777777" w:rsidR="00E60FD8" w:rsidRPr="008465B4" w:rsidRDefault="00E60FD8" w:rsidP="00E60FD8">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224" w:type="dxa"/>
            <w:tcBorders>
              <w:top w:val="nil"/>
              <w:left w:val="nil"/>
              <w:bottom w:val="single" w:sz="4" w:space="0" w:color="auto"/>
              <w:right w:val="nil"/>
            </w:tcBorders>
            <w:vAlign w:val="center"/>
          </w:tcPr>
          <w:p w14:paraId="43E039DD" w14:textId="77777777" w:rsidR="00E60FD8" w:rsidRPr="008465B4" w:rsidRDefault="00E60FD8" w:rsidP="00E60FD8">
            <w:pPr>
              <w:spacing w:after="0" w:line="240" w:lineRule="auto"/>
              <w:jc w:val="right"/>
              <w:rPr>
                <w:rFonts w:ascii="Segoe UI" w:eastAsia="Times New Roman" w:hAnsi="Segoe UI" w:cs="Segoe UI"/>
                <w:bCs/>
                <w:color w:val="FF0000"/>
                <w:sz w:val="16"/>
                <w:szCs w:val="16"/>
              </w:rPr>
            </w:pPr>
            <w:r w:rsidRPr="008465B4">
              <w:rPr>
                <w:rFonts w:ascii="Segoe UI" w:eastAsia="Times New Roman" w:hAnsi="Segoe UI" w:cs="Segoe UI"/>
                <w:bCs/>
                <w:color w:val="666666"/>
                <w:sz w:val="16"/>
                <w:szCs w:val="16"/>
              </w:rPr>
              <w:t>2%</w:t>
            </w:r>
          </w:p>
        </w:tc>
        <w:tc>
          <w:tcPr>
            <w:tcW w:w="1224" w:type="dxa"/>
            <w:tcBorders>
              <w:top w:val="nil"/>
              <w:left w:val="nil"/>
              <w:bottom w:val="single" w:sz="4" w:space="0" w:color="auto"/>
              <w:right w:val="nil"/>
            </w:tcBorders>
            <w:vAlign w:val="center"/>
          </w:tcPr>
          <w:p w14:paraId="0C18A5DC" w14:textId="77777777" w:rsidR="00E60FD8" w:rsidRPr="008465B4" w:rsidRDefault="00E60FD8" w:rsidP="00E60FD8">
            <w:pPr>
              <w:spacing w:after="0" w:line="240" w:lineRule="auto"/>
              <w:jc w:val="right"/>
              <w:rPr>
                <w:rFonts w:ascii="Segoe UI" w:eastAsia="Times New Roman" w:hAnsi="Segoe UI" w:cs="Segoe UI"/>
                <w:bCs/>
                <w:color w:val="FF0000"/>
                <w:sz w:val="16"/>
                <w:szCs w:val="16"/>
              </w:rPr>
            </w:pPr>
            <w:r w:rsidRPr="008465B4">
              <w:rPr>
                <w:rFonts w:ascii="Segoe UI" w:eastAsia="Times New Roman" w:hAnsi="Segoe UI" w:cs="Segoe UI"/>
                <w:bCs/>
                <w:color w:val="666666"/>
                <w:sz w:val="16"/>
                <w:szCs w:val="16"/>
              </w:rPr>
              <w:t>(3)%</w:t>
            </w:r>
          </w:p>
        </w:tc>
        <w:tc>
          <w:tcPr>
            <w:tcW w:w="1224" w:type="dxa"/>
            <w:tcBorders>
              <w:top w:val="nil"/>
              <w:left w:val="nil"/>
              <w:bottom w:val="single" w:sz="4" w:space="0" w:color="auto"/>
              <w:right w:val="nil"/>
            </w:tcBorders>
            <w:vAlign w:val="center"/>
          </w:tcPr>
          <w:p w14:paraId="289FA2D8" w14:textId="77777777" w:rsidR="00E60FD8" w:rsidRPr="008465B4" w:rsidRDefault="00E60FD8" w:rsidP="00E60FD8">
            <w:pPr>
              <w:spacing w:after="0" w:line="240" w:lineRule="auto"/>
              <w:jc w:val="right"/>
              <w:rPr>
                <w:rFonts w:ascii="Segoe UI" w:eastAsia="Times New Roman" w:hAnsi="Segoe UI" w:cs="Segoe UI"/>
                <w:bCs/>
                <w:color w:val="FF0000"/>
                <w:sz w:val="16"/>
                <w:szCs w:val="16"/>
              </w:rPr>
            </w:pPr>
            <w:r w:rsidRPr="008465B4">
              <w:rPr>
                <w:rFonts w:ascii="Segoe UI" w:eastAsia="Times New Roman" w:hAnsi="Segoe UI" w:cs="Segoe UI"/>
                <w:bCs/>
                <w:color w:val="666666"/>
                <w:sz w:val="16"/>
                <w:szCs w:val="16"/>
              </w:rPr>
              <w:t>8%</w:t>
            </w:r>
          </w:p>
        </w:tc>
        <w:tc>
          <w:tcPr>
            <w:tcW w:w="1224" w:type="dxa"/>
            <w:tcBorders>
              <w:top w:val="nil"/>
              <w:left w:val="nil"/>
              <w:bottom w:val="single" w:sz="4" w:space="0" w:color="auto"/>
              <w:right w:val="nil"/>
            </w:tcBorders>
            <w:vAlign w:val="center"/>
          </w:tcPr>
          <w:p w14:paraId="0F36FB9C" w14:textId="77777777" w:rsidR="00E60FD8" w:rsidRPr="008465B4" w:rsidRDefault="00964C3F" w:rsidP="00E60FD8">
            <w:pPr>
              <w:spacing w:after="0" w:line="240" w:lineRule="auto"/>
              <w:jc w:val="right"/>
              <w:rPr>
                <w:rFonts w:ascii="Segoe UI" w:eastAsia="Times New Roman" w:hAnsi="Segoe UI" w:cs="Segoe UI"/>
                <w:bCs/>
                <w:color w:val="FF0000"/>
                <w:sz w:val="16"/>
                <w:szCs w:val="16"/>
              </w:rPr>
            </w:pPr>
            <w:r w:rsidRPr="008465B4">
              <w:rPr>
                <w:rFonts w:ascii="Segoe UI" w:eastAsia="Times New Roman" w:hAnsi="Segoe UI" w:cs="Segoe UI"/>
                <w:bCs/>
                <w:color w:val="666666"/>
                <w:sz w:val="16"/>
                <w:szCs w:val="16"/>
              </w:rPr>
              <w:t>11</w:t>
            </w:r>
            <w:r w:rsidR="00E60FD8" w:rsidRPr="008465B4">
              <w:rPr>
                <w:rFonts w:ascii="Segoe UI" w:eastAsia="Times New Roman" w:hAnsi="Segoe UI" w:cs="Segoe UI"/>
                <w:bCs/>
                <w:color w:val="666666"/>
                <w:sz w:val="16"/>
                <w:szCs w:val="16"/>
              </w:rPr>
              <w:t>%</w:t>
            </w:r>
          </w:p>
        </w:tc>
      </w:tr>
      <w:tr w:rsidR="008F2674" w:rsidRPr="008465B4" w14:paraId="0F0D6330" w14:textId="77777777" w:rsidTr="00210D75">
        <w:trPr>
          <w:trHeight w:val="288"/>
        </w:trPr>
        <w:tc>
          <w:tcPr>
            <w:tcW w:w="4464" w:type="dxa"/>
            <w:tcBorders>
              <w:top w:val="single" w:sz="4" w:space="0" w:color="auto"/>
              <w:left w:val="nil"/>
              <w:bottom w:val="single" w:sz="4" w:space="0" w:color="auto"/>
              <w:right w:val="nil"/>
            </w:tcBorders>
            <w:noWrap/>
            <w:vAlign w:val="center"/>
          </w:tcPr>
          <w:p w14:paraId="1F2FEB08" w14:textId="77777777" w:rsidR="008F2674" w:rsidRPr="008465B4" w:rsidRDefault="008F2674"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224" w:type="dxa"/>
            <w:tcBorders>
              <w:top w:val="single" w:sz="4" w:space="0" w:color="auto"/>
              <w:left w:val="nil"/>
              <w:bottom w:val="single" w:sz="4" w:space="0" w:color="auto"/>
              <w:right w:val="nil"/>
            </w:tcBorders>
            <w:vAlign w:val="center"/>
          </w:tcPr>
          <w:p w14:paraId="0C5861B5"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A76657" w:rsidRPr="008465B4">
              <w:rPr>
                <w:rFonts w:ascii="Segoe UI" w:eastAsia="Times New Roman" w:hAnsi="Segoe UI" w:cs="Segoe UI"/>
                <w:b/>
                <w:bCs/>
                <w:color w:val="656565"/>
                <w:sz w:val="16"/>
                <w:szCs w:val="16"/>
              </w:rPr>
              <w:t>(596)</w:t>
            </w:r>
          </w:p>
        </w:tc>
        <w:tc>
          <w:tcPr>
            <w:tcW w:w="1224" w:type="dxa"/>
            <w:tcBorders>
              <w:top w:val="single" w:sz="4" w:space="0" w:color="auto"/>
              <w:left w:val="nil"/>
              <w:bottom w:val="single" w:sz="4" w:space="0" w:color="auto"/>
              <w:right w:val="nil"/>
            </w:tcBorders>
            <w:vAlign w:val="center"/>
          </w:tcPr>
          <w:p w14:paraId="35A92164" w14:textId="77777777" w:rsidR="008F2674" w:rsidRPr="008465B4" w:rsidRDefault="0001726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A76657" w:rsidRPr="008465B4">
              <w:rPr>
                <w:rFonts w:ascii="Segoe UI" w:eastAsia="Times New Roman" w:hAnsi="Segoe UI" w:cs="Segoe UI"/>
                <w:b/>
                <w:bCs/>
                <w:color w:val="656565"/>
                <w:sz w:val="16"/>
                <w:szCs w:val="16"/>
              </w:rPr>
              <w:t>(575)</w:t>
            </w:r>
          </w:p>
        </w:tc>
        <w:tc>
          <w:tcPr>
            <w:tcW w:w="1224" w:type="dxa"/>
            <w:tcBorders>
              <w:top w:val="single" w:sz="4" w:space="0" w:color="auto"/>
              <w:left w:val="nil"/>
              <w:bottom w:val="single" w:sz="4" w:space="0" w:color="auto"/>
              <w:right w:val="nil"/>
            </w:tcBorders>
            <w:vAlign w:val="center"/>
          </w:tcPr>
          <w:p w14:paraId="3472BB7E" w14:textId="77777777" w:rsidR="008F2674" w:rsidRPr="008465B4" w:rsidRDefault="0001726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A76657" w:rsidRPr="008465B4">
              <w:rPr>
                <w:rFonts w:ascii="Segoe UI" w:eastAsia="Times New Roman" w:hAnsi="Segoe UI" w:cs="Segoe UI"/>
                <w:b/>
                <w:bCs/>
                <w:color w:val="656565"/>
                <w:sz w:val="16"/>
                <w:szCs w:val="16"/>
              </w:rPr>
              <w:t>(7</w:t>
            </w:r>
            <w:r w:rsidR="00687D66" w:rsidRPr="008465B4">
              <w:rPr>
                <w:rFonts w:ascii="Segoe UI" w:eastAsia="Times New Roman" w:hAnsi="Segoe UI" w:cs="Segoe UI"/>
                <w:b/>
                <w:bCs/>
                <w:color w:val="656565"/>
                <w:sz w:val="16"/>
                <w:szCs w:val="16"/>
              </w:rPr>
              <w:t>64</w:t>
            </w:r>
            <w:r w:rsidR="00A76657" w:rsidRPr="008465B4">
              <w:rPr>
                <w:rFonts w:ascii="Segoe UI" w:eastAsia="Times New Roman" w:hAnsi="Segoe UI" w:cs="Segoe UI"/>
                <w:b/>
                <w:bCs/>
                <w:color w:val="656565"/>
                <w:sz w:val="16"/>
                <w:szCs w:val="16"/>
              </w:rPr>
              <w:t>)</w:t>
            </w:r>
          </w:p>
        </w:tc>
        <w:tc>
          <w:tcPr>
            <w:tcW w:w="1224" w:type="dxa"/>
            <w:tcBorders>
              <w:top w:val="single" w:sz="4" w:space="0" w:color="auto"/>
              <w:left w:val="nil"/>
              <w:bottom w:val="single" w:sz="4" w:space="0" w:color="auto"/>
              <w:right w:val="nil"/>
            </w:tcBorders>
            <w:vAlign w:val="center"/>
          </w:tcPr>
          <w:p w14:paraId="308F9329" w14:textId="77777777" w:rsidR="008F2674" w:rsidRPr="008465B4" w:rsidRDefault="0001726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A76657" w:rsidRPr="008465B4">
              <w:rPr>
                <w:rFonts w:ascii="Segoe UI" w:eastAsia="Times New Roman" w:hAnsi="Segoe UI" w:cs="Segoe UI"/>
                <w:b/>
                <w:bCs/>
                <w:color w:val="656565"/>
                <w:sz w:val="16"/>
                <w:szCs w:val="16"/>
              </w:rPr>
              <w:t>(0.10)</w:t>
            </w:r>
          </w:p>
        </w:tc>
      </w:tr>
      <w:tr w:rsidR="00A76657" w:rsidRPr="008465B4" w14:paraId="35420623" w14:textId="77777777" w:rsidTr="00A76657">
        <w:trPr>
          <w:trHeight w:val="288"/>
        </w:trPr>
        <w:tc>
          <w:tcPr>
            <w:tcW w:w="4464" w:type="dxa"/>
            <w:tcBorders>
              <w:top w:val="single" w:sz="4" w:space="0" w:color="auto"/>
              <w:left w:val="nil"/>
              <w:bottom w:val="single" w:sz="4" w:space="0" w:color="auto"/>
              <w:right w:val="nil"/>
            </w:tcBorders>
            <w:shd w:val="clear" w:color="auto" w:fill="auto"/>
            <w:noWrap/>
            <w:vAlign w:val="center"/>
          </w:tcPr>
          <w:p w14:paraId="0FA2F35E" w14:textId="77777777" w:rsidR="00A76657" w:rsidRPr="008465B4" w:rsidRDefault="00A76657" w:rsidP="00A7665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tc>
          <w:tcPr>
            <w:tcW w:w="1224" w:type="dxa"/>
            <w:tcBorders>
              <w:top w:val="single" w:sz="4" w:space="0" w:color="auto"/>
              <w:left w:val="nil"/>
              <w:bottom w:val="single" w:sz="4" w:space="0" w:color="auto"/>
              <w:right w:val="nil"/>
            </w:tcBorders>
            <w:shd w:val="clear" w:color="auto" w:fill="auto"/>
            <w:vAlign w:val="center"/>
          </w:tcPr>
          <w:p w14:paraId="795F2933" w14:textId="77777777" w:rsidR="00A76657" w:rsidRPr="008465B4" w:rsidRDefault="00194C2F" w:rsidP="00A7665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5</w:t>
            </w:r>
            <w:r w:rsidR="00A76657" w:rsidRPr="008465B4">
              <w:rPr>
                <w:rFonts w:ascii="Segoe UI" w:eastAsia="Times New Roman" w:hAnsi="Segoe UI" w:cs="Segoe UI"/>
                <w:bCs/>
                <w:color w:val="656565"/>
                <w:sz w:val="16"/>
                <w:szCs w:val="16"/>
              </w:rPr>
              <w:t>%</w:t>
            </w:r>
          </w:p>
        </w:tc>
        <w:tc>
          <w:tcPr>
            <w:tcW w:w="1224" w:type="dxa"/>
            <w:tcBorders>
              <w:top w:val="single" w:sz="4" w:space="0" w:color="auto"/>
              <w:left w:val="nil"/>
              <w:bottom w:val="single" w:sz="4" w:space="0" w:color="auto"/>
              <w:right w:val="nil"/>
            </w:tcBorders>
            <w:shd w:val="clear" w:color="auto" w:fill="auto"/>
            <w:vAlign w:val="center"/>
          </w:tcPr>
          <w:p w14:paraId="52BC7161" w14:textId="77777777" w:rsidR="00A76657" w:rsidRPr="008465B4" w:rsidRDefault="00194C2F" w:rsidP="00A7665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6</w:t>
            </w:r>
            <w:r w:rsidR="00A76657" w:rsidRPr="008465B4">
              <w:rPr>
                <w:rFonts w:ascii="Segoe UI" w:eastAsia="Times New Roman" w:hAnsi="Segoe UI" w:cs="Segoe UI"/>
                <w:bCs/>
                <w:color w:val="656565"/>
                <w:sz w:val="16"/>
                <w:szCs w:val="16"/>
              </w:rPr>
              <w:t>%</w:t>
            </w:r>
          </w:p>
        </w:tc>
        <w:tc>
          <w:tcPr>
            <w:tcW w:w="1224" w:type="dxa"/>
            <w:tcBorders>
              <w:top w:val="single" w:sz="4" w:space="0" w:color="auto"/>
              <w:left w:val="nil"/>
              <w:bottom w:val="single" w:sz="4" w:space="0" w:color="auto"/>
              <w:right w:val="nil"/>
            </w:tcBorders>
            <w:shd w:val="clear" w:color="auto" w:fill="auto"/>
            <w:vAlign w:val="center"/>
          </w:tcPr>
          <w:p w14:paraId="225666CA" w14:textId="77777777" w:rsidR="00A76657" w:rsidRPr="008465B4" w:rsidRDefault="00A76657" w:rsidP="00A7665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2</w:t>
            </w:r>
            <w:r w:rsidR="00194C2F" w:rsidRPr="008465B4">
              <w:rPr>
                <w:rFonts w:ascii="Segoe UI" w:eastAsia="Times New Roman" w:hAnsi="Segoe UI" w:cs="Segoe UI"/>
                <w:bCs/>
                <w:color w:val="656565"/>
                <w:sz w:val="16"/>
                <w:szCs w:val="16"/>
              </w:rPr>
              <w:t>3</w:t>
            </w:r>
            <w:r w:rsidRPr="008465B4">
              <w:rPr>
                <w:rFonts w:ascii="Segoe UI" w:eastAsia="Times New Roman" w:hAnsi="Segoe UI" w:cs="Segoe UI"/>
                <w:bCs/>
                <w:color w:val="656565"/>
                <w:sz w:val="16"/>
                <w:szCs w:val="16"/>
              </w:rPr>
              <w:t>%</w:t>
            </w:r>
          </w:p>
        </w:tc>
        <w:tc>
          <w:tcPr>
            <w:tcW w:w="1224" w:type="dxa"/>
            <w:tcBorders>
              <w:top w:val="single" w:sz="4" w:space="0" w:color="auto"/>
              <w:left w:val="nil"/>
              <w:bottom w:val="single" w:sz="4" w:space="0" w:color="auto"/>
              <w:right w:val="nil"/>
            </w:tcBorders>
            <w:shd w:val="clear" w:color="auto" w:fill="auto"/>
            <w:vAlign w:val="center"/>
          </w:tcPr>
          <w:p w14:paraId="67B210F9" w14:textId="77777777" w:rsidR="00A76657" w:rsidRPr="008465B4" w:rsidRDefault="00194C2F" w:rsidP="00A7665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27</w:t>
            </w:r>
            <w:r w:rsidR="00A76657" w:rsidRPr="008465B4">
              <w:rPr>
                <w:rFonts w:ascii="Segoe UI" w:eastAsia="Times New Roman" w:hAnsi="Segoe UI" w:cs="Segoe UI"/>
                <w:bCs/>
                <w:color w:val="656565"/>
                <w:sz w:val="16"/>
                <w:szCs w:val="16"/>
              </w:rPr>
              <w:t>%</w:t>
            </w:r>
          </w:p>
        </w:tc>
      </w:tr>
      <w:tr w:rsidR="00A76657" w:rsidRPr="008465B4" w14:paraId="0AECD213" w14:textId="77777777" w:rsidTr="00A76657">
        <w:trPr>
          <w:trHeight w:val="288"/>
        </w:trPr>
        <w:tc>
          <w:tcPr>
            <w:tcW w:w="4464" w:type="dxa"/>
            <w:tcBorders>
              <w:top w:val="single" w:sz="4" w:space="0" w:color="auto"/>
              <w:left w:val="nil"/>
              <w:right w:val="nil"/>
            </w:tcBorders>
            <w:shd w:val="clear" w:color="auto" w:fill="auto"/>
            <w:noWrap/>
            <w:vAlign w:val="center"/>
          </w:tcPr>
          <w:p w14:paraId="40F232D9" w14:textId="77777777" w:rsidR="00A76657" w:rsidRPr="008465B4" w:rsidRDefault="00A76657" w:rsidP="00A7665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i/>
                <w:color w:val="666666"/>
                <w:sz w:val="16"/>
                <w:szCs w:val="16"/>
              </w:rPr>
              <w:t>* Not meaningful</w:t>
            </w:r>
          </w:p>
        </w:tc>
        <w:tc>
          <w:tcPr>
            <w:tcW w:w="1224" w:type="dxa"/>
            <w:tcBorders>
              <w:top w:val="single" w:sz="4" w:space="0" w:color="auto"/>
              <w:left w:val="nil"/>
              <w:right w:val="nil"/>
            </w:tcBorders>
            <w:shd w:val="clear" w:color="auto" w:fill="auto"/>
            <w:vAlign w:val="center"/>
          </w:tcPr>
          <w:p w14:paraId="26958946" w14:textId="77777777" w:rsidR="00A76657" w:rsidRPr="008465B4" w:rsidRDefault="00A76657" w:rsidP="00A76657">
            <w:pPr>
              <w:spacing w:after="0" w:line="240" w:lineRule="auto"/>
              <w:jc w:val="right"/>
              <w:rPr>
                <w:rFonts w:ascii="Segoe UI" w:eastAsia="Times New Roman" w:hAnsi="Segoe UI" w:cs="Segoe UI"/>
                <w:bCs/>
                <w:color w:val="666666"/>
                <w:sz w:val="16"/>
                <w:szCs w:val="16"/>
              </w:rPr>
            </w:pPr>
          </w:p>
        </w:tc>
        <w:tc>
          <w:tcPr>
            <w:tcW w:w="1224" w:type="dxa"/>
            <w:tcBorders>
              <w:top w:val="single" w:sz="4" w:space="0" w:color="auto"/>
              <w:left w:val="nil"/>
              <w:right w:val="nil"/>
            </w:tcBorders>
            <w:shd w:val="clear" w:color="auto" w:fill="auto"/>
            <w:vAlign w:val="center"/>
          </w:tcPr>
          <w:p w14:paraId="51BFFF1F" w14:textId="77777777" w:rsidR="00A76657" w:rsidRPr="008465B4" w:rsidRDefault="00A76657" w:rsidP="00A76657">
            <w:pPr>
              <w:spacing w:after="0" w:line="240" w:lineRule="auto"/>
              <w:jc w:val="right"/>
              <w:rPr>
                <w:rFonts w:ascii="Segoe UI" w:eastAsia="Times New Roman" w:hAnsi="Segoe UI" w:cs="Segoe UI"/>
                <w:bCs/>
                <w:color w:val="666666"/>
                <w:sz w:val="16"/>
                <w:szCs w:val="16"/>
              </w:rPr>
            </w:pPr>
          </w:p>
        </w:tc>
        <w:tc>
          <w:tcPr>
            <w:tcW w:w="1224" w:type="dxa"/>
            <w:tcBorders>
              <w:top w:val="single" w:sz="4" w:space="0" w:color="auto"/>
              <w:left w:val="nil"/>
              <w:right w:val="nil"/>
            </w:tcBorders>
            <w:shd w:val="clear" w:color="auto" w:fill="auto"/>
            <w:vAlign w:val="center"/>
          </w:tcPr>
          <w:p w14:paraId="4DAB270C" w14:textId="77777777" w:rsidR="00A76657" w:rsidRPr="008465B4" w:rsidRDefault="00A76657" w:rsidP="00A76657">
            <w:pPr>
              <w:spacing w:after="0" w:line="240" w:lineRule="auto"/>
              <w:jc w:val="right"/>
              <w:rPr>
                <w:rFonts w:ascii="Segoe UI" w:eastAsia="Times New Roman" w:hAnsi="Segoe UI" w:cs="Segoe UI"/>
                <w:bCs/>
                <w:color w:val="666666"/>
                <w:sz w:val="16"/>
                <w:szCs w:val="16"/>
              </w:rPr>
            </w:pPr>
          </w:p>
        </w:tc>
        <w:tc>
          <w:tcPr>
            <w:tcW w:w="1224" w:type="dxa"/>
            <w:tcBorders>
              <w:top w:val="single" w:sz="4" w:space="0" w:color="auto"/>
              <w:left w:val="nil"/>
              <w:right w:val="nil"/>
            </w:tcBorders>
            <w:shd w:val="clear" w:color="auto" w:fill="auto"/>
            <w:vAlign w:val="center"/>
          </w:tcPr>
          <w:p w14:paraId="3A05C895" w14:textId="77777777" w:rsidR="00A76657" w:rsidRPr="008465B4" w:rsidRDefault="00A76657" w:rsidP="00A76657">
            <w:pPr>
              <w:spacing w:after="0" w:line="240" w:lineRule="auto"/>
              <w:jc w:val="right"/>
              <w:rPr>
                <w:rFonts w:ascii="Segoe UI" w:eastAsia="Times New Roman" w:hAnsi="Segoe UI" w:cs="Segoe UI"/>
                <w:bCs/>
                <w:color w:val="666666"/>
                <w:sz w:val="16"/>
                <w:szCs w:val="16"/>
              </w:rPr>
            </w:pPr>
          </w:p>
        </w:tc>
      </w:tr>
    </w:tbl>
    <w:p w14:paraId="3A43E37E" w14:textId="77777777" w:rsidR="008F2674" w:rsidRPr="008465B4" w:rsidRDefault="008F2674" w:rsidP="008F2674">
      <w:pPr>
        <w:keepNext/>
        <w:spacing w:before="270" w:after="270" w:line="240" w:lineRule="auto"/>
        <w:ind w:firstLine="720"/>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Segment Revenue Constant Currency Reconciliation</w:t>
      </w:r>
    </w:p>
    <w:tbl>
      <w:tblPr>
        <w:tblW w:w="5001" w:type="pct"/>
        <w:tblLook w:val="04A0" w:firstRow="1" w:lastRow="0" w:firstColumn="1" w:lastColumn="0" w:noHBand="0" w:noVBand="1"/>
      </w:tblPr>
      <w:tblGrid>
        <w:gridCol w:w="4466"/>
        <w:gridCol w:w="1635"/>
        <w:gridCol w:w="1629"/>
        <w:gridCol w:w="1632"/>
      </w:tblGrid>
      <w:tr w:rsidR="008F2674" w:rsidRPr="008465B4" w14:paraId="781A06FA" w14:textId="77777777" w:rsidTr="002C0C29">
        <w:trPr>
          <w:trHeight w:val="340"/>
        </w:trPr>
        <w:tc>
          <w:tcPr>
            <w:tcW w:w="4466" w:type="dxa"/>
            <w:tcBorders>
              <w:top w:val="nil"/>
              <w:left w:val="nil"/>
              <w:bottom w:val="single" w:sz="8" w:space="0" w:color="auto"/>
              <w:right w:val="nil"/>
            </w:tcBorders>
            <w:vAlign w:val="center"/>
          </w:tcPr>
          <w:p w14:paraId="597B2247" w14:textId="77777777" w:rsidR="008F2674" w:rsidRPr="008465B4" w:rsidRDefault="008F2674" w:rsidP="00210D75">
            <w:pPr>
              <w:spacing w:after="0" w:line="240" w:lineRule="auto"/>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63DEDEE6"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FD0946" w:rsidRPr="008465B4">
              <w:rPr>
                <w:rFonts w:ascii="Segoe UI" w:eastAsia="Times New Roman" w:hAnsi="Segoe UI" w:cs="Segoe UI"/>
                <w:b/>
                <w:bCs/>
                <w:color w:val="666666"/>
                <w:sz w:val="16"/>
                <w:szCs w:val="16"/>
              </w:rPr>
              <w:t>June 30</w:t>
            </w:r>
            <w:r w:rsidRPr="008465B4">
              <w:rPr>
                <w:rFonts w:ascii="Segoe UI" w:eastAsia="Times New Roman" w:hAnsi="Segoe UI" w:cs="Segoe UI"/>
                <w:b/>
                <w:bCs/>
                <w:color w:val="666666"/>
                <w:sz w:val="16"/>
                <w:szCs w:val="16"/>
              </w:rPr>
              <w:t>,</w:t>
            </w:r>
          </w:p>
        </w:tc>
      </w:tr>
      <w:tr w:rsidR="008F2674" w:rsidRPr="008465B4" w14:paraId="446EE632" w14:textId="77777777" w:rsidTr="002C0C29">
        <w:trPr>
          <w:trHeight w:val="432"/>
        </w:trPr>
        <w:tc>
          <w:tcPr>
            <w:tcW w:w="4466" w:type="dxa"/>
            <w:tcBorders>
              <w:top w:val="single" w:sz="8" w:space="0" w:color="666666"/>
              <w:left w:val="nil"/>
              <w:bottom w:val="single" w:sz="8" w:space="0" w:color="666666"/>
              <w:right w:val="nil"/>
            </w:tcBorders>
            <w:vAlign w:val="bottom"/>
            <w:hideMark/>
          </w:tcPr>
          <w:p w14:paraId="198A9477" w14:textId="77777777" w:rsidR="008F2674" w:rsidRPr="008465B4" w:rsidRDefault="008F2674" w:rsidP="00210D75">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746E6594"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A3BE27D"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766CBBD6" w14:textId="77777777" w:rsidR="008F2674" w:rsidRPr="008465B4" w:rsidRDefault="008F2674" w:rsidP="00210D75">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More Personal Computing</w:t>
            </w:r>
          </w:p>
        </w:tc>
      </w:tr>
      <w:tr w:rsidR="008F2674" w:rsidRPr="008465B4" w14:paraId="4680C1F7" w14:textId="77777777" w:rsidTr="002C0C29">
        <w:trPr>
          <w:trHeight w:val="288"/>
        </w:trPr>
        <w:tc>
          <w:tcPr>
            <w:tcW w:w="4466" w:type="dxa"/>
            <w:tcBorders>
              <w:top w:val="single" w:sz="8" w:space="0" w:color="666666"/>
              <w:left w:val="nil"/>
              <w:bottom w:val="single" w:sz="4" w:space="0" w:color="auto"/>
              <w:right w:val="nil"/>
            </w:tcBorders>
            <w:noWrap/>
            <w:vAlign w:val="center"/>
          </w:tcPr>
          <w:p w14:paraId="6D81E3E7" w14:textId="77777777" w:rsidR="008F2674" w:rsidRPr="008465B4" w:rsidRDefault="008F2674"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635" w:type="dxa"/>
            <w:tcBorders>
              <w:top w:val="single" w:sz="8" w:space="0" w:color="666666"/>
              <w:left w:val="nil"/>
              <w:bottom w:val="single" w:sz="4" w:space="0" w:color="auto"/>
              <w:right w:val="nil"/>
            </w:tcBorders>
            <w:vAlign w:val="center"/>
          </w:tcPr>
          <w:p w14:paraId="2B1109A8" w14:textId="57B97E04" w:rsidR="008F2674" w:rsidRPr="008465B4" w:rsidRDefault="008F2674" w:rsidP="00210D75">
            <w:pPr>
              <w:spacing w:after="0" w:line="240" w:lineRule="auto"/>
              <w:ind w:firstLine="82"/>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595959" w:themeColor="text1" w:themeTint="A6"/>
                <w:sz w:val="16"/>
                <w:szCs w:val="16"/>
              </w:rPr>
              <w:t>$</w:t>
            </w:r>
            <w:r w:rsidR="00D17AD5">
              <w:rPr>
                <w:rFonts w:ascii="Segoe UI" w:eastAsia="Times New Roman" w:hAnsi="Segoe UI" w:cs="Segoe UI"/>
                <w:b/>
                <w:bCs/>
                <w:color w:val="595959" w:themeColor="text1" w:themeTint="A6"/>
                <w:sz w:val="16"/>
                <w:szCs w:val="16"/>
              </w:rPr>
              <w:t>6,661</w:t>
            </w:r>
          </w:p>
        </w:tc>
        <w:tc>
          <w:tcPr>
            <w:tcW w:w="1629" w:type="dxa"/>
            <w:tcBorders>
              <w:top w:val="single" w:sz="8" w:space="0" w:color="666666"/>
              <w:left w:val="nil"/>
              <w:bottom w:val="single" w:sz="4" w:space="0" w:color="auto"/>
              <w:right w:val="nil"/>
            </w:tcBorders>
            <w:vAlign w:val="center"/>
          </w:tcPr>
          <w:p w14:paraId="47AC4BDF" w14:textId="77777777" w:rsidR="008F2674" w:rsidRPr="008465B4" w:rsidRDefault="008F2674" w:rsidP="00210D75">
            <w:pPr>
              <w:spacing w:after="0" w:line="240" w:lineRule="auto"/>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595959" w:themeColor="text1" w:themeTint="A6"/>
                <w:sz w:val="16"/>
                <w:szCs w:val="16"/>
              </w:rPr>
              <w:t>$</w:t>
            </w:r>
            <w:r w:rsidR="00512BD9" w:rsidRPr="008465B4">
              <w:rPr>
                <w:rFonts w:ascii="Segoe UI" w:eastAsia="Times New Roman" w:hAnsi="Segoe UI" w:cs="Segoe UI"/>
                <w:b/>
                <w:bCs/>
                <w:color w:val="595959" w:themeColor="text1" w:themeTint="A6"/>
                <w:sz w:val="16"/>
                <w:szCs w:val="16"/>
              </w:rPr>
              <w:t>6,296</w:t>
            </w:r>
          </w:p>
        </w:tc>
        <w:tc>
          <w:tcPr>
            <w:tcW w:w="1632" w:type="dxa"/>
            <w:tcBorders>
              <w:top w:val="single" w:sz="8" w:space="0" w:color="666666"/>
              <w:left w:val="nil"/>
              <w:bottom w:val="single" w:sz="4" w:space="0" w:color="auto"/>
              <w:right w:val="nil"/>
            </w:tcBorders>
            <w:vAlign w:val="center"/>
          </w:tcPr>
          <w:p w14:paraId="37E77BAF" w14:textId="77777777" w:rsidR="008F2674" w:rsidRPr="008465B4" w:rsidRDefault="008F2674" w:rsidP="00210D75">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512BD9" w:rsidRPr="008465B4">
              <w:rPr>
                <w:rFonts w:ascii="Segoe UI" w:eastAsia="Times New Roman" w:hAnsi="Segoe UI" w:cs="Segoe UI"/>
                <w:b/>
                <w:bCs/>
                <w:color w:val="666666"/>
                <w:sz w:val="16"/>
                <w:szCs w:val="16"/>
              </w:rPr>
              <w:t>9,243</w:t>
            </w:r>
          </w:p>
        </w:tc>
      </w:tr>
      <w:tr w:rsidR="008F2674" w:rsidRPr="008465B4" w14:paraId="0CFC37C7" w14:textId="77777777" w:rsidTr="002C0C29">
        <w:trPr>
          <w:trHeight w:val="288"/>
        </w:trPr>
        <w:tc>
          <w:tcPr>
            <w:tcW w:w="4466" w:type="dxa"/>
            <w:tcBorders>
              <w:top w:val="single" w:sz="4" w:space="0" w:color="auto"/>
              <w:left w:val="nil"/>
              <w:bottom w:val="single" w:sz="4" w:space="0" w:color="auto"/>
              <w:right w:val="nil"/>
            </w:tcBorders>
            <w:noWrap/>
            <w:vAlign w:val="center"/>
          </w:tcPr>
          <w:p w14:paraId="549DEEF4" w14:textId="77777777" w:rsidR="008F2674" w:rsidRPr="008465B4" w:rsidRDefault="008F2674" w:rsidP="00210D75">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635" w:type="dxa"/>
            <w:tcBorders>
              <w:top w:val="single" w:sz="4" w:space="0" w:color="auto"/>
              <w:left w:val="nil"/>
              <w:bottom w:val="single" w:sz="4" w:space="0" w:color="auto"/>
              <w:right w:val="nil"/>
            </w:tcBorders>
            <w:vAlign w:val="center"/>
          </w:tcPr>
          <w:p w14:paraId="49E4F8C2" w14:textId="0BDFE758"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D17AD5">
              <w:rPr>
                <w:rFonts w:ascii="Segoe UI" w:eastAsia="Times New Roman" w:hAnsi="Segoe UI" w:cs="Segoe UI"/>
                <w:b/>
                <w:bCs/>
                <w:color w:val="656565"/>
                <w:sz w:val="16"/>
                <w:szCs w:val="16"/>
              </w:rPr>
              <w:t>6,969</w:t>
            </w:r>
          </w:p>
        </w:tc>
        <w:tc>
          <w:tcPr>
            <w:tcW w:w="1629" w:type="dxa"/>
            <w:tcBorders>
              <w:top w:val="single" w:sz="4" w:space="0" w:color="auto"/>
              <w:left w:val="nil"/>
              <w:bottom w:val="single" w:sz="4" w:space="0" w:color="auto"/>
              <w:right w:val="nil"/>
            </w:tcBorders>
            <w:vAlign w:val="center"/>
          </w:tcPr>
          <w:p w14:paraId="7027F674"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9364EC" w:rsidRPr="008465B4">
              <w:rPr>
                <w:rFonts w:ascii="Segoe UI" w:eastAsia="Times New Roman" w:hAnsi="Segoe UI" w:cs="Segoe UI"/>
                <w:b/>
                <w:bCs/>
                <w:color w:val="656565"/>
                <w:sz w:val="16"/>
                <w:szCs w:val="16"/>
              </w:rPr>
              <w:t>6,711</w:t>
            </w:r>
          </w:p>
        </w:tc>
        <w:tc>
          <w:tcPr>
            <w:tcW w:w="1632" w:type="dxa"/>
            <w:tcBorders>
              <w:top w:val="single" w:sz="4" w:space="0" w:color="auto"/>
              <w:left w:val="nil"/>
              <w:bottom w:val="single" w:sz="4" w:space="0" w:color="auto"/>
              <w:right w:val="nil"/>
            </w:tcBorders>
            <w:vAlign w:val="center"/>
          </w:tcPr>
          <w:p w14:paraId="4826A106"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9364EC" w:rsidRPr="008465B4">
              <w:rPr>
                <w:rFonts w:ascii="Segoe UI" w:eastAsia="Times New Roman" w:hAnsi="Segoe UI" w:cs="Segoe UI"/>
                <w:b/>
                <w:bCs/>
                <w:color w:val="656565"/>
                <w:sz w:val="16"/>
                <w:szCs w:val="16"/>
              </w:rPr>
              <w:t>8,897</w:t>
            </w:r>
          </w:p>
        </w:tc>
      </w:tr>
      <w:tr w:rsidR="008F2674" w:rsidRPr="008465B4" w14:paraId="121FD330" w14:textId="77777777" w:rsidTr="002C0C29">
        <w:trPr>
          <w:trHeight w:val="288"/>
        </w:trPr>
        <w:tc>
          <w:tcPr>
            <w:tcW w:w="4466" w:type="dxa"/>
            <w:tcBorders>
              <w:top w:val="single" w:sz="4" w:space="0" w:color="auto"/>
              <w:left w:val="nil"/>
              <w:bottom w:val="single" w:sz="4" w:space="0" w:color="auto"/>
              <w:right w:val="nil"/>
            </w:tcBorders>
            <w:noWrap/>
            <w:vAlign w:val="center"/>
          </w:tcPr>
          <w:p w14:paraId="42F4838B" w14:textId="77777777" w:rsidR="008F2674" w:rsidRPr="008465B4" w:rsidRDefault="008F2674"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p w14:paraId="39673274"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5</w:t>
            </w:r>
            <w:r w:rsidR="008F2674" w:rsidRPr="008465B4">
              <w:rPr>
                <w:rFonts w:ascii="Segoe UI" w:eastAsia="Times New Roman" w:hAnsi="Segoe UI" w:cs="Segoe UI"/>
                <w:bCs/>
                <w:color w:val="656565"/>
                <w:sz w:val="16"/>
                <w:szCs w:val="16"/>
              </w:rPr>
              <w:t>%</w:t>
            </w:r>
          </w:p>
        </w:tc>
        <w:tc>
          <w:tcPr>
            <w:tcW w:w="1629" w:type="dxa"/>
            <w:tcBorders>
              <w:top w:val="single" w:sz="4" w:space="0" w:color="auto"/>
              <w:left w:val="nil"/>
              <w:bottom w:val="single" w:sz="4" w:space="0" w:color="auto"/>
              <w:right w:val="nil"/>
            </w:tcBorders>
            <w:vAlign w:val="center"/>
          </w:tcPr>
          <w:p w14:paraId="47076681"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7</w:t>
            </w:r>
            <w:r w:rsidR="008F2674" w:rsidRPr="008465B4">
              <w:rPr>
                <w:rFonts w:ascii="Segoe UI" w:eastAsia="Times New Roman" w:hAnsi="Segoe UI" w:cs="Segoe UI"/>
                <w:bCs/>
                <w:color w:val="656565"/>
                <w:sz w:val="16"/>
                <w:szCs w:val="16"/>
              </w:rPr>
              <w:t>%</w:t>
            </w:r>
          </w:p>
        </w:tc>
        <w:tc>
          <w:tcPr>
            <w:tcW w:w="1632" w:type="dxa"/>
            <w:tcBorders>
              <w:top w:val="single" w:sz="4" w:space="0" w:color="auto"/>
              <w:left w:val="nil"/>
              <w:bottom w:val="single" w:sz="4" w:space="0" w:color="auto"/>
              <w:right w:val="nil"/>
            </w:tcBorders>
            <w:vAlign w:val="center"/>
          </w:tcPr>
          <w:p w14:paraId="01F43EF4"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(4)</w:t>
            </w:r>
            <w:r w:rsidR="008F2674" w:rsidRPr="008465B4">
              <w:rPr>
                <w:rFonts w:ascii="Segoe UI" w:eastAsia="Times New Roman" w:hAnsi="Segoe UI" w:cs="Segoe UI"/>
                <w:bCs/>
                <w:color w:val="656565"/>
                <w:sz w:val="16"/>
                <w:szCs w:val="16"/>
              </w:rPr>
              <w:t>%</w:t>
            </w:r>
          </w:p>
        </w:tc>
      </w:tr>
      <w:tr w:rsidR="008F2674" w:rsidRPr="008465B4" w14:paraId="2875E8B5" w14:textId="77777777" w:rsidTr="002C0C29">
        <w:trPr>
          <w:trHeight w:val="288"/>
        </w:trPr>
        <w:tc>
          <w:tcPr>
            <w:tcW w:w="4466" w:type="dxa"/>
            <w:tcBorders>
              <w:top w:val="single" w:sz="4" w:space="0" w:color="auto"/>
              <w:left w:val="nil"/>
              <w:bottom w:val="single" w:sz="4" w:space="0" w:color="auto"/>
              <w:right w:val="nil"/>
            </w:tcBorders>
            <w:noWrap/>
            <w:vAlign w:val="center"/>
          </w:tcPr>
          <w:p w14:paraId="69F582EC" w14:textId="77777777" w:rsidR="008F2674" w:rsidRPr="008465B4" w:rsidRDefault="008F2674"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0AAC8835"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865FBB" w:rsidRPr="008465B4">
              <w:rPr>
                <w:rFonts w:ascii="Segoe UI" w:eastAsia="Times New Roman" w:hAnsi="Segoe UI" w:cs="Segoe UI"/>
                <w:b/>
                <w:bCs/>
                <w:color w:val="656565"/>
                <w:sz w:val="16"/>
                <w:szCs w:val="16"/>
              </w:rPr>
              <w:t>(249</w:t>
            </w:r>
            <w:r w:rsidR="00677027" w:rsidRPr="008465B4">
              <w:rPr>
                <w:rFonts w:ascii="Segoe UI" w:eastAsia="Times New Roman" w:hAnsi="Segoe UI" w:cs="Segoe UI"/>
                <w:b/>
                <w:bCs/>
                <w:color w:val="656565"/>
                <w:sz w:val="16"/>
                <w:szCs w:val="16"/>
              </w:rPr>
              <w:t>)</w:t>
            </w:r>
          </w:p>
        </w:tc>
        <w:tc>
          <w:tcPr>
            <w:tcW w:w="1629" w:type="dxa"/>
            <w:tcBorders>
              <w:top w:val="single" w:sz="4" w:space="0" w:color="auto"/>
              <w:left w:val="nil"/>
              <w:bottom w:val="single" w:sz="4" w:space="0" w:color="auto"/>
              <w:right w:val="nil"/>
            </w:tcBorders>
            <w:vAlign w:val="center"/>
          </w:tcPr>
          <w:p w14:paraId="17F1FF05"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865FBB" w:rsidRPr="008465B4">
              <w:rPr>
                <w:rFonts w:ascii="Segoe UI" w:eastAsia="Times New Roman" w:hAnsi="Segoe UI" w:cs="Segoe UI"/>
                <w:b/>
                <w:bCs/>
                <w:color w:val="656565"/>
                <w:sz w:val="16"/>
                <w:szCs w:val="16"/>
              </w:rPr>
              <w:t>(215)</w:t>
            </w:r>
          </w:p>
        </w:tc>
        <w:tc>
          <w:tcPr>
            <w:tcW w:w="1632" w:type="dxa"/>
            <w:tcBorders>
              <w:top w:val="single" w:sz="4" w:space="0" w:color="auto"/>
              <w:left w:val="nil"/>
              <w:bottom w:val="single" w:sz="4" w:space="0" w:color="auto"/>
              <w:right w:val="nil"/>
            </w:tcBorders>
            <w:vAlign w:val="center"/>
          </w:tcPr>
          <w:p w14:paraId="39D12B46" w14:textId="77777777" w:rsidR="008F2674" w:rsidRPr="008465B4" w:rsidRDefault="008F2674" w:rsidP="00210D75">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56565"/>
                <w:sz w:val="16"/>
                <w:szCs w:val="16"/>
              </w:rPr>
              <w:t>$</w:t>
            </w:r>
            <w:r w:rsidR="00865FBB" w:rsidRPr="008465B4">
              <w:rPr>
                <w:rFonts w:ascii="Segoe UI" w:eastAsia="Times New Roman" w:hAnsi="Segoe UI" w:cs="Segoe UI"/>
                <w:b/>
                <w:bCs/>
                <w:color w:val="656565"/>
                <w:sz w:val="16"/>
                <w:szCs w:val="16"/>
              </w:rPr>
              <w:t>(133)</w:t>
            </w:r>
          </w:p>
        </w:tc>
      </w:tr>
      <w:tr w:rsidR="008F2674" w:rsidRPr="008465B4" w14:paraId="2B0450D2" w14:textId="77777777" w:rsidTr="002C0C29">
        <w:trPr>
          <w:trHeight w:val="288"/>
        </w:trPr>
        <w:tc>
          <w:tcPr>
            <w:tcW w:w="4466" w:type="dxa"/>
            <w:tcBorders>
              <w:top w:val="single" w:sz="4" w:space="0" w:color="auto"/>
              <w:left w:val="nil"/>
              <w:bottom w:val="single" w:sz="4" w:space="0" w:color="666666"/>
              <w:right w:val="nil"/>
            </w:tcBorders>
            <w:noWrap/>
            <w:vAlign w:val="center"/>
          </w:tcPr>
          <w:p w14:paraId="4E6D3E25" w14:textId="3E50CF00" w:rsidR="008F2674" w:rsidRPr="008465B4" w:rsidRDefault="008F2674" w:rsidP="00210D75">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Percentage Change </w:t>
            </w:r>
            <w:r w:rsidRPr="00E91507">
              <w:rPr>
                <w:rFonts w:ascii="Segoe UI" w:eastAsia="Times New Roman" w:hAnsi="Segoe UI" w:cs="Segoe UI"/>
                <w:bCs/>
                <w:color w:val="666666"/>
                <w:sz w:val="16"/>
                <w:szCs w:val="16"/>
              </w:rPr>
              <w:t>Y/Y (</w:t>
            </w:r>
            <w:r w:rsidR="006C3477" w:rsidRPr="00E91507">
              <w:rPr>
                <w:rFonts w:ascii="Segoe UI" w:eastAsia="Times New Roman" w:hAnsi="Segoe UI" w:cs="Segoe UI"/>
                <w:bCs/>
                <w:color w:val="666666"/>
                <w:sz w:val="16"/>
                <w:szCs w:val="16"/>
              </w:rPr>
              <w:t>non-</w:t>
            </w:r>
            <w:r w:rsidRPr="00E91507">
              <w:rPr>
                <w:rFonts w:ascii="Segoe UI" w:eastAsia="Times New Roman" w:hAnsi="Segoe UI" w:cs="Segoe UI"/>
                <w:bCs/>
                <w:color w:val="666666"/>
                <w:sz w:val="16"/>
                <w:szCs w:val="16"/>
              </w:rPr>
              <w:t>GAAP) Constant</w:t>
            </w:r>
            <w:r w:rsidRPr="008465B4">
              <w:rPr>
                <w:rFonts w:ascii="Segoe UI" w:eastAsia="Times New Roman" w:hAnsi="Segoe UI" w:cs="Segoe UI"/>
                <w:bCs/>
                <w:color w:val="666666"/>
                <w:sz w:val="16"/>
                <w:szCs w:val="16"/>
              </w:rPr>
              <w:t xml:space="preserve"> Currency</w:t>
            </w:r>
          </w:p>
        </w:tc>
        <w:tc>
          <w:tcPr>
            <w:tcW w:w="1635" w:type="dxa"/>
            <w:tcBorders>
              <w:top w:val="single" w:sz="4" w:space="0" w:color="auto"/>
              <w:left w:val="nil"/>
              <w:bottom w:val="single" w:sz="4" w:space="0" w:color="666666"/>
              <w:right w:val="nil"/>
            </w:tcBorders>
            <w:vAlign w:val="center"/>
          </w:tcPr>
          <w:p w14:paraId="4FF5FBD7"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8</w:t>
            </w:r>
            <w:r w:rsidR="008F2674" w:rsidRPr="008465B4">
              <w:rPr>
                <w:rFonts w:ascii="Segoe UI" w:eastAsia="Times New Roman" w:hAnsi="Segoe UI" w:cs="Segoe UI"/>
                <w:bCs/>
                <w:color w:val="656565"/>
                <w:sz w:val="16"/>
                <w:szCs w:val="16"/>
              </w:rPr>
              <w:t>%</w:t>
            </w:r>
          </w:p>
        </w:tc>
        <w:tc>
          <w:tcPr>
            <w:tcW w:w="1629" w:type="dxa"/>
            <w:tcBorders>
              <w:top w:val="single" w:sz="4" w:space="0" w:color="auto"/>
              <w:left w:val="nil"/>
              <w:bottom w:val="single" w:sz="4" w:space="0" w:color="666666"/>
              <w:right w:val="nil"/>
            </w:tcBorders>
            <w:vAlign w:val="center"/>
          </w:tcPr>
          <w:p w14:paraId="2ACB3E40"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10</w:t>
            </w:r>
            <w:r w:rsidR="008F2674" w:rsidRPr="008465B4">
              <w:rPr>
                <w:rFonts w:ascii="Segoe UI" w:eastAsia="Times New Roman" w:hAnsi="Segoe UI" w:cs="Segoe UI"/>
                <w:bCs/>
                <w:color w:val="656565"/>
                <w:sz w:val="16"/>
                <w:szCs w:val="16"/>
              </w:rPr>
              <w:t>%</w:t>
            </w:r>
          </w:p>
        </w:tc>
        <w:tc>
          <w:tcPr>
            <w:tcW w:w="1632" w:type="dxa"/>
            <w:tcBorders>
              <w:top w:val="single" w:sz="4" w:space="0" w:color="auto"/>
              <w:left w:val="nil"/>
              <w:bottom w:val="single" w:sz="4" w:space="0" w:color="666666"/>
              <w:right w:val="nil"/>
            </w:tcBorders>
            <w:vAlign w:val="center"/>
          </w:tcPr>
          <w:p w14:paraId="521FDA3E" w14:textId="77777777" w:rsidR="008F2674" w:rsidRPr="008465B4" w:rsidRDefault="009364EC" w:rsidP="00210D75">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(2)</w:t>
            </w:r>
            <w:r w:rsidR="008F2674" w:rsidRPr="008465B4">
              <w:rPr>
                <w:rFonts w:ascii="Segoe UI" w:eastAsia="Times New Roman" w:hAnsi="Segoe UI" w:cs="Segoe UI"/>
                <w:bCs/>
                <w:color w:val="656565"/>
                <w:sz w:val="16"/>
                <w:szCs w:val="16"/>
              </w:rPr>
              <w:t>%</w:t>
            </w:r>
          </w:p>
        </w:tc>
      </w:tr>
    </w:tbl>
    <w:p w14:paraId="4860316F" w14:textId="77777777" w:rsidR="00567E9D" w:rsidRDefault="00567E9D" w:rsidP="0018071E">
      <w:pPr>
        <w:keepNext/>
        <w:spacing w:before="270" w:after="270" w:line="240" w:lineRule="auto"/>
        <w:ind w:firstLine="720"/>
        <w:rPr>
          <w:rFonts w:ascii="Segoe UI" w:hAnsi="Segoe UI" w:cs="Segoe UI"/>
          <w:b/>
          <w:color w:val="666666"/>
          <w:sz w:val="20"/>
          <w:szCs w:val="20"/>
        </w:rPr>
      </w:pPr>
    </w:p>
    <w:p w14:paraId="3B9CC52A" w14:textId="77777777" w:rsidR="00567E9D" w:rsidRDefault="00567E9D">
      <w:pPr>
        <w:spacing w:after="160" w:line="259" w:lineRule="auto"/>
        <w:rPr>
          <w:rFonts w:ascii="Segoe UI" w:hAnsi="Segoe UI" w:cs="Segoe UI"/>
          <w:b/>
          <w:color w:val="666666"/>
          <w:sz w:val="20"/>
          <w:szCs w:val="20"/>
        </w:rPr>
      </w:pPr>
      <w:r>
        <w:rPr>
          <w:rFonts w:ascii="Segoe UI" w:hAnsi="Segoe UI" w:cs="Segoe UI"/>
          <w:b/>
          <w:color w:val="666666"/>
          <w:sz w:val="20"/>
          <w:szCs w:val="20"/>
        </w:rPr>
        <w:br w:type="page"/>
      </w:r>
    </w:p>
    <w:p w14:paraId="24EFCC8F" w14:textId="2D55474B" w:rsidR="0018071E" w:rsidRPr="00E91507" w:rsidRDefault="0018071E" w:rsidP="0018071E">
      <w:pPr>
        <w:keepNext/>
        <w:spacing w:before="270" w:after="270" w:line="240" w:lineRule="auto"/>
        <w:ind w:firstLine="720"/>
        <w:rPr>
          <w:rFonts w:ascii="Segoe UI" w:eastAsia="Times New Roman" w:hAnsi="Segoe UI" w:cs="Segoe UI"/>
          <w:b/>
          <w:bCs/>
          <w:color w:val="666666"/>
          <w:sz w:val="20"/>
          <w:szCs w:val="20"/>
        </w:rPr>
      </w:pPr>
      <w:r w:rsidRPr="00E91507">
        <w:rPr>
          <w:rFonts w:ascii="Segoe UI" w:hAnsi="Segoe UI" w:cs="Segoe UI"/>
          <w:b/>
          <w:color w:val="666666"/>
          <w:sz w:val="20"/>
          <w:szCs w:val="20"/>
        </w:rPr>
        <w:t xml:space="preserve">Selected Product Revenue </w:t>
      </w:r>
      <w:r w:rsidRPr="00E91507">
        <w:rPr>
          <w:rFonts w:ascii="Segoe UI" w:eastAsia="Times New Roman" w:hAnsi="Segoe UI" w:cs="Segoe UI"/>
          <w:b/>
          <w:bCs/>
          <w:color w:val="666666"/>
          <w:sz w:val="20"/>
          <w:szCs w:val="20"/>
        </w:rPr>
        <w:t>Constant Currency Reconciliation</w:t>
      </w:r>
    </w:p>
    <w:tbl>
      <w:tblPr>
        <w:tblW w:w="5001" w:type="pct"/>
        <w:tblLook w:val="04A0" w:firstRow="1" w:lastRow="0" w:firstColumn="1" w:lastColumn="0" w:noHBand="0" w:noVBand="1"/>
      </w:tblPr>
      <w:tblGrid>
        <w:gridCol w:w="4466"/>
        <w:gridCol w:w="1635"/>
        <w:gridCol w:w="1629"/>
        <w:gridCol w:w="1632"/>
      </w:tblGrid>
      <w:tr w:rsidR="0018071E" w:rsidRPr="00E91507" w14:paraId="1B88BA32" w14:textId="77777777" w:rsidTr="00317D7B">
        <w:trPr>
          <w:trHeight w:val="340"/>
        </w:trPr>
        <w:tc>
          <w:tcPr>
            <w:tcW w:w="4466" w:type="dxa"/>
            <w:tcBorders>
              <w:top w:val="nil"/>
              <w:left w:val="nil"/>
              <w:bottom w:val="single" w:sz="8" w:space="0" w:color="auto"/>
              <w:right w:val="nil"/>
            </w:tcBorders>
            <w:vAlign w:val="center"/>
          </w:tcPr>
          <w:p w14:paraId="3861EAA2" w14:textId="77777777" w:rsidR="0018071E" w:rsidRPr="00E91507" w:rsidRDefault="0018071E" w:rsidP="00317D7B">
            <w:pPr>
              <w:spacing w:after="0" w:line="240" w:lineRule="auto"/>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F730B64" w14:textId="77777777" w:rsidR="0018071E" w:rsidRPr="00E91507" w:rsidRDefault="0018071E" w:rsidP="00317D7B">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Three Months Ended June 30,</w:t>
            </w:r>
          </w:p>
        </w:tc>
      </w:tr>
      <w:tr w:rsidR="0018071E" w:rsidRPr="00E91507" w14:paraId="5600CB7E" w14:textId="77777777" w:rsidTr="00317D7B">
        <w:trPr>
          <w:trHeight w:val="432"/>
        </w:trPr>
        <w:tc>
          <w:tcPr>
            <w:tcW w:w="4466" w:type="dxa"/>
            <w:tcBorders>
              <w:top w:val="single" w:sz="8" w:space="0" w:color="666666"/>
              <w:left w:val="nil"/>
              <w:bottom w:val="single" w:sz="8" w:space="0" w:color="666666"/>
              <w:right w:val="nil"/>
            </w:tcBorders>
            <w:vAlign w:val="bottom"/>
            <w:hideMark/>
          </w:tcPr>
          <w:p w14:paraId="675BD2D9" w14:textId="5CDB0547" w:rsidR="0018071E" w:rsidRPr="00E91507" w:rsidRDefault="0018071E" w:rsidP="00317D7B">
            <w:pPr>
              <w:spacing w:after="0" w:line="240" w:lineRule="auto"/>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48B4C1FF" w14:textId="0DE9C945" w:rsidR="0018071E" w:rsidRPr="00E91507" w:rsidRDefault="0018071E" w:rsidP="00317D7B">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59833471" w14:textId="3A91C3B6" w:rsidR="0018071E" w:rsidRPr="00E91507" w:rsidRDefault="00C04332" w:rsidP="00317D7B">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 xml:space="preserve">Constant </w:t>
            </w:r>
            <w:r w:rsidR="0018071E" w:rsidRPr="00E91507">
              <w:rPr>
                <w:rFonts w:ascii="Segoe UI" w:eastAsia="Times New Roman" w:hAnsi="Segoe UI" w:cs="Segoe UI"/>
                <w:b/>
                <w:bCs/>
                <w:color w:val="666666"/>
                <w:sz w:val="16"/>
                <w:szCs w:val="16"/>
              </w:rPr>
              <w:t>Currency Impact</w:t>
            </w:r>
          </w:p>
        </w:tc>
        <w:tc>
          <w:tcPr>
            <w:tcW w:w="1632" w:type="dxa"/>
            <w:tcBorders>
              <w:top w:val="single" w:sz="8" w:space="0" w:color="666666"/>
              <w:left w:val="nil"/>
              <w:bottom w:val="single" w:sz="8" w:space="0" w:color="666666"/>
              <w:right w:val="nil"/>
            </w:tcBorders>
            <w:vAlign w:val="bottom"/>
          </w:tcPr>
          <w:p w14:paraId="197FC6F8" w14:textId="702733DA" w:rsidR="0018071E" w:rsidRPr="00E91507" w:rsidRDefault="0018071E" w:rsidP="00317D7B">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w:t>
            </w:r>
            <w:r w:rsidR="006C3477" w:rsidRPr="00E91507">
              <w:rPr>
                <w:rFonts w:ascii="Segoe UI" w:eastAsia="Times New Roman" w:hAnsi="Segoe UI" w:cs="Segoe UI"/>
                <w:b/>
                <w:bCs/>
                <w:color w:val="666666"/>
                <w:sz w:val="16"/>
                <w:szCs w:val="16"/>
              </w:rPr>
              <w:t>non-</w:t>
            </w:r>
            <w:r w:rsidRPr="00E91507">
              <w:rPr>
                <w:rFonts w:ascii="Segoe UI" w:eastAsia="Times New Roman" w:hAnsi="Segoe UI" w:cs="Segoe UI"/>
                <w:b/>
                <w:bCs/>
                <w:color w:val="666666"/>
                <w:sz w:val="16"/>
                <w:szCs w:val="16"/>
              </w:rPr>
              <w:t>GAAP) Constant Currency</w:t>
            </w:r>
          </w:p>
        </w:tc>
      </w:tr>
      <w:tr w:rsidR="0018071E" w:rsidRPr="00E91507" w14:paraId="386D6043" w14:textId="77777777" w:rsidTr="00317D7B">
        <w:trPr>
          <w:trHeight w:val="288"/>
        </w:trPr>
        <w:tc>
          <w:tcPr>
            <w:tcW w:w="4466" w:type="dxa"/>
            <w:tcBorders>
              <w:top w:val="single" w:sz="8" w:space="0" w:color="666666"/>
              <w:left w:val="nil"/>
              <w:bottom w:val="single" w:sz="4" w:space="0" w:color="auto"/>
              <w:right w:val="nil"/>
            </w:tcBorders>
            <w:noWrap/>
            <w:vAlign w:val="center"/>
          </w:tcPr>
          <w:p w14:paraId="778B91D6" w14:textId="52FE50A3" w:rsidR="0018071E"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4066C29E" w14:textId="779D8435" w:rsidR="0018071E" w:rsidRPr="00E91507" w:rsidRDefault="00EA5C63" w:rsidP="00317D7B">
            <w:pPr>
              <w:spacing w:after="0" w:line="240" w:lineRule="auto"/>
              <w:ind w:firstLine="82"/>
              <w:jc w:val="right"/>
              <w:rPr>
                <w:rFonts w:ascii="Segoe UI" w:eastAsia="Times New Roman" w:hAnsi="Segoe UI" w:cs="Segoe UI"/>
                <w:b/>
                <w:bCs/>
                <w:color w:val="595959" w:themeColor="text1" w:themeTint="A6"/>
                <w:sz w:val="16"/>
                <w:szCs w:val="16"/>
              </w:rPr>
            </w:pPr>
            <w:r w:rsidRPr="00E91507">
              <w:rPr>
                <w:rFonts w:ascii="Segoe UI" w:eastAsia="Times New Roman" w:hAnsi="Segoe UI" w:cs="Segoe UI"/>
                <w:b/>
                <w:bCs/>
                <w:color w:val="595959" w:themeColor="text1" w:themeTint="A6"/>
                <w:sz w:val="16"/>
                <w:szCs w:val="16"/>
              </w:rPr>
              <w:t>5%</w:t>
            </w:r>
          </w:p>
        </w:tc>
        <w:tc>
          <w:tcPr>
            <w:tcW w:w="1629" w:type="dxa"/>
            <w:tcBorders>
              <w:top w:val="single" w:sz="8" w:space="0" w:color="666666"/>
              <w:left w:val="nil"/>
              <w:bottom w:val="single" w:sz="4" w:space="0" w:color="auto"/>
              <w:right w:val="nil"/>
            </w:tcBorders>
            <w:vAlign w:val="center"/>
          </w:tcPr>
          <w:p w14:paraId="4144F540" w14:textId="2AA9141B" w:rsidR="0018071E" w:rsidRPr="00E91507" w:rsidRDefault="00EA5C63" w:rsidP="00317D7B">
            <w:pPr>
              <w:spacing w:after="0" w:line="240" w:lineRule="auto"/>
              <w:jc w:val="right"/>
              <w:rPr>
                <w:rFonts w:ascii="Segoe UI" w:eastAsia="Times New Roman" w:hAnsi="Segoe UI" w:cs="Segoe UI"/>
                <w:b/>
                <w:bCs/>
                <w:color w:val="595959" w:themeColor="text1" w:themeTint="A6"/>
                <w:sz w:val="16"/>
                <w:szCs w:val="16"/>
              </w:rPr>
            </w:pPr>
            <w:r w:rsidRPr="00E91507">
              <w:rPr>
                <w:rFonts w:ascii="Segoe UI" w:eastAsia="Times New Roman" w:hAnsi="Segoe UI" w:cs="Segoe UI"/>
                <w:b/>
                <w:bCs/>
                <w:color w:val="595959" w:themeColor="text1" w:themeTint="A6"/>
                <w:sz w:val="16"/>
                <w:szCs w:val="16"/>
              </w:rPr>
              <w:t>4%</w:t>
            </w:r>
          </w:p>
        </w:tc>
        <w:tc>
          <w:tcPr>
            <w:tcW w:w="1632" w:type="dxa"/>
            <w:tcBorders>
              <w:top w:val="single" w:sz="8" w:space="0" w:color="666666"/>
              <w:left w:val="nil"/>
              <w:bottom w:val="single" w:sz="4" w:space="0" w:color="auto"/>
              <w:right w:val="nil"/>
            </w:tcBorders>
            <w:vAlign w:val="center"/>
          </w:tcPr>
          <w:p w14:paraId="0D816787" w14:textId="1FA52ED5" w:rsidR="0018071E" w:rsidRPr="00E91507" w:rsidRDefault="00EA5C63" w:rsidP="00317D7B">
            <w:pPr>
              <w:spacing w:after="0" w:line="240" w:lineRule="auto"/>
              <w:jc w:val="right"/>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9%</w:t>
            </w:r>
          </w:p>
        </w:tc>
      </w:tr>
      <w:tr w:rsidR="0018071E" w:rsidRPr="00E91507" w14:paraId="79AF06B6" w14:textId="77777777" w:rsidTr="00317D7B">
        <w:trPr>
          <w:trHeight w:val="288"/>
        </w:trPr>
        <w:tc>
          <w:tcPr>
            <w:tcW w:w="4466" w:type="dxa"/>
            <w:tcBorders>
              <w:top w:val="single" w:sz="4" w:space="0" w:color="auto"/>
              <w:left w:val="nil"/>
              <w:bottom w:val="single" w:sz="4" w:space="0" w:color="auto"/>
              <w:right w:val="nil"/>
            </w:tcBorders>
            <w:noWrap/>
            <w:vAlign w:val="center"/>
          </w:tcPr>
          <w:p w14:paraId="5712C959" w14:textId="3420BB03" w:rsidR="0018071E"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06C34177" w14:textId="764E1FC1"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54%</w:t>
            </w:r>
          </w:p>
        </w:tc>
        <w:tc>
          <w:tcPr>
            <w:tcW w:w="1629" w:type="dxa"/>
            <w:tcBorders>
              <w:top w:val="single" w:sz="4" w:space="0" w:color="auto"/>
              <w:left w:val="nil"/>
              <w:bottom w:val="single" w:sz="4" w:space="0" w:color="auto"/>
              <w:right w:val="nil"/>
            </w:tcBorders>
            <w:vAlign w:val="center"/>
          </w:tcPr>
          <w:p w14:paraId="0BB31573" w14:textId="2BCA82AD"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5%</w:t>
            </w:r>
          </w:p>
        </w:tc>
        <w:tc>
          <w:tcPr>
            <w:tcW w:w="1632" w:type="dxa"/>
            <w:tcBorders>
              <w:top w:val="single" w:sz="4" w:space="0" w:color="auto"/>
              <w:left w:val="nil"/>
              <w:bottom w:val="single" w:sz="4" w:space="0" w:color="auto"/>
              <w:right w:val="nil"/>
            </w:tcBorders>
            <w:vAlign w:val="center"/>
          </w:tcPr>
          <w:p w14:paraId="704A9E7D" w14:textId="26DC70D3"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59%</w:t>
            </w:r>
          </w:p>
        </w:tc>
      </w:tr>
      <w:tr w:rsidR="0018071E" w:rsidRPr="00E91507" w14:paraId="52C7DC38" w14:textId="77777777" w:rsidTr="00317D7B">
        <w:trPr>
          <w:trHeight w:val="288"/>
        </w:trPr>
        <w:tc>
          <w:tcPr>
            <w:tcW w:w="4466" w:type="dxa"/>
            <w:tcBorders>
              <w:top w:val="single" w:sz="4" w:space="0" w:color="auto"/>
              <w:left w:val="nil"/>
              <w:bottom w:val="single" w:sz="4" w:space="0" w:color="auto"/>
              <w:right w:val="nil"/>
            </w:tcBorders>
            <w:noWrap/>
            <w:vAlign w:val="center"/>
          </w:tcPr>
          <w:p w14:paraId="4AA16422" w14:textId="00DB4B0B" w:rsidR="0018071E"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2C8B5B79" w14:textId="2760FA57"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19%</w:t>
            </w:r>
          </w:p>
        </w:tc>
        <w:tc>
          <w:tcPr>
            <w:tcW w:w="1629" w:type="dxa"/>
            <w:tcBorders>
              <w:top w:val="single" w:sz="4" w:space="0" w:color="auto"/>
              <w:left w:val="nil"/>
              <w:bottom w:val="single" w:sz="4" w:space="0" w:color="auto"/>
              <w:right w:val="nil"/>
            </w:tcBorders>
            <w:vAlign w:val="center"/>
          </w:tcPr>
          <w:p w14:paraId="7940F2BE" w14:textId="6B3ACA7E"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w:t>
            </w:r>
          </w:p>
        </w:tc>
        <w:tc>
          <w:tcPr>
            <w:tcW w:w="1632" w:type="dxa"/>
            <w:tcBorders>
              <w:top w:val="single" w:sz="4" w:space="0" w:color="auto"/>
              <w:left w:val="nil"/>
              <w:bottom w:val="single" w:sz="4" w:space="0" w:color="auto"/>
              <w:right w:val="nil"/>
            </w:tcBorders>
            <w:vAlign w:val="center"/>
          </w:tcPr>
          <w:p w14:paraId="4BAD4F4B" w14:textId="6435BBB8"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18%</w:t>
            </w:r>
          </w:p>
        </w:tc>
      </w:tr>
      <w:tr w:rsidR="0018071E" w:rsidRPr="00E91507" w14:paraId="1A5972BC" w14:textId="77777777" w:rsidTr="00317D7B">
        <w:trPr>
          <w:trHeight w:val="288"/>
        </w:trPr>
        <w:tc>
          <w:tcPr>
            <w:tcW w:w="4466" w:type="dxa"/>
            <w:tcBorders>
              <w:top w:val="single" w:sz="4" w:space="0" w:color="auto"/>
              <w:left w:val="nil"/>
              <w:bottom w:val="single" w:sz="4" w:space="0" w:color="auto"/>
              <w:right w:val="nil"/>
            </w:tcBorders>
            <w:noWrap/>
            <w:vAlign w:val="center"/>
          </w:tcPr>
          <w:p w14:paraId="5858205E" w14:textId="6798DC6B" w:rsidR="0018071E"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47DE8FB0" w14:textId="712AE35D"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6%</w:t>
            </w:r>
          </w:p>
        </w:tc>
        <w:tc>
          <w:tcPr>
            <w:tcW w:w="1629" w:type="dxa"/>
            <w:tcBorders>
              <w:top w:val="single" w:sz="4" w:space="0" w:color="auto"/>
              <w:left w:val="nil"/>
              <w:bottom w:val="single" w:sz="4" w:space="0" w:color="auto"/>
              <w:right w:val="nil"/>
            </w:tcBorders>
            <w:vAlign w:val="center"/>
          </w:tcPr>
          <w:p w14:paraId="403B2F1A" w14:textId="0015215C"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w:t>
            </w:r>
          </w:p>
        </w:tc>
        <w:tc>
          <w:tcPr>
            <w:tcW w:w="1632" w:type="dxa"/>
            <w:tcBorders>
              <w:top w:val="single" w:sz="4" w:space="0" w:color="auto"/>
              <w:left w:val="nil"/>
              <w:bottom w:val="single" w:sz="4" w:space="0" w:color="auto"/>
              <w:right w:val="nil"/>
            </w:tcBorders>
            <w:vAlign w:val="center"/>
          </w:tcPr>
          <w:p w14:paraId="398ABBF5" w14:textId="50742BC4" w:rsidR="0018071E"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7%</w:t>
            </w:r>
          </w:p>
        </w:tc>
      </w:tr>
      <w:tr w:rsidR="00C45CF3" w:rsidRPr="00E91507" w14:paraId="6F163F4C" w14:textId="77777777" w:rsidTr="00317D7B">
        <w:trPr>
          <w:trHeight w:val="288"/>
        </w:trPr>
        <w:tc>
          <w:tcPr>
            <w:tcW w:w="4466" w:type="dxa"/>
            <w:tcBorders>
              <w:top w:val="single" w:sz="4" w:space="0" w:color="auto"/>
              <w:left w:val="nil"/>
              <w:bottom w:val="single" w:sz="4" w:space="0" w:color="auto"/>
              <w:right w:val="nil"/>
            </w:tcBorders>
            <w:noWrap/>
            <w:vAlign w:val="center"/>
          </w:tcPr>
          <w:p w14:paraId="3F29210A" w14:textId="54EDFFCF" w:rsidR="00C45CF3"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27E554C0" w14:textId="4B093529" w:rsidR="00C45CF3"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5%</w:t>
            </w:r>
          </w:p>
        </w:tc>
        <w:tc>
          <w:tcPr>
            <w:tcW w:w="1629" w:type="dxa"/>
            <w:tcBorders>
              <w:top w:val="single" w:sz="4" w:space="0" w:color="auto"/>
              <w:left w:val="nil"/>
              <w:bottom w:val="single" w:sz="4" w:space="0" w:color="auto"/>
              <w:right w:val="nil"/>
            </w:tcBorders>
            <w:vAlign w:val="center"/>
          </w:tcPr>
          <w:p w14:paraId="23F1149B" w14:textId="1B7FBAB3" w:rsidR="00C45CF3"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3%</w:t>
            </w:r>
          </w:p>
        </w:tc>
        <w:tc>
          <w:tcPr>
            <w:tcW w:w="1632" w:type="dxa"/>
            <w:tcBorders>
              <w:top w:val="single" w:sz="4" w:space="0" w:color="auto"/>
              <w:left w:val="nil"/>
              <w:bottom w:val="single" w:sz="4" w:space="0" w:color="auto"/>
              <w:right w:val="nil"/>
            </w:tcBorders>
            <w:vAlign w:val="center"/>
          </w:tcPr>
          <w:p w14:paraId="72B04364" w14:textId="0B93229B" w:rsidR="00C45CF3" w:rsidRPr="00E91507" w:rsidRDefault="00EA5C63"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8%</w:t>
            </w:r>
          </w:p>
        </w:tc>
      </w:tr>
      <w:tr w:rsidR="00C45CF3" w:rsidRPr="00E91507" w14:paraId="5CE5C9B7" w14:textId="77777777" w:rsidTr="00317D7B">
        <w:trPr>
          <w:trHeight w:val="288"/>
        </w:trPr>
        <w:tc>
          <w:tcPr>
            <w:tcW w:w="4466" w:type="dxa"/>
            <w:tcBorders>
              <w:top w:val="single" w:sz="4" w:space="0" w:color="auto"/>
              <w:left w:val="nil"/>
              <w:bottom w:val="single" w:sz="4" w:space="0" w:color="auto"/>
              <w:right w:val="nil"/>
            </w:tcBorders>
            <w:noWrap/>
            <w:vAlign w:val="center"/>
          </w:tcPr>
          <w:p w14:paraId="7F7EA162" w14:textId="4F463F0F" w:rsidR="00C45CF3"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38021C9F" w14:textId="702EC776"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102%</w:t>
            </w:r>
          </w:p>
        </w:tc>
        <w:tc>
          <w:tcPr>
            <w:tcW w:w="1629" w:type="dxa"/>
            <w:tcBorders>
              <w:top w:val="single" w:sz="4" w:space="0" w:color="auto"/>
              <w:left w:val="nil"/>
              <w:bottom w:val="single" w:sz="4" w:space="0" w:color="auto"/>
              <w:right w:val="nil"/>
            </w:tcBorders>
            <w:vAlign w:val="center"/>
          </w:tcPr>
          <w:p w14:paraId="4410C884" w14:textId="630382CA"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6%</w:t>
            </w:r>
          </w:p>
        </w:tc>
        <w:tc>
          <w:tcPr>
            <w:tcW w:w="1632" w:type="dxa"/>
            <w:tcBorders>
              <w:top w:val="single" w:sz="4" w:space="0" w:color="auto"/>
              <w:left w:val="nil"/>
              <w:bottom w:val="single" w:sz="4" w:space="0" w:color="auto"/>
              <w:right w:val="nil"/>
            </w:tcBorders>
            <w:vAlign w:val="center"/>
          </w:tcPr>
          <w:p w14:paraId="52E9581A" w14:textId="342406E2"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108%</w:t>
            </w:r>
          </w:p>
        </w:tc>
      </w:tr>
      <w:tr w:rsidR="00C45CF3" w:rsidRPr="00E91507" w14:paraId="3389DAF8" w14:textId="77777777" w:rsidTr="00317D7B">
        <w:trPr>
          <w:trHeight w:val="288"/>
        </w:trPr>
        <w:tc>
          <w:tcPr>
            <w:tcW w:w="4466" w:type="dxa"/>
            <w:tcBorders>
              <w:top w:val="single" w:sz="4" w:space="0" w:color="auto"/>
              <w:left w:val="nil"/>
              <w:bottom w:val="single" w:sz="4" w:space="0" w:color="auto"/>
              <w:right w:val="nil"/>
            </w:tcBorders>
            <w:noWrap/>
            <w:vAlign w:val="center"/>
          </w:tcPr>
          <w:p w14:paraId="15C6C82B" w14:textId="39426349" w:rsidR="00C45CF3"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Windows OEM non-Pro</w:t>
            </w:r>
          </w:p>
        </w:tc>
        <w:tc>
          <w:tcPr>
            <w:tcW w:w="1635" w:type="dxa"/>
            <w:tcBorders>
              <w:top w:val="single" w:sz="4" w:space="0" w:color="auto"/>
              <w:left w:val="nil"/>
              <w:bottom w:val="single" w:sz="4" w:space="0" w:color="auto"/>
              <w:right w:val="nil"/>
            </w:tcBorders>
            <w:vAlign w:val="center"/>
          </w:tcPr>
          <w:p w14:paraId="05F9CF46" w14:textId="79B80A6E"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27%</w:t>
            </w:r>
          </w:p>
        </w:tc>
        <w:tc>
          <w:tcPr>
            <w:tcW w:w="1629" w:type="dxa"/>
            <w:tcBorders>
              <w:top w:val="single" w:sz="4" w:space="0" w:color="auto"/>
              <w:left w:val="nil"/>
              <w:bottom w:val="single" w:sz="4" w:space="0" w:color="auto"/>
              <w:right w:val="nil"/>
            </w:tcBorders>
            <w:vAlign w:val="center"/>
          </w:tcPr>
          <w:p w14:paraId="5B916601" w14:textId="306BC628"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0%</w:t>
            </w:r>
          </w:p>
        </w:tc>
        <w:tc>
          <w:tcPr>
            <w:tcW w:w="1632" w:type="dxa"/>
            <w:tcBorders>
              <w:top w:val="single" w:sz="4" w:space="0" w:color="auto"/>
              <w:left w:val="nil"/>
              <w:bottom w:val="single" w:sz="4" w:space="0" w:color="auto"/>
              <w:right w:val="nil"/>
            </w:tcBorders>
            <w:vAlign w:val="center"/>
          </w:tcPr>
          <w:p w14:paraId="74030954" w14:textId="2096194D"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27%</w:t>
            </w:r>
          </w:p>
        </w:tc>
      </w:tr>
      <w:tr w:rsidR="00C45CF3" w:rsidRPr="00E91507" w14:paraId="1F6B8DC4" w14:textId="77777777" w:rsidTr="00317D7B">
        <w:trPr>
          <w:trHeight w:val="288"/>
        </w:trPr>
        <w:tc>
          <w:tcPr>
            <w:tcW w:w="4466" w:type="dxa"/>
            <w:tcBorders>
              <w:top w:val="single" w:sz="4" w:space="0" w:color="auto"/>
              <w:left w:val="nil"/>
              <w:bottom w:val="single" w:sz="4" w:space="0" w:color="auto"/>
              <w:right w:val="nil"/>
            </w:tcBorders>
            <w:noWrap/>
            <w:vAlign w:val="center"/>
          </w:tcPr>
          <w:p w14:paraId="52072644" w14:textId="2247A782" w:rsidR="00C45CF3" w:rsidRPr="00E91507" w:rsidRDefault="00C45CF3" w:rsidP="00317D7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Windows OEM Pro</w:t>
            </w:r>
          </w:p>
        </w:tc>
        <w:tc>
          <w:tcPr>
            <w:tcW w:w="1635" w:type="dxa"/>
            <w:tcBorders>
              <w:top w:val="single" w:sz="4" w:space="0" w:color="auto"/>
              <w:left w:val="nil"/>
              <w:bottom w:val="single" w:sz="4" w:space="0" w:color="auto"/>
              <w:right w:val="nil"/>
            </w:tcBorders>
            <w:vAlign w:val="center"/>
          </w:tcPr>
          <w:p w14:paraId="7753D278" w14:textId="29640A9D"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2%</w:t>
            </w:r>
          </w:p>
        </w:tc>
        <w:tc>
          <w:tcPr>
            <w:tcW w:w="1629" w:type="dxa"/>
            <w:tcBorders>
              <w:top w:val="single" w:sz="4" w:space="0" w:color="auto"/>
              <w:left w:val="nil"/>
              <w:bottom w:val="single" w:sz="4" w:space="0" w:color="auto"/>
              <w:right w:val="nil"/>
            </w:tcBorders>
            <w:vAlign w:val="center"/>
          </w:tcPr>
          <w:p w14:paraId="65BE48A4" w14:textId="3AFC576E"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0%</w:t>
            </w:r>
          </w:p>
        </w:tc>
        <w:tc>
          <w:tcPr>
            <w:tcW w:w="1632" w:type="dxa"/>
            <w:tcBorders>
              <w:top w:val="single" w:sz="4" w:space="0" w:color="auto"/>
              <w:left w:val="nil"/>
              <w:bottom w:val="single" w:sz="4" w:space="0" w:color="auto"/>
              <w:right w:val="nil"/>
            </w:tcBorders>
            <w:vAlign w:val="center"/>
          </w:tcPr>
          <w:p w14:paraId="4FF5AFF1" w14:textId="61C88AAA" w:rsidR="00C45CF3" w:rsidRPr="00E91507" w:rsidRDefault="0021003F" w:rsidP="00317D7B">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2%</w:t>
            </w:r>
          </w:p>
        </w:tc>
      </w:tr>
      <w:tr w:rsidR="006C3477" w:rsidRPr="00E91507" w14:paraId="172A455D" w14:textId="77777777" w:rsidTr="00317D7B">
        <w:trPr>
          <w:trHeight w:val="288"/>
        </w:trPr>
        <w:tc>
          <w:tcPr>
            <w:tcW w:w="4466" w:type="dxa"/>
            <w:tcBorders>
              <w:top w:val="single" w:sz="4" w:space="0" w:color="auto"/>
              <w:left w:val="nil"/>
              <w:bottom w:val="single" w:sz="4" w:space="0" w:color="auto"/>
              <w:right w:val="nil"/>
            </w:tcBorders>
            <w:noWrap/>
            <w:vAlign w:val="center"/>
          </w:tcPr>
          <w:p w14:paraId="3AD9B2D8" w14:textId="6B83E895" w:rsidR="006C3477" w:rsidRPr="00E91507" w:rsidRDefault="006C3477" w:rsidP="006C347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4CAEE083" w14:textId="51BDF348"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9%</w:t>
            </w:r>
          </w:p>
        </w:tc>
        <w:tc>
          <w:tcPr>
            <w:tcW w:w="1629" w:type="dxa"/>
            <w:tcBorders>
              <w:top w:val="single" w:sz="4" w:space="0" w:color="auto"/>
              <w:left w:val="nil"/>
              <w:bottom w:val="single" w:sz="4" w:space="0" w:color="auto"/>
              <w:right w:val="nil"/>
            </w:tcBorders>
            <w:vAlign w:val="center"/>
          </w:tcPr>
          <w:p w14:paraId="6BE7D3DC" w14:textId="7F2B0345"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0%</w:t>
            </w:r>
          </w:p>
        </w:tc>
        <w:tc>
          <w:tcPr>
            <w:tcW w:w="1632" w:type="dxa"/>
            <w:tcBorders>
              <w:top w:val="single" w:sz="4" w:space="0" w:color="auto"/>
              <w:left w:val="nil"/>
              <w:bottom w:val="single" w:sz="4" w:space="0" w:color="auto"/>
              <w:right w:val="nil"/>
            </w:tcBorders>
            <w:vAlign w:val="center"/>
          </w:tcPr>
          <w:p w14:paraId="37B789B2" w14:textId="391B687A"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9%</w:t>
            </w:r>
          </w:p>
        </w:tc>
      </w:tr>
      <w:tr w:rsidR="006C3477" w:rsidRPr="00E91507" w14:paraId="13BF252B" w14:textId="77777777" w:rsidTr="00317D7B">
        <w:trPr>
          <w:trHeight w:val="288"/>
        </w:trPr>
        <w:tc>
          <w:tcPr>
            <w:tcW w:w="4466" w:type="dxa"/>
            <w:tcBorders>
              <w:top w:val="single" w:sz="4" w:space="0" w:color="auto"/>
              <w:left w:val="nil"/>
              <w:bottom w:val="single" w:sz="4" w:space="0" w:color="auto"/>
              <w:right w:val="nil"/>
            </w:tcBorders>
            <w:noWrap/>
            <w:vAlign w:val="center"/>
          </w:tcPr>
          <w:p w14:paraId="17F9BC48" w14:textId="13160839" w:rsidR="006C3477" w:rsidRPr="00E91507" w:rsidRDefault="006C3477" w:rsidP="006C347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Phone</w:t>
            </w:r>
          </w:p>
        </w:tc>
        <w:tc>
          <w:tcPr>
            <w:tcW w:w="1635" w:type="dxa"/>
            <w:tcBorders>
              <w:top w:val="single" w:sz="4" w:space="0" w:color="auto"/>
              <w:left w:val="nil"/>
              <w:bottom w:val="single" w:sz="4" w:space="0" w:color="auto"/>
              <w:right w:val="nil"/>
            </w:tcBorders>
            <w:vAlign w:val="center"/>
          </w:tcPr>
          <w:p w14:paraId="62B8E4C1" w14:textId="0A0B6B2C"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(71)%</w:t>
            </w:r>
          </w:p>
        </w:tc>
        <w:tc>
          <w:tcPr>
            <w:tcW w:w="1629" w:type="dxa"/>
            <w:tcBorders>
              <w:top w:val="single" w:sz="4" w:space="0" w:color="auto"/>
              <w:left w:val="nil"/>
              <w:bottom w:val="single" w:sz="4" w:space="0" w:color="auto"/>
              <w:right w:val="nil"/>
            </w:tcBorders>
            <w:vAlign w:val="center"/>
          </w:tcPr>
          <w:p w14:paraId="6A2CAEB5" w14:textId="0149D1D9"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w:t>
            </w:r>
          </w:p>
        </w:tc>
        <w:tc>
          <w:tcPr>
            <w:tcW w:w="1632" w:type="dxa"/>
            <w:tcBorders>
              <w:top w:val="single" w:sz="4" w:space="0" w:color="auto"/>
              <w:left w:val="nil"/>
              <w:bottom w:val="single" w:sz="4" w:space="0" w:color="auto"/>
              <w:right w:val="nil"/>
            </w:tcBorders>
            <w:vAlign w:val="center"/>
          </w:tcPr>
          <w:p w14:paraId="4F37337D" w14:textId="698CD1CE"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(70%)</w:t>
            </w:r>
          </w:p>
        </w:tc>
      </w:tr>
      <w:tr w:rsidR="006C3477" w:rsidRPr="008465B4" w14:paraId="66F01539" w14:textId="77777777" w:rsidTr="00317D7B">
        <w:trPr>
          <w:trHeight w:val="288"/>
        </w:trPr>
        <w:tc>
          <w:tcPr>
            <w:tcW w:w="4466" w:type="dxa"/>
            <w:tcBorders>
              <w:top w:val="single" w:sz="4" w:space="0" w:color="auto"/>
              <w:left w:val="nil"/>
              <w:bottom w:val="single" w:sz="4" w:space="0" w:color="auto"/>
              <w:right w:val="nil"/>
            </w:tcBorders>
            <w:noWrap/>
            <w:vAlign w:val="center"/>
          </w:tcPr>
          <w:p w14:paraId="369EA082" w14:textId="13DC70F2" w:rsidR="006C3477" w:rsidRPr="00E91507" w:rsidRDefault="006C3477" w:rsidP="006C347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vAlign w:val="center"/>
          </w:tcPr>
          <w:p w14:paraId="7E805A9D" w14:textId="0865914A"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16%</w:t>
            </w:r>
          </w:p>
        </w:tc>
        <w:tc>
          <w:tcPr>
            <w:tcW w:w="1629" w:type="dxa"/>
            <w:tcBorders>
              <w:top w:val="single" w:sz="4" w:space="0" w:color="auto"/>
              <w:left w:val="nil"/>
              <w:bottom w:val="single" w:sz="4" w:space="0" w:color="auto"/>
              <w:right w:val="nil"/>
            </w:tcBorders>
            <w:vAlign w:val="center"/>
          </w:tcPr>
          <w:p w14:paraId="1D212C81" w14:textId="0095D6A3" w:rsidR="006C3477" w:rsidRPr="00E91507"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w:t>
            </w:r>
          </w:p>
        </w:tc>
        <w:tc>
          <w:tcPr>
            <w:tcW w:w="1632" w:type="dxa"/>
            <w:tcBorders>
              <w:top w:val="single" w:sz="4" w:space="0" w:color="auto"/>
              <w:left w:val="nil"/>
              <w:bottom w:val="single" w:sz="4" w:space="0" w:color="auto"/>
              <w:right w:val="nil"/>
            </w:tcBorders>
            <w:vAlign w:val="center"/>
          </w:tcPr>
          <w:p w14:paraId="1CB500E5" w14:textId="52BD4592" w:rsidR="006C3477" w:rsidRPr="0021003F" w:rsidRDefault="006C3477" w:rsidP="006C3477">
            <w:pPr>
              <w:spacing w:after="0" w:line="240" w:lineRule="auto"/>
              <w:jc w:val="right"/>
              <w:rPr>
                <w:rFonts w:ascii="Segoe UI" w:eastAsia="Times New Roman" w:hAnsi="Segoe UI" w:cs="Segoe UI"/>
                <w:b/>
                <w:bCs/>
                <w:color w:val="656565"/>
                <w:sz w:val="16"/>
                <w:szCs w:val="16"/>
              </w:rPr>
            </w:pPr>
            <w:r w:rsidRPr="00E91507">
              <w:rPr>
                <w:rFonts w:ascii="Segoe UI" w:eastAsia="Times New Roman" w:hAnsi="Segoe UI" w:cs="Segoe UI"/>
                <w:b/>
                <w:bCs/>
                <w:color w:val="656565"/>
                <w:sz w:val="16"/>
                <w:szCs w:val="16"/>
              </w:rPr>
              <w:t>17%</w:t>
            </w:r>
          </w:p>
        </w:tc>
      </w:tr>
    </w:tbl>
    <w:p w14:paraId="4B5DCE13" w14:textId="75690713" w:rsidR="008A52CD" w:rsidRDefault="008A52CD" w:rsidP="008A52CD">
      <w:pPr>
        <w:keepNext/>
        <w:spacing w:before="270" w:after="270" w:line="240"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Reconciliation of GAAP and Non-GAAP Effective Tax Rates</w:t>
      </w:r>
    </w:p>
    <w:p w14:paraId="59416561" w14:textId="7BD705FD" w:rsidR="008A52CD" w:rsidRPr="008A52CD" w:rsidRDefault="008A52CD" w:rsidP="008A52CD">
      <w:pPr>
        <w:pStyle w:val="NormalWeb"/>
        <w:keepNext/>
        <w:spacing w:before="270" w:beforeAutospacing="0" w:after="270" w:afterAutospacing="0"/>
        <w:jc w:val="left"/>
        <w:rPr>
          <w:rFonts w:ascii="Segoe UI" w:eastAsia="Calibri" w:hAnsi="Segoe UI" w:cs="Segoe UI"/>
          <w:color w:val="666666"/>
          <w:sz w:val="20"/>
          <w:szCs w:val="20"/>
        </w:rPr>
      </w:pPr>
      <w:r w:rsidRPr="008A52CD">
        <w:rPr>
          <w:rFonts w:ascii="Segoe UI" w:eastAsia="Calibri" w:hAnsi="Segoe UI" w:cs="Segoe UI"/>
          <w:color w:val="666666"/>
          <w:sz w:val="20"/>
          <w:szCs w:val="20"/>
        </w:rPr>
        <w:t>The following table provides a reconciliation of the GAAP and non-GAAP effective tax rates for the current quarter</w:t>
      </w:r>
      <w:r>
        <w:rPr>
          <w:rFonts w:ascii="Segoe UI" w:eastAsia="Calibri" w:hAnsi="Segoe UI" w:cs="Segoe UI"/>
          <w:color w:val="666666"/>
          <w:sz w:val="20"/>
          <w:szCs w:val="20"/>
        </w:rPr>
        <w:t xml:space="preserve"> and current year</w:t>
      </w:r>
      <w:r w:rsidRPr="008A52CD">
        <w:rPr>
          <w:rFonts w:ascii="Segoe UI" w:eastAsia="Calibri" w:hAnsi="Segoe UI" w:cs="Segoe UI"/>
          <w:color w:val="666666"/>
          <w:sz w:val="20"/>
          <w:szCs w:val="20"/>
        </w:rPr>
        <w:t>:</w:t>
      </w:r>
    </w:p>
    <w:tbl>
      <w:tblPr>
        <w:tblW w:w="9360" w:type="dxa"/>
        <w:tblLayout w:type="fixed"/>
        <w:tblLook w:val="04A0" w:firstRow="1" w:lastRow="0" w:firstColumn="1" w:lastColumn="0" w:noHBand="0" w:noVBand="1"/>
      </w:tblPr>
      <w:tblGrid>
        <w:gridCol w:w="5040"/>
        <w:gridCol w:w="2160"/>
        <w:gridCol w:w="2160"/>
      </w:tblGrid>
      <w:tr w:rsidR="008A52CD" w:rsidRPr="008465B4" w14:paraId="6942D079" w14:textId="77777777" w:rsidTr="0086162B">
        <w:trPr>
          <w:trHeight w:val="340"/>
        </w:trPr>
        <w:tc>
          <w:tcPr>
            <w:tcW w:w="5040" w:type="dxa"/>
            <w:tcBorders>
              <w:top w:val="nil"/>
              <w:left w:val="nil"/>
              <w:bottom w:val="double" w:sz="4" w:space="0" w:color="auto"/>
              <w:right w:val="nil"/>
            </w:tcBorders>
            <w:vAlign w:val="center"/>
          </w:tcPr>
          <w:p w14:paraId="0022A3A9" w14:textId="77777777" w:rsidR="008A52CD" w:rsidRPr="008465B4" w:rsidRDefault="008A52CD" w:rsidP="000673AB">
            <w:pPr>
              <w:spacing w:after="0" w:line="240" w:lineRule="auto"/>
              <w:rPr>
                <w:rFonts w:ascii="Segoe UI" w:eastAsia="Times New Roman" w:hAnsi="Segoe UI" w:cs="Segoe UI"/>
                <w:color w:val="666666"/>
                <w:sz w:val="16"/>
                <w:szCs w:val="16"/>
              </w:rPr>
            </w:pPr>
          </w:p>
        </w:tc>
        <w:tc>
          <w:tcPr>
            <w:tcW w:w="4320" w:type="dxa"/>
            <w:gridSpan w:val="2"/>
            <w:tcBorders>
              <w:top w:val="nil"/>
              <w:left w:val="nil"/>
              <w:bottom w:val="double" w:sz="4" w:space="0" w:color="auto"/>
            </w:tcBorders>
          </w:tcPr>
          <w:p w14:paraId="4BED4A28" w14:textId="7EDDCF72" w:rsidR="008A52CD" w:rsidRPr="008465B4" w:rsidRDefault="008A52CD" w:rsidP="000673AB">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Effective Tax Rate</w:t>
            </w:r>
          </w:p>
        </w:tc>
      </w:tr>
      <w:tr w:rsidR="00777C5C" w:rsidRPr="008465B4" w14:paraId="53BB0720" w14:textId="77777777" w:rsidTr="0086162B">
        <w:trPr>
          <w:trHeight w:val="365"/>
        </w:trPr>
        <w:tc>
          <w:tcPr>
            <w:tcW w:w="5040" w:type="dxa"/>
            <w:tcBorders>
              <w:top w:val="double" w:sz="6" w:space="0" w:color="auto"/>
              <w:left w:val="nil"/>
              <w:bottom w:val="single" w:sz="8" w:space="0" w:color="666666"/>
              <w:right w:val="nil"/>
            </w:tcBorders>
            <w:vAlign w:val="bottom"/>
            <w:hideMark/>
          </w:tcPr>
          <w:p w14:paraId="4344A86B" w14:textId="48512CF0" w:rsidR="00777C5C" w:rsidRPr="008465B4" w:rsidRDefault="00777C5C" w:rsidP="000673AB">
            <w:pPr>
              <w:spacing w:after="0" w:line="240" w:lineRule="auto"/>
              <w:rPr>
                <w:rFonts w:ascii="Segoe UI" w:eastAsia="Times New Roman" w:hAnsi="Segoe UI" w:cs="Segoe UI"/>
                <w:color w:val="666666"/>
                <w:sz w:val="16"/>
                <w:szCs w:val="16"/>
              </w:rPr>
            </w:pPr>
          </w:p>
        </w:tc>
        <w:tc>
          <w:tcPr>
            <w:tcW w:w="2160" w:type="dxa"/>
            <w:tcBorders>
              <w:top w:val="double" w:sz="6" w:space="0" w:color="auto"/>
              <w:left w:val="nil"/>
              <w:bottom w:val="single" w:sz="8" w:space="0" w:color="666666"/>
              <w:right w:val="nil"/>
            </w:tcBorders>
            <w:vAlign w:val="bottom"/>
          </w:tcPr>
          <w:p w14:paraId="1821EE48" w14:textId="35C4F0FC" w:rsidR="00777C5C" w:rsidRPr="008465B4" w:rsidRDefault="00777C5C" w:rsidP="000673AB">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p>
        </w:tc>
        <w:tc>
          <w:tcPr>
            <w:tcW w:w="2160" w:type="dxa"/>
            <w:tcBorders>
              <w:top w:val="double" w:sz="6" w:space="0" w:color="auto"/>
              <w:left w:val="nil"/>
              <w:bottom w:val="single" w:sz="8" w:space="0" w:color="666666"/>
              <w:right w:val="nil"/>
            </w:tcBorders>
            <w:vAlign w:val="bottom"/>
          </w:tcPr>
          <w:p w14:paraId="030AE335" w14:textId="0E4585A9" w:rsidR="00777C5C" w:rsidRPr="008465B4" w:rsidRDefault="00777C5C" w:rsidP="000673AB">
            <w:pPr>
              <w:spacing w:after="0" w:line="240" w:lineRule="auto"/>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p>
        </w:tc>
      </w:tr>
      <w:tr w:rsidR="00777C5C" w:rsidRPr="008465B4" w14:paraId="33104A28" w14:textId="77777777" w:rsidTr="0086162B">
        <w:trPr>
          <w:trHeight w:val="288"/>
        </w:trPr>
        <w:tc>
          <w:tcPr>
            <w:tcW w:w="5040" w:type="dxa"/>
            <w:tcBorders>
              <w:top w:val="single" w:sz="4" w:space="0" w:color="auto"/>
              <w:left w:val="nil"/>
              <w:bottom w:val="single" w:sz="4" w:space="0" w:color="auto"/>
              <w:right w:val="nil"/>
            </w:tcBorders>
            <w:noWrap/>
            <w:vAlign w:val="center"/>
          </w:tcPr>
          <w:p w14:paraId="11920A04" w14:textId="77777777" w:rsidR="00777C5C" w:rsidRPr="008465B4" w:rsidRDefault="00777C5C" w:rsidP="000673AB">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2160" w:type="dxa"/>
            <w:tcBorders>
              <w:top w:val="single" w:sz="4" w:space="0" w:color="auto"/>
              <w:left w:val="nil"/>
              <w:bottom w:val="single" w:sz="4" w:space="0" w:color="auto"/>
              <w:right w:val="nil"/>
            </w:tcBorders>
            <w:vAlign w:val="center"/>
          </w:tcPr>
          <w:p w14:paraId="7BC06D79" w14:textId="2953D056" w:rsidR="00777C5C" w:rsidRPr="008465B4" w:rsidRDefault="00777C5C" w:rsidP="000673A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p>
        </w:tc>
        <w:tc>
          <w:tcPr>
            <w:tcW w:w="2160" w:type="dxa"/>
            <w:tcBorders>
              <w:top w:val="single" w:sz="4" w:space="0" w:color="auto"/>
              <w:left w:val="nil"/>
              <w:bottom w:val="single" w:sz="4" w:space="0" w:color="auto"/>
              <w:right w:val="nil"/>
            </w:tcBorders>
            <w:vAlign w:val="center"/>
          </w:tcPr>
          <w:p w14:paraId="22AF1DA0" w14:textId="56FB3DFA" w:rsidR="00777C5C" w:rsidRPr="008465B4" w:rsidRDefault="00777C5C" w:rsidP="000673A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p>
        </w:tc>
      </w:tr>
      <w:tr w:rsidR="00777C5C" w:rsidRPr="008465B4" w14:paraId="66EF6599" w14:textId="77777777" w:rsidTr="0086162B">
        <w:trPr>
          <w:trHeight w:val="288"/>
        </w:trPr>
        <w:tc>
          <w:tcPr>
            <w:tcW w:w="5040" w:type="dxa"/>
            <w:tcBorders>
              <w:top w:val="single" w:sz="4" w:space="0" w:color="auto"/>
              <w:left w:val="nil"/>
              <w:bottom w:val="single" w:sz="4" w:space="0" w:color="auto"/>
              <w:right w:val="nil"/>
            </w:tcBorders>
            <w:noWrap/>
            <w:vAlign w:val="center"/>
          </w:tcPr>
          <w:p w14:paraId="12F9C1DE" w14:textId="77777777" w:rsidR="00777C5C" w:rsidRPr="008465B4" w:rsidRDefault="00777C5C" w:rsidP="000673AB">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Windows 10 Revenue Deferrals</w:t>
            </w:r>
          </w:p>
        </w:tc>
        <w:tc>
          <w:tcPr>
            <w:tcW w:w="2160" w:type="dxa"/>
            <w:tcBorders>
              <w:top w:val="single" w:sz="4" w:space="0" w:color="auto"/>
              <w:left w:val="nil"/>
              <w:bottom w:val="single" w:sz="4" w:space="0" w:color="auto"/>
              <w:right w:val="nil"/>
            </w:tcBorders>
            <w:vAlign w:val="center"/>
          </w:tcPr>
          <w:p w14:paraId="15E26188" w14:textId="4A8FE019" w:rsidR="00777C5C" w:rsidRPr="000D5975" w:rsidRDefault="00C22F33" w:rsidP="000673AB">
            <w:pPr>
              <w:spacing w:after="0" w:line="240" w:lineRule="auto"/>
              <w:jc w:val="right"/>
              <w:rPr>
                <w:rFonts w:ascii="Segoe UI" w:eastAsia="Times New Roman" w:hAnsi="Segoe UI" w:cs="Segoe UI"/>
                <w:bCs/>
                <w:color w:val="666666"/>
                <w:sz w:val="16"/>
                <w:szCs w:val="16"/>
              </w:rPr>
            </w:pPr>
            <w:r w:rsidRPr="000D5975">
              <w:rPr>
                <w:rFonts w:ascii="Segoe UI" w:eastAsia="Times New Roman" w:hAnsi="Segoe UI" w:cs="Segoe UI"/>
                <w:bCs/>
                <w:color w:val="666666"/>
                <w:sz w:val="16"/>
                <w:szCs w:val="16"/>
              </w:rPr>
              <w:t>5</w:t>
            </w:r>
            <w:r w:rsidR="00777C5C" w:rsidRPr="000D5975">
              <w:rPr>
                <w:rFonts w:ascii="Segoe UI" w:eastAsia="Times New Roman" w:hAnsi="Segoe UI" w:cs="Segoe UI"/>
                <w:bCs/>
                <w:color w:val="666666"/>
                <w:sz w:val="16"/>
                <w:szCs w:val="16"/>
              </w:rPr>
              <w:t>%</w:t>
            </w:r>
          </w:p>
        </w:tc>
        <w:tc>
          <w:tcPr>
            <w:tcW w:w="2160" w:type="dxa"/>
            <w:tcBorders>
              <w:top w:val="single" w:sz="4" w:space="0" w:color="auto"/>
              <w:left w:val="nil"/>
              <w:bottom w:val="single" w:sz="4" w:space="0" w:color="auto"/>
              <w:right w:val="nil"/>
            </w:tcBorders>
            <w:vAlign w:val="center"/>
          </w:tcPr>
          <w:p w14:paraId="1265D029" w14:textId="42E608CC" w:rsidR="00777C5C" w:rsidRPr="000D5975" w:rsidRDefault="00C22F33" w:rsidP="000673AB">
            <w:pPr>
              <w:spacing w:after="0" w:line="240" w:lineRule="auto"/>
              <w:jc w:val="right"/>
              <w:rPr>
                <w:rFonts w:ascii="Segoe UI" w:eastAsia="Times New Roman" w:hAnsi="Segoe UI" w:cs="Segoe UI"/>
                <w:bCs/>
                <w:color w:val="666666"/>
                <w:sz w:val="16"/>
                <w:szCs w:val="16"/>
              </w:rPr>
            </w:pPr>
            <w:r w:rsidRPr="000D5975">
              <w:rPr>
                <w:rFonts w:ascii="Segoe UI" w:eastAsia="Times New Roman" w:hAnsi="Segoe UI" w:cs="Segoe UI"/>
                <w:bCs/>
                <w:color w:val="666666"/>
                <w:sz w:val="16"/>
                <w:szCs w:val="16"/>
              </w:rPr>
              <w:t>4</w:t>
            </w:r>
            <w:r w:rsidR="00777C5C" w:rsidRPr="000D5975">
              <w:rPr>
                <w:rFonts w:ascii="Segoe UI" w:eastAsia="Times New Roman" w:hAnsi="Segoe UI" w:cs="Segoe UI"/>
                <w:bCs/>
                <w:color w:val="666666"/>
                <w:sz w:val="16"/>
                <w:szCs w:val="16"/>
              </w:rPr>
              <w:t>%</w:t>
            </w:r>
          </w:p>
        </w:tc>
      </w:tr>
      <w:tr w:rsidR="00777C5C" w:rsidRPr="008465B4" w14:paraId="615CA3CE" w14:textId="77777777" w:rsidTr="0086162B">
        <w:trPr>
          <w:trHeight w:val="288"/>
        </w:trPr>
        <w:tc>
          <w:tcPr>
            <w:tcW w:w="5040" w:type="dxa"/>
            <w:tcBorders>
              <w:top w:val="single" w:sz="4" w:space="0" w:color="auto"/>
              <w:left w:val="nil"/>
              <w:bottom w:val="single" w:sz="4" w:space="0" w:color="auto"/>
              <w:right w:val="nil"/>
            </w:tcBorders>
            <w:noWrap/>
            <w:vAlign w:val="center"/>
          </w:tcPr>
          <w:p w14:paraId="09197AF9" w14:textId="77777777" w:rsidR="00777C5C" w:rsidRPr="008465B4" w:rsidRDefault="00777C5C" w:rsidP="000673AB">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Impairment, Integration, and Restructuring Expenses</w:t>
            </w:r>
          </w:p>
        </w:tc>
        <w:tc>
          <w:tcPr>
            <w:tcW w:w="2160" w:type="dxa"/>
            <w:tcBorders>
              <w:top w:val="single" w:sz="4" w:space="0" w:color="auto"/>
              <w:left w:val="nil"/>
              <w:bottom w:val="single" w:sz="4" w:space="0" w:color="auto"/>
              <w:right w:val="nil"/>
            </w:tcBorders>
            <w:vAlign w:val="center"/>
          </w:tcPr>
          <w:p w14:paraId="62A9E5F4" w14:textId="74D65E75" w:rsidR="00777C5C" w:rsidRPr="000D5975" w:rsidRDefault="00C22F33" w:rsidP="000673AB">
            <w:pPr>
              <w:spacing w:after="0" w:line="240" w:lineRule="auto"/>
              <w:jc w:val="right"/>
              <w:rPr>
                <w:rFonts w:ascii="Segoe UI" w:eastAsia="Times New Roman" w:hAnsi="Segoe UI" w:cs="Segoe UI"/>
                <w:bCs/>
                <w:color w:val="666666"/>
                <w:sz w:val="16"/>
                <w:szCs w:val="16"/>
              </w:rPr>
            </w:pPr>
            <w:r w:rsidRPr="000D5975">
              <w:rPr>
                <w:rFonts w:ascii="Segoe UI" w:eastAsia="Times New Roman" w:hAnsi="Segoe UI" w:cs="Segoe UI"/>
                <w:bCs/>
                <w:color w:val="666666"/>
                <w:sz w:val="16"/>
                <w:szCs w:val="16"/>
              </w:rPr>
              <w:t>3</w:t>
            </w:r>
            <w:r w:rsidR="00777C5C" w:rsidRPr="000D5975">
              <w:rPr>
                <w:rFonts w:ascii="Segoe UI" w:eastAsia="Times New Roman" w:hAnsi="Segoe UI" w:cs="Segoe UI"/>
                <w:bCs/>
                <w:color w:val="666666"/>
                <w:sz w:val="16"/>
                <w:szCs w:val="16"/>
              </w:rPr>
              <w:t>%</w:t>
            </w:r>
          </w:p>
        </w:tc>
        <w:tc>
          <w:tcPr>
            <w:tcW w:w="2160" w:type="dxa"/>
            <w:tcBorders>
              <w:top w:val="single" w:sz="4" w:space="0" w:color="auto"/>
              <w:left w:val="nil"/>
              <w:bottom w:val="single" w:sz="4" w:space="0" w:color="auto"/>
              <w:right w:val="nil"/>
            </w:tcBorders>
            <w:vAlign w:val="center"/>
          </w:tcPr>
          <w:p w14:paraId="126FAD6B" w14:textId="28535F47" w:rsidR="00777C5C" w:rsidRPr="000D5975" w:rsidRDefault="00C22F33" w:rsidP="000673AB">
            <w:pPr>
              <w:spacing w:after="0" w:line="240" w:lineRule="auto"/>
              <w:jc w:val="right"/>
              <w:rPr>
                <w:rFonts w:ascii="Segoe UI" w:eastAsia="Times New Roman" w:hAnsi="Segoe UI" w:cs="Segoe UI"/>
                <w:bCs/>
                <w:color w:val="666666"/>
                <w:sz w:val="16"/>
                <w:szCs w:val="16"/>
              </w:rPr>
            </w:pPr>
            <w:r w:rsidRPr="000D5975">
              <w:rPr>
                <w:rFonts w:ascii="Segoe UI" w:eastAsia="Times New Roman" w:hAnsi="Segoe UI" w:cs="Segoe UI"/>
                <w:bCs/>
                <w:color w:val="666666"/>
                <w:sz w:val="16"/>
                <w:szCs w:val="16"/>
              </w:rPr>
              <w:t>0</w:t>
            </w:r>
            <w:r w:rsidR="00212165" w:rsidRPr="000D5975">
              <w:rPr>
                <w:rFonts w:ascii="Segoe UI" w:eastAsia="Times New Roman" w:hAnsi="Segoe UI" w:cs="Segoe UI"/>
                <w:bCs/>
                <w:color w:val="666666"/>
                <w:sz w:val="16"/>
                <w:szCs w:val="16"/>
              </w:rPr>
              <w:t>%</w:t>
            </w:r>
          </w:p>
        </w:tc>
      </w:tr>
      <w:tr w:rsidR="00777C5C" w:rsidRPr="008465B4" w14:paraId="235E35A4" w14:textId="77777777" w:rsidTr="0086162B">
        <w:trPr>
          <w:trHeight w:val="288"/>
        </w:trPr>
        <w:tc>
          <w:tcPr>
            <w:tcW w:w="5040" w:type="dxa"/>
            <w:tcBorders>
              <w:top w:val="single" w:sz="4" w:space="0" w:color="auto"/>
              <w:left w:val="nil"/>
              <w:bottom w:val="single" w:sz="4" w:space="0" w:color="666666"/>
              <w:right w:val="nil"/>
            </w:tcBorders>
            <w:noWrap/>
            <w:vAlign w:val="center"/>
          </w:tcPr>
          <w:p w14:paraId="3A05100B" w14:textId="77777777" w:rsidR="00777C5C" w:rsidRPr="008465B4" w:rsidRDefault="00777C5C" w:rsidP="000673AB">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2016 As Adjusted (non-GAAP)</w:t>
            </w:r>
          </w:p>
        </w:tc>
        <w:tc>
          <w:tcPr>
            <w:tcW w:w="2160" w:type="dxa"/>
            <w:tcBorders>
              <w:top w:val="single" w:sz="4" w:space="0" w:color="auto"/>
              <w:left w:val="nil"/>
              <w:bottom w:val="single" w:sz="4" w:space="0" w:color="666666"/>
              <w:right w:val="nil"/>
            </w:tcBorders>
            <w:vAlign w:val="center"/>
          </w:tcPr>
          <w:p w14:paraId="528D2579" w14:textId="10AFB797" w:rsidR="00777C5C" w:rsidRPr="008465B4" w:rsidRDefault="00777C5C" w:rsidP="000673A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15%</w:t>
            </w:r>
          </w:p>
        </w:tc>
        <w:tc>
          <w:tcPr>
            <w:tcW w:w="2160" w:type="dxa"/>
            <w:tcBorders>
              <w:top w:val="single" w:sz="4" w:space="0" w:color="auto"/>
              <w:left w:val="nil"/>
              <w:bottom w:val="single" w:sz="4" w:space="0" w:color="666666"/>
              <w:right w:val="nil"/>
            </w:tcBorders>
            <w:vAlign w:val="center"/>
          </w:tcPr>
          <w:p w14:paraId="2E58E537" w14:textId="58A78A7B" w:rsidR="00777C5C" w:rsidRPr="008465B4" w:rsidRDefault="00777C5C" w:rsidP="000673A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19%</w:t>
            </w:r>
          </w:p>
        </w:tc>
      </w:tr>
    </w:tbl>
    <w:p w14:paraId="5F9D4907" w14:textId="7BE0681D" w:rsidR="002C0C29" w:rsidRDefault="002C0C29" w:rsidP="002C0C29">
      <w:pPr>
        <w:pStyle w:val="NormalWeb"/>
        <w:keepNext/>
        <w:spacing w:before="270" w:beforeAutospacing="0" w:after="270" w:afterAutospacing="0"/>
        <w:jc w:val="left"/>
        <w:rPr>
          <w:rFonts w:ascii="Segoe UI" w:eastAsia="Calibri" w:hAnsi="Segoe UI" w:cs="Segoe UI"/>
          <w:color w:val="666666"/>
          <w:sz w:val="20"/>
          <w:szCs w:val="20"/>
        </w:rPr>
      </w:pPr>
      <w:r>
        <w:rPr>
          <w:rFonts w:ascii="Segoe UI" w:eastAsia="Calibri" w:hAnsi="Segoe UI" w:cs="Segoe UI"/>
          <w:b/>
          <w:color w:val="666666"/>
          <w:sz w:val="20"/>
          <w:szCs w:val="20"/>
        </w:rPr>
        <w:t>Commercial Cloud Annualized Revenue Run R</w:t>
      </w:r>
      <w:r w:rsidRPr="002C0C29">
        <w:rPr>
          <w:rFonts w:ascii="Segoe UI" w:eastAsia="Calibri" w:hAnsi="Segoe UI" w:cs="Segoe UI"/>
          <w:b/>
          <w:color w:val="666666"/>
          <w:sz w:val="20"/>
          <w:szCs w:val="20"/>
        </w:rPr>
        <w:t>ate</w:t>
      </w:r>
      <w:r w:rsidRPr="008465B4">
        <w:rPr>
          <w:rFonts w:ascii="Segoe UI" w:eastAsia="Calibri" w:hAnsi="Segoe UI" w:cs="Segoe UI"/>
          <w:color w:val="666666"/>
          <w:sz w:val="20"/>
          <w:szCs w:val="20"/>
        </w:rPr>
        <w:t xml:space="preserve"> </w:t>
      </w:r>
    </w:p>
    <w:p w14:paraId="300768FC" w14:textId="77777777" w:rsidR="002C0C29" w:rsidRPr="002C0C29" w:rsidRDefault="002C0C29" w:rsidP="002C0C29">
      <w:pPr>
        <w:pStyle w:val="NormalWeb"/>
        <w:keepNext/>
        <w:spacing w:before="270" w:beforeAutospacing="0" w:after="270" w:afterAutospacing="0"/>
        <w:jc w:val="left"/>
        <w:rPr>
          <w:rFonts w:ascii="Segoe UI" w:eastAsia="Calibri" w:hAnsi="Segoe UI" w:cs="Segoe UI"/>
          <w:color w:val="666666"/>
          <w:sz w:val="20"/>
          <w:szCs w:val="20"/>
        </w:rPr>
      </w:pPr>
      <w:r w:rsidRPr="008465B4">
        <w:rPr>
          <w:rFonts w:ascii="Segoe UI" w:eastAsia="Calibri" w:hAnsi="Segoe UI" w:cs="Segoe UI"/>
          <w:color w:val="666666"/>
          <w:sz w:val="20"/>
          <w:szCs w:val="20"/>
        </w:rPr>
        <w:t>Commercial cloud annualized revenue run rate is calculated by taking revenue in the final month of the quarter multiplied by twelve for Office 365 commercial, Azure, Dynamics Onli</w:t>
      </w:r>
      <w:r>
        <w:rPr>
          <w:rFonts w:ascii="Segoe UI" w:eastAsia="Calibri" w:hAnsi="Segoe UI" w:cs="Segoe UI"/>
          <w:color w:val="666666"/>
          <w:sz w:val="20"/>
          <w:szCs w:val="20"/>
        </w:rPr>
        <w:t>ne, and other cloud properties.</w:t>
      </w:r>
    </w:p>
    <w:p w14:paraId="2753646A" w14:textId="77777777" w:rsidR="008F2674" w:rsidRPr="008465B4" w:rsidRDefault="008F2674" w:rsidP="008F2674">
      <w:pPr>
        <w:pStyle w:val="NoSpacing"/>
        <w:spacing w:before="270"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About Microsoft</w:t>
      </w:r>
    </w:p>
    <w:p w14:paraId="453FFA51" w14:textId="77777777" w:rsidR="008F2674" w:rsidRPr="008465B4" w:rsidRDefault="008F2674" w:rsidP="008F2674">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 xml:space="preserve">Microsoft (Nasdaq “MSFT” @microsoft) is the leading platform and productivity company for the mobile-first, cloud-first world and its mission is to empower every person and every organization on the planet to achieve more. </w:t>
      </w:r>
    </w:p>
    <w:p w14:paraId="4272DE07" w14:textId="77777777" w:rsidR="008F2674" w:rsidRPr="008465B4" w:rsidRDefault="008F2674" w:rsidP="008F2674">
      <w:pPr>
        <w:pStyle w:val="NoSpacing"/>
        <w:spacing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Forward-Looking Statements</w:t>
      </w:r>
    </w:p>
    <w:p w14:paraId="4BBC7BE6" w14:textId="77777777" w:rsidR="008F2674" w:rsidRPr="008465B4" w:rsidRDefault="008F2674" w:rsidP="008F2674">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18E9F9BA"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intense competition in all of Microsoft’s markets;</w:t>
      </w:r>
    </w:p>
    <w:p w14:paraId="631E1FDF"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increasing focus on services presents execution and competitive risks;</w:t>
      </w:r>
    </w:p>
    <w:p w14:paraId="15B99CE9"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significant investments in new products and services that may not be profitable;</w:t>
      </w:r>
    </w:p>
    <w:p w14:paraId="0CC54388"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acquisitions, joint ventures, and strategic alliances may have an adverse effect on our business;</w:t>
      </w:r>
    </w:p>
    <w:p w14:paraId="06BC6451"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impairment of goodwill or amortizable intangible assets causing a significant charge to earnings;</w:t>
      </w:r>
    </w:p>
    <w:p w14:paraId="04613BD7"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continued ability to protect and earn revenues from its intellectual property rights;</w:t>
      </w:r>
    </w:p>
    <w:p w14:paraId="2141545D"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claims that Microsoft has infringed the intellectual property rights of others;</w:t>
      </w:r>
    </w:p>
    <w:p w14:paraId="624E4288"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the possibility of unauthorized disclosure of significant portions of Microsoft’s source code;</w:t>
      </w:r>
    </w:p>
    <w:p w14:paraId="6F5B57EF"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cyber-attacks and security vulnerabilities in Microsoft products and services that could reduce revenue or lead to liability;</w:t>
      </w:r>
    </w:p>
    <w:p w14:paraId="1E4967AF"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 xml:space="preserve">disclosure of personal data that could cause liability and harm to Microsoft’s reputation; </w:t>
      </w:r>
    </w:p>
    <w:p w14:paraId="011B61CB"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outages, data losses, and disruptions of our online services if we fail to maintain an adequate operations infrastructure;</w:t>
      </w:r>
    </w:p>
    <w:p w14:paraId="12836B96"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government litigation and regulation that may limit how Microsoft designs and markets its products;</w:t>
      </w:r>
    </w:p>
    <w:p w14:paraId="56C30DDE"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potential liability under trade protection and anti-corruption laws resulting from our international operations;</w:t>
      </w:r>
    </w:p>
    <w:p w14:paraId="13F7E1B8"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laws and regulations relating to the handling of personal data may impede the adoption of our services or result in increased costs, legal claims</w:t>
      </w:r>
      <w:r w:rsidR="00D82488" w:rsidRPr="008465B4">
        <w:rPr>
          <w:rFonts w:ascii="Segoe UI" w:hAnsi="Segoe UI" w:cs="Segoe UI"/>
          <w:color w:val="666666"/>
          <w:sz w:val="20"/>
          <w:szCs w:val="20"/>
        </w:rPr>
        <w:t>,</w:t>
      </w:r>
      <w:r w:rsidRPr="008465B4">
        <w:rPr>
          <w:rFonts w:ascii="Segoe UI" w:hAnsi="Segoe UI" w:cs="Segoe UI"/>
          <w:color w:val="666666"/>
          <w:sz w:val="20"/>
          <w:szCs w:val="20"/>
        </w:rPr>
        <w:t xml:space="preserve"> or fines against us;</w:t>
      </w:r>
    </w:p>
    <w:p w14:paraId="279B0665"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ability to attract and retain talented employees;</w:t>
      </w:r>
    </w:p>
    <w:p w14:paraId="01510D2A"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results in legal disputes;</w:t>
      </w:r>
    </w:p>
    <w:p w14:paraId="1D72A7C7"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unanticipated tax liabilities;</w:t>
      </w:r>
    </w:p>
    <w:p w14:paraId="529B3484"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hardware and software products may experience quality or supply problems;</w:t>
      </w:r>
    </w:p>
    <w:p w14:paraId="273A8C46"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exposure to increased economic and operational uncertainties from operating a global business, including the effects of foreign currency exchange;</w:t>
      </w:r>
    </w:p>
    <w:p w14:paraId="0C243333"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catastrophic events or geo-political conditions may disrupt our business; and</w:t>
      </w:r>
    </w:p>
    <w:p w14:paraId="63CCCFDE" w14:textId="77777777" w:rsidR="008F2674" w:rsidRPr="008465B4" w:rsidRDefault="008F2674" w:rsidP="008F2674">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economic or market conditions may harm our business.</w:t>
      </w:r>
    </w:p>
    <w:p w14:paraId="434F5529" w14:textId="1AB249D1" w:rsidR="008F2674" w:rsidRPr="008465B4" w:rsidRDefault="008F2674" w:rsidP="00B1348B">
      <w:pPr>
        <w:pStyle w:val="NoSpacing"/>
        <w:spacing w:before="270" w:after="270"/>
        <w:rPr>
          <w:color w:val="666666"/>
        </w:rPr>
      </w:pPr>
      <w:r w:rsidRPr="008465B4">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history="1">
        <w:r w:rsidRPr="008465B4">
          <w:rPr>
            <w:rStyle w:val="Hyperlink"/>
          </w:rPr>
          <w:t>http://www.microsoft.com/en-us/investor</w:t>
        </w:r>
      </w:hyperlink>
      <w:r w:rsidR="00B1348B">
        <w:rPr>
          <w:rFonts w:ascii="Segoe UI" w:hAnsi="Segoe UI" w:cs="Segoe UI"/>
          <w:color w:val="666666"/>
          <w:sz w:val="20"/>
          <w:szCs w:val="20"/>
        </w:rPr>
        <w:t>.</w:t>
      </w:r>
    </w:p>
    <w:p w14:paraId="5582D3BE" w14:textId="77777777" w:rsidR="008F2674" w:rsidRPr="008465B4" w:rsidRDefault="008F2674" w:rsidP="00B1348B">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All information in this release is as of </w:t>
      </w:r>
      <w:r w:rsidR="00FD0946" w:rsidRPr="008465B4">
        <w:rPr>
          <w:rFonts w:ascii="Segoe UI" w:hAnsi="Segoe UI" w:cs="Segoe UI"/>
          <w:color w:val="666666"/>
          <w:sz w:val="20"/>
          <w:szCs w:val="20"/>
        </w:rPr>
        <w:t>July 19</w:t>
      </w:r>
      <w:r w:rsidRPr="008465B4">
        <w:rPr>
          <w:rFonts w:ascii="Segoe UI" w:hAnsi="Segoe UI" w:cs="Segoe UI"/>
          <w:color w:val="666666"/>
          <w:sz w:val="20"/>
          <w:szCs w:val="20"/>
        </w:rPr>
        <w:t>, 2016. The company undertakes no duty to update any forward-looking statement to conform the statement to actual results or changes in the company’s expectations.</w:t>
      </w:r>
    </w:p>
    <w:p w14:paraId="170215AA" w14:textId="77777777" w:rsidR="008F2674" w:rsidRPr="008465B4" w:rsidRDefault="008F2674" w:rsidP="008F2674">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press only: </w:t>
      </w:r>
    </w:p>
    <w:p w14:paraId="4605D4FA" w14:textId="77777777" w:rsidR="008F2674" w:rsidRPr="008465B4" w:rsidRDefault="008F2674" w:rsidP="00B1348B">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Rapid Response Team, Waggener Edstrom Worldwide, (503) 443-7070, </w:t>
      </w:r>
      <w:hyperlink r:id="rId10" w:history="1">
        <w:r w:rsidRPr="008465B4">
          <w:rPr>
            <w:color w:val="666666"/>
          </w:rPr>
          <w:t>rrt@waggeneredstrom.com</w:t>
        </w:r>
      </w:hyperlink>
    </w:p>
    <w:p w14:paraId="692B0024" w14:textId="77777777" w:rsidR="008F2674" w:rsidRPr="008465B4" w:rsidRDefault="008F2674" w:rsidP="008F2674">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financial analysts and investors only: </w:t>
      </w:r>
    </w:p>
    <w:p w14:paraId="31B15506" w14:textId="77777777" w:rsidR="008F2674" w:rsidRPr="008465B4" w:rsidRDefault="008F2674" w:rsidP="00B1348B">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Chris Suh, general manager, Investor Relations, (425) 706-4400</w:t>
      </w:r>
    </w:p>
    <w:p w14:paraId="7B1788E3" w14:textId="77777777" w:rsidR="00210D75" w:rsidRPr="008465B4" w:rsidRDefault="008F2674" w:rsidP="00B1348B">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Note to editors: For more information, news and perspectives from Microsoft, please visit the Microsoft News Center at </w:t>
      </w:r>
      <w:hyperlink r:id="rId11" w:history="1">
        <w:r w:rsidRPr="008465B4">
          <w:rPr>
            <w:rStyle w:val="Hyperlink"/>
          </w:rPr>
          <w:t>http://www.microsoft.com/news</w:t>
        </w:r>
      </w:hyperlink>
      <w:r w:rsidRPr="008465B4">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history="1">
        <w:r w:rsidRPr="008465B4">
          <w:rPr>
            <w:rStyle w:val="Hyperlink"/>
          </w:rPr>
          <w:t>http://www.microsoft.com/en-us/investor</w:t>
        </w:r>
      </w:hyperlink>
      <w:r w:rsidRPr="008465B4">
        <w:rPr>
          <w:rFonts w:ascii="Segoe UI" w:hAnsi="Segoe UI" w:cs="Segoe UI"/>
          <w:color w:val="666666"/>
          <w:sz w:val="20"/>
          <w:szCs w:val="20"/>
        </w:rPr>
        <w:t>.</w:t>
      </w:r>
      <w:bookmarkStart w:id="3" w:name="RANGE!A1:H31"/>
      <w:bookmarkStart w:id="4" w:name="RANGE!A1:D29"/>
      <w:bookmarkStart w:id="5" w:name="RANGE!A1:D47"/>
      <w:bookmarkStart w:id="6" w:name="RANGE!A1:D15"/>
      <w:bookmarkStart w:id="7" w:name="RANGE!A1:H49"/>
      <w:bookmarkStart w:id="8" w:name="RANGE!A1:D48"/>
      <w:bookmarkStart w:id="9" w:name="RANGE!A1:D49"/>
      <w:bookmarkStart w:id="10" w:name="RANGE!A1:H28"/>
      <w:bookmarkStart w:id="11" w:name="RANGE!A1:D25"/>
      <w:bookmarkEnd w:id="3"/>
      <w:bookmarkEnd w:id="4"/>
      <w:bookmarkEnd w:id="5"/>
      <w:bookmarkEnd w:id="6"/>
      <w:bookmarkEnd w:id="7"/>
      <w:bookmarkEnd w:id="8"/>
      <w:bookmarkEnd w:id="9"/>
      <w:bookmarkEnd w:id="10"/>
      <w:bookmarkEnd w:id="11"/>
    </w:p>
    <w:tbl>
      <w:tblPr>
        <w:tblW w:w="8096" w:type="dxa"/>
        <w:tblInd w:w="-15" w:type="dxa"/>
        <w:tblLook w:val="04A0" w:firstRow="1" w:lastRow="0" w:firstColumn="1" w:lastColumn="0" w:noHBand="0" w:noVBand="1"/>
      </w:tblPr>
      <w:tblGrid>
        <w:gridCol w:w="3160"/>
        <w:gridCol w:w="1060"/>
        <w:gridCol w:w="272"/>
        <w:gridCol w:w="940"/>
        <w:gridCol w:w="272"/>
        <w:gridCol w:w="1180"/>
        <w:gridCol w:w="272"/>
        <w:gridCol w:w="940"/>
      </w:tblGrid>
      <w:tr w:rsidR="00702061" w:rsidRPr="00305711" w14:paraId="32096EED" w14:textId="77777777" w:rsidTr="00282FF2">
        <w:trPr>
          <w:trHeight w:val="285"/>
        </w:trPr>
        <w:tc>
          <w:tcPr>
            <w:tcW w:w="3160" w:type="dxa"/>
            <w:tcBorders>
              <w:top w:val="nil"/>
              <w:left w:val="nil"/>
              <w:bottom w:val="nil"/>
              <w:right w:val="nil"/>
            </w:tcBorders>
            <w:shd w:val="clear" w:color="auto" w:fill="auto"/>
            <w:noWrap/>
            <w:vAlign w:val="bottom"/>
            <w:hideMark/>
          </w:tcPr>
          <w:p w14:paraId="678D27DF" w14:textId="483893CC" w:rsidR="00702061" w:rsidRPr="00305711" w:rsidRDefault="00DD4683" w:rsidP="00282FF2">
            <w:pPr>
              <w:spacing w:after="0" w:line="240" w:lineRule="auto"/>
              <w:rPr>
                <w:rFonts w:ascii="Segoe UI" w:eastAsia="Times New Roman" w:hAnsi="Segoe UI" w:cs="Segoe UI"/>
                <w:b/>
                <w:bCs/>
                <w:color w:val="666666"/>
                <w:sz w:val="20"/>
                <w:szCs w:val="20"/>
              </w:rPr>
            </w:pPr>
            <w:r w:rsidRPr="008465B4">
              <w:rPr>
                <w:rFonts w:ascii="Segoe UI" w:hAnsi="Segoe UI" w:cs="Segoe UI"/>
                <w:color w:val="666666"/>
                <w:sz w:val="20"/>
                <w:szCs w:val="20"/>
              </w:rPr>
              <w:br w:type="page"/>
            </w:r>
            <w:bookmarkStart w:id="12" w:name="RANGE!A1:H36"/>
            <w:bookmarkStart w:id="13" w:name="RANGE!A1"/>
            <w:bookmarkEnd w:id="12"/>
            <w:r w:rsidR="00702061" w:rsidRPr="00305711">
              <w:rPr>
                <w:rFonts w:ascii="Segoe UI" w:eastAsia="Times New Roman" w:hAnsi="Segoe UI" w:cs="Segoe UI"/>
                <w:b/>
                <w:bCs/>
                <w:color w:val="666666"/>
                <w:sz w:val="20"/>
                <w:szCs w:val="20"/>
              </w:rPr>
              <w:t>MICROSOFT CORPORATION</w:t>
            </w:r>
            <w:bookmarkEnd w:id="13"/>
          </w:p>
        </w:tc>
        <w:tc>
          <w:tcPr>
            <w:tcW w:w="1060" w:type="dxa"/>
            <w:tcBorders>
              <w:top w:val="nil"/>
              <w:left w:val="nil"/>
              <w:bottom w:val="nil"/>
              <w:right w:val="nil"/>
            </w:tcBorders>
            <w:shd w:val="clear" w:color="auto" w:fill="auto"/>
            <w:noWrap/>
            <w:vAlign w:val="bottom"/>
            <w:hideMark/>
          </w:tcPr>
          <w:p w14:paraId="2D3F9577" w14:textId="77777777" w:rsidR="00702061" w:rsidRPr="00305711"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B55CEF1"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25F0F627"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2000B9"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EC888C7"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E3436C0"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4253259" w14:textId="77777777" w:rsidR="00702061" w:rsidRPr="00305711" w:rsidRDefault="00702061" w:rsidP="00282FF2">
            <w:pPr>
              <w:spacing w:after="0" w:line="240" w:lineRule="auto"/>
              <w:rPr>
                <w:rFonts w:ascii="Times New Roman" w:eastAsia="Times New Roman" w:hAnsi="Times New Roman"/>
                <w:sz w:val="20"/>
                <w:szCs w:val="20"/>
              </w:rPr>
            </w:pPr>
          </w:p>
        </w:tc>
      </w:tr>
      <w:tr w:rsidR="00702061" w:rsidRPr="00305711" w14:paraId="0C57FEC2" w14:textId="77777777" w:rsidTr="00282FF2">
        <w:trPr>
          <w:trHeight w:val="165"/>
        </w:trPr>
        <w:tc>
          <w:tcPr>
            <w:tcW w:w="3160" w:type="dxa"/>
            <w:tcBorders>
              <w:top w:val="nil"/>
              <w:left w:val="nil"/>
              <w:bottom w:val="nil"/>
              <w:right w:val="nil"/>
            </w:tcBorders>
            <w:shd w:val="clear" w:color="auto" w:fill="auto"/>
            <w:noWrap/>
            <w:vAlign w:val="bottom"/>
            <w:hideMark/>
          </w:tcPr>
          <w:p w14:paraId="2EF157D6"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060" w:type="dxa"/>
            <w:tcBorders>
              <w:top w:val="nil"/>
              <w:left w:val="nil"/>
              <w:bottom w:val="nil"/>
              <w:right w:val="nil"/>
            </w:tcBorders>
            <w:shd w:val="clear" w:color="auto" w:fill="auto"/>
            <w:noWrap/>
            <w:vAlign w:val="bottom"/>
            <w:hideMark/>
          </w:tcPr>
          <w:p w14:paraId="7BC36922"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A526A1"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4C7A9E8"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ACE04B1"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C96EB38"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4CA92EB"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A731776" w14:textId="77777777" w:rsidR="00702061" w:rsidRPr="00305711" w:rsidRDefault="00702061" w:rsidP="00282FF2">
            <w:pPr>
              <w:spacing w:after="0" w:line="240" w:lineRule="auto"/>
              <w:rPr>
                <w:rFonts w:ascii="Times New Roman" w:eastAsia="Times New Roman" w:hAnsi="Times New Roman"/>
                <w:sz w:val="20"/>
                <w:szCs w:val="20"/>
              </w:rPr>
            </w:pPr>
          </w:p>
        </w:tc>
      </w:tr>
      <w:tr w:rsidR="00702061" w:rsidRPr="00305711" w14:paraId="58494984" w14:textId="77777777" w:rsidTr="00282FF2">
        <w:trPr>
          <w:trHeight w:val="285"/>
        </w:trPr>
        <w:tc>
          <w:tcPr>
            <w:tcW w:w="8096" w:type="dxa"/>
            <w:gridSpan w:val="8"/>
            <w:tcBorders>
              <w:top w:val="nil"/>
              <w:left w:val="nil"/>
              <w:bottom w:val="nil"/>
              <w:right w:val="nil"/>
            </w:tcBorders>
            <w:shd w:val="clear" w:color="auto" w:fill="auto"/>
            <w:noWrap/>
            <w:vAlign w:val="bottom"/>
            <w:hideMark/>
          </w:tcPr>
          <w:p w14:paraId="26D519BE" w14:textId="77777777" w:rsidR="00702061" w:rsidRPr="00305711" w:rsidRDefault="00702061" w:rsidP="00282FF2">
            <w:pPr>
              <w:spacing w:after="0" w:line="240" w:lineRule="auto"/>
              <w:jc w:val="center"/>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INCOME STATEMENTS</w:t>
            </w:r>
          </w:p>
        </w:tc>
      </w:tr>
      <w:tr w:rsidR="00702061" w:rsidRPr="00305711" w14:paraId="32A2BCAD" w14:textId="77777777" w:rsidTr="00282FF2">
        <w:trPr>
          <w:trHeight w:val="285"/>
        </w:trPr>
        <w:tc>
          <w:tcPr>
            <w:tcW w:w="8096" w:type="dxa"/>
            <w:gridSpan w:val="8"/>
            <w:tcBorders>
              <w:top w:val="nil"/>
              <w:left w:val="nil"/>
              <w:bottom w:val="nil"/>
              <w:right w:val="nil"/>
            </w:tcBorders>
            <w:shd w:val="clear" w:color="auto" w:fill="auto"/>
            <w:noWrap/>
            <w:vAlign w:val="bottom"/>
            <w:hideMark/>
          </w:tcPr>
          <w:p w14:paraId="0E962F56" w14:textId="77777777" w:rsidR="00702061" w:rsidRPr="00305711" w:rsidRDefault="00702061" w:rsidP="00282FF2">
            <w:pPr>
              <w:spacing w:after="0" w:line="240" w:lineRule="auto"/>
              <w:jc w:val="center"/>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(In millions, except per share amounts)(Unaudited)</w:t>
            </w:r>
          </w:p>
        </w:tc>
      </w:tr>
      <w:tr w:rsidR="00702061" w:rsidRPr="00305711" w14:paraId="797187CC" w14:textId="77777777" w:rsidTr="00282FF2">
        <w:trPr>
          <w:trHeight w:val="285"/>
        </w:trPr>
        <w:tc>
          <w:tcPr>
            <w:tcW w:w="3160" w:type="dxa"/>
            <w:tcBorders>
              <w:top w:val="nil"/>
              <w:left w:val="nil"/>
              <w:bottom w:val="nil"/>
              <w:right w:val="nil"/>
            </w:tcBorders>
            <w:shd w:val="clear" w:color="auto" w:fill="auto"/>
            <w:noWrap/>
            <w:vAlign w:val="bottom"/>
            <w:hideMark/>
          </w:tcPr>
          <w:p w14:paraId="282D08CC" w14:textId="77777777" w:rsidR="00702061" w:rsidRPr="00305711" w:rsidRDefault="00702061" w:rsidP="00282FF2">
            <w:pPr>
              <w:spacing w:after="0" w:line="240" w:lineRule="auto"/>
              <w:jc w:val="center"/>
              <w:rPr>
                <w:rFonts w:ascii="Segoe UI" w:eastAsia="Times New Roman" w:hAnsi="Segoe UI" w:cs="Segoe UI"/>
                <w:color w:val="666666"/>
                <w:sz w:val="20"/>
                <w:szCs w:val="20"/>
              </w:rPr>
            </w:pPr>
          </w:p>
        </w:tc>
        <w:tc>
          <w:tcPr>
            <w:tcW w:w="1060" w:type="dxa"/>
            <w:tcBorders>
              <w:top w:val="nil"/>
              <w:left w:val="nil"/>
              <w:bottom w:val="nil"/>
              <w:right w:val="nil"/>
            </w:tcBorders>
            <w:shd w:val="clear" w:color="auto" w:fill="auto"/>
            <w:noWrap/>
            <w:vAlign w:val="bottom"/>
            <w:hideMark/>
          </w:tcPr>
          <w:p w14:paraId="62B74CAE"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D058F7F"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95EBE46"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2B653AD"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7B5024B"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625C70C"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251DBFE" w14:textId="77777777" w:rsidR="00702061" w:rsidRPr="00305711" w:rsidRDefault="00702061" w:rsidP="00282FF2">
            <w:pPr>
              <w:spacing w:after="0" w:line="240" w:lineRule="auto"/>
              <w:jc w:val="center"/>
              <w:rPr>
                <w:rFonts w:ascii="Times New Roman" w:eastAsia="Times New Roman" w:hAnsi="Times New Roman"/>
                <w:sz w:val="20"/>
                <w:szCs w:val="20"/>
              </w:rPr>
            </w:pPr>
          </w:p>
        </w:tc>
      </w:tr>
      <w:tr w:rsidR="00702061" w:rsidRPr="00305711" w14:paraId="43F43AEC" w14:textId="77777777" w:rsidTr="00282FF2">
        <w:trPr>
          <w:trHeight w:val="285"/>
        </w:trPr>
        <w:tc>
          <w:tcPr>
            <w:tcW w:w="3160" w:type="dxa"/>
            <w:tcBorders>
              <w:top w:val="nil"/>
              <w:left w:val="nil"/>
              <w:bottom w:val="nil"/>
              <w:right w:val="nil"/>
            </w:tcBorders>
            <w:shd w:val="clear" w:color="auto" w:fill="auto"/>
            <w:noWrap/>
            <w:vAlign w:val="bottom"/>
            <w:hideMark/>
          </w:tcPr>
          <w:p w14:paraId="137385DD" w14:textId="77777777" w:rsidR="00702061" w:rsidRPr="00305711" w:rsidRDefault="00702061" w:rsidP="00282FF2">
            <w:pPr>
              <w:spacing w:after="0" w:line="240" w:lineRule="auto"/>
              <w:jc w:val="center"/>
              <w:rPr>
                <w:rFonts w:ascii="Times New Roman" w:eastAsia="Times New Roman" w:hAnsi="Times New Roman"/>
                <w:sz w:val="20"/>
                <w:szCs w:val="20"/>
              </w:rPr>
            </w:pPr>
          </w:p>
        </w:tc>
        <w:tc>
          <w:tcPr>
            <w:tcW w:w="2272" w:type="dxa"/>
            <w:gridSpan w:val="3"/>
            <w:vMerge w:val="restart"/>
            <w:tcBorders>
              <w:top w:val="nil"/>
              <w:left w:val="nil"/>
              <w:bottom w:val="nil"/>
              <w:right w:val="nil"/>
            </w:tcBorders>
            <w:shd w:val="clear" w:color="auto" w:fill="auto"/>
            <w:vAlign w:val="bottom"/>
            <w:hideMark/>
          </w:tcPr>
          <w:p w14:paraId="51E3205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115D68A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2392" w:type="dxa"/>
            <w:gridSpan w:val="3"/>
            <w:vMerge w:val="restart"/>
            <w:tcBorders>
              <w:top w:val="nil"/>
              <w:left w:val="nil"/>
              <w:bottom w:val="nil"/>
              <w:right w:val="nil"/>
            </w:tcBorders>
            <w:shd w:val="clear" w:color="auto" w:fill="auto"/>
            <w:vAlign w:val="bottom"/>
            <w:hideMark/>
          </w:tcPr>
          <w:p w14:paraId="4784927A"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Twelve Months Ended June 30,</w:t>
            </w:r>
          </w:p>
        </w:tc>
      </w:tr>
      <w:tr w:rsidR="00702061" w:rsidRPr="00305711" w14:paraId="3A666F88" w14:textId="77777777" w:rsidTr="00282FF2">
        <w:trPr>
          <w:trHeight w:val="285"/>
        </w:trPr>
        <w:tc>
          <w:tcPr>
            <w:tcW w:w="3160" w:type="dxa"/>
            <w:tcBorders>
              <w:top w:val="nil"/>
              <w:left w:val="nil"/>
              <w:bottom w:val="nil"/>
              <w:right w:val="nil"/>
            </w:tcBorders>
            <w:shd w:val="clear" w:color="auto" w:fill="auto"/>
            <w:noWrap/>
            <w:vAlign w:val="bottom"/>
            <w:hideMark/>
          </w:tcPr>
          <w:p w14:paraId="0B85391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2272" w:type="dxa"/>
            <w:gridSpan w:val="3"/>
            <w:vMerge/>
            <w:tcBorders>
              <w:top w:val="nil"/>
              <w:left w:val="nil"/>
              <w:bottom w:val="nil"/>
              <w:right w:val="nil"/>
            </w:tcBorders>
            <w:vAlign w:val="center"/>
            <w:hideMark/>
          </w:tcPr>
          <w:p w14:paraId="10EBFA87" w14:textId="77777777" w:rsidR="00702061" w:rsidRPr="00305711"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47F6D859" w14:textId="77777777" w:rsidR="00702061" w:rsidRPr="00305711" w:rsidRDefault="00702061" w:rsidP="00282FF2">
            <w:pPr>
              <w:spacing w:after="0" w:line="240" w:lineRule="auto"/>
              <w:rPr>
                <w:rFonts w:ascii="Times New Roman" w:eastAsia="Times New Roman" w:hAnsi="Times New Roman"/>
                <w:sz w:val="20"/>
                <w:szCs w:val="20"/>
              </w:rPr>
            </w:pPr>
          </w:p>
        </w:tc>
        <w:tc>
          <w:tcPr>
            <w:tcW w:w="2392" w:type="dxa"/>
            <w:gridSpan w:val="3"/>
            <w:vMerge/>
            <w:tcBorders>
              <w:top w:val="nil"/>
              <w:left w:val="nil"/>
              <w:bottom w:val="nil"/>
              <w:right w:val="nil"/>
            </w:tcBorders>
            <w:vAlign w:val="center"/>
            <w:hideMark/>
          </w:tcPr>
          <w:p w14:paraId="63D696DC" w14:textId="77777777" w:rsidR="00702061" w:rsidRPr="00305711" w:rsidRDefault="00702061" w:rsidP="00282FF2">
            <w:pPr>
              <w:spacing w:after="0" w:line="240" w:lineRule="auto"/>
              <w:rPr>
                <w:rFonts w:ascii="Segoe UI" w:eastAsia="Times New Roman" w:hAnsi="Segoe UI" w:cs="Segoe UI"/>
                <w:b/>
                <w:bCs/>
                <w:color w:val="666666"/>
                <w:sz w:val="20"/>
                <w:szCs w:val="20"/>
              </w:rPr>
            </w:pPr>
          </w:p>
        </w:tc>
      </w:tr>
      <w:tr w:rsidR="00702061" w:rsidRPr="00305711" w14:paraId="001AB878"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06D186AE" w14:textId="77777777" w:rsidR="00702061" w:rsidRPr="00305711" w:rsidRDefault="00702061" w:rsidP="00282FF2">
            <w:pPr>
              <w:spacing w:after="0" w:line="240" w:lineRule="auto"/>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1060" w:type="dxa"/>
            <w:tcBorders>
              <w:top w:val="nil"/>
              <w:left w:val="nil"/>
              <w:bottom w:val="single" w:sz="4" w:space="0" w:color="auto"/>
              <w:right w:val="nil"/>
            </w:tcBorders>
            <w:shd w:val="clear" w:color="auto" w:fill="auto"/>
            <w:noWrap/>
            <w:vAlign w:val="bottom"/>
            <w:hideMark/>
          </w:tcPr>
          <w:p w14:paraId="2F28859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2016</w:t>
            </w:r>
          </w:p>
        </w:tc>
        <w:tc>
          <w:tcPr>
            <w:tcW w:w="272" w:type="dxa"/>
            <w:tcBorders>
              <w:top w:val="nil"/>
              <w:left w:val="nil"/>
              <w:bottom w:val="single" w:sz="4" w:space="0" w:color="auto"/>
              <w:right w:val="nil"/>
            </w:tcBorders>
            <w:shd w:val="clear" w:color="auto" w:fill="auto"/>
            <w:noWrap/>
            <w:vAlign w:val="bottom"/>
            <w:hideMark/>
          </w:tcPr>
          <w:p w14:paraId="409AF862"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1437965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2015</w:t>
            </w:r>
          </w:p>
        </w:tc>
        <w:tc>
          <w:tcPr>
            <w:tcW w:w="272" w:type="dxa"/>
            <w:tcBorders>
              <w:top w:val="nil"/>
              <w:left w:val="nil"/>
              <w:bottom w:val="single" w:sz="4" w:space="0" w:color="auto"/>
              <w:right w:val="nil"/>
            </w:tcBorders>
            <w:shd w:val="clear" w:color="auto" w:fill="auto"/>
            <w:noWrap/>
            <w:vAlign w:val="bottom"/>
            <w:hideMark/>
          </w:tcPr>
          <w:p w14:paraId="338FD0D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F4C83C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2016</w:t>
            </w:r>
          </w:p>
        </w:tc>
        <w:tc>
          <w:tcPr>
            <w:tcW w:w="272" w:type="dxa"/>
            <w:tcBorders>
              <w:top w:val="nil"/>
              <w:left w:val="nil"/>
              <w:bottom w:val="single" w:sz="4" w:space="0" w:color="auto"/>
              <w:right w:val="nil"/>
            </w:tcBorders>
            <w:shd w:val="clear" w:color="auto" w:fill="auto"/>
            <w:noWrap/>
            <w:vAlign w:val="bottom"/>
            <w:hideMark/>
          </w:tcPr>
          <w:p w14:paraId="25684CC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2D57105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2015</w:t>
            </w:r>
          </w:p>
        </w:tc>
      </w:tr>
      <w:tr w:rsidR="00702061" w:rsidRPr="00305711" w14:paraId="753044D8" w14:textId="77777777" w:rsidTr="00282FF2">
        <w:trPr>
          <w:trHeight w:val="285"/>
        </w:trPr>
        <w:tc>
          <w:tcPr>
            <w:tcW w:w="3160" w:type="dxa"/>
            <w:tcBorders>
              <w:top w:val="nil"/>
              <w:left w:val="nil"/>
              <w:bottom w:val="nil"/>
              <w:right w:val="nil"/>
            </w:tcBorders>
            <w:shd w:val="clear" w:color="auto" w:fill="auto"/>
            <w:noWrap/>
            <w:vAlign w:val="bottom"/>
            <w:hideMark/>
          </w:tcPr>
          <w:p w14:paraId="1C23856C"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Revenue</w:t>
            </w:r>
          </w:p>
        </w:tc>
        <w:tc>
          <w:tcPr>
            <w:tcW w:w="1060" w:type="dxa"/>
            <w:tcBorders>
              <w:top w:val="nil"/>
              <w:left w:val="nil"/>
              <w:bottom w:val="nil"/>
              <w:right w:val="nil"/>
            </w:tcBorders>
            <w:shd w:val="clear" w:color="auto" w:fill="auto"/>
            <w:noWrap/>
            <w:vAlign w:val="bottom"/>
            <w:hideMark/>
          </w:tcPr>
          <w:p w14:paraId="19C2520F" w14:textId="77777777" w:rsidR="00702061" w:rsidRPr="00305711" w:rsidRDefault="00702061" w:rsidP="00282FF2">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ED2D8CC" w14:textId="77777777" w:rsidR="00702061" w:rsidRPr="00305711" w:rsidRDefault="00702061" w:rsidP="00282FF2">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09D3F1AA"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2EABB49" w14:textId="77777777" w:rsidR="00702061" w:rsidRPr="00305711" w:rsidRDefault="00702061" w:rsidP="00282FF2">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21F9FA9"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23CDC74" w14:textId="77777777" w:rsidR="00702061" w:rsidRPr="00305711" w:rsidRDefault="00702061" w:rsidP="00282FF2">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3E2219C" w14:textId="77777777" w:rsidR="00702061" w:rsidRPr="00305711" w:rsidRDefault="00702061" w:rsidP="00282FF2">
            <w:pPr>
              <w:spacing w:after="0" w:line="240" w:lineRule="auto"/>
              <w:rPr>
                <w:rFonts w:ascii="Times New Roman" w:eastAsia="Times New Roman" w:hAnsi="Times New Roman"/>
                <w:sz w:val="20"/>
                <w:szCs w:val="20"/>
              </w:rPr>
            </w:pPr>
          </w:p>
        </w:tc>
      </w:tr>
      <w:tr w:rsidR="00702061" w:rsidRPr="00305711" w14:paraId="2CF53BA2" w14:textId="77777777" w:rsidTr="00282FF2">
        <w:trPr>
          <w:trHeight w:val="285"/>
        </w:trPr>
        <w:tc>
          <w:tcPr>
            <w:tcW w:w="3160" w:type="dxa"/>
            <w:tcBorders>
              <w:top w:val="nil"/>
              <w:left w:val="nil"/>
              <w:bottom w:val="nil"/>
              <w:right w:val="nil"/>
            </w:tcBorders>
            <w:shd w:val="clear" w:color="auto" w:fill="auto"/>
            <w:noWrap/>
            <w:vAlign w:val="bottom"/>
            <w:hideMark/>
          </w:tcPr>
          <w:p w14:paraId="57CE173E"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Product</w:t>
            </w:r>
          </w:p>
        </w:tc>
        <w:tc>
          <w:tcPr>
            <w:tcW w:w="1060" w:type="dxa"/>
            <w:tcBorders>
              <w:top w:val="nil"/>
              <w:left w:val="nil"/>
              <w:bottom w:val="nil"/>
              <w:right w:val="nil"/>
            </w:tcBorders>
            <w:shd w:val="clear" w:color="auto" w:fill="auto"/>
            <w:noWrap/>
            <w:vAlign w:val="bottom"/>
            <w:hideMark/>
          </w:tcPr>
          <w:p w14:paraId="185E7A4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$13,988 </w:t>
            </w:r>
          </w:p>
        </w:tc>
        <w:tc>
          <w:tcPr>
            <w:tcW w:w="272" w:type="dxa"/>
            <w:tcBorders>
              <w:top w:val="nil"/>
              <w:left w:val="nil"/>
              <w:bottom w:val="nil"/>
              <w:right w:val="nil"/>
            </w:tcBorders>
            <w:shd w:val="clear" w:color="auto" w:fill="auto"/>
            <w:noWrap/>
            <w:vAlign w:val="bottom"/>
            <w:hideMark/>
          </w:tcPr>
          <w:p w14:paraId="7B856D3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8BD1554"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$17,364 </w:t>
            </w:r>
          </w:p>
        </w:tc>
        <w:tc>
          <w:tcPr>
            <w:tcW w:w="272" w:type="dxa"/>
            <w:tcBorders>
              <w:top w:val="nil"/>
              <w:left w:val="nil"/>
              <w:bottom w:val="nil"/>
              <w:right w:val="nil"/>
            </w:tcBorders>
            <w:shd w:val="clear" w:color="auto" w:fill="auto"/>
            <w:noWrap/>
            <w:vAlign w:val="bottom"/>
            <w:hideMark/>
          </w:tcPr>
          <w:p w14:paraId="18E812B5"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A225F6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$61,502 </w:t>
            </w:r>
          </w:p>
        </w:tc>
        <w:tc>
          <w:tcPr>
            <w:tcW w:w="272" w:type="dxa"/>
            <w:tcBorders>
              <w:top w:val="nil"/>
              <w:left w:val="nil"/>
              <w:bottom w:val="nil"/>
              <w:right w:val="nil"/>
            </w:tcBorders>
            <w:shd w:val="clear" w:color="auto" w:fill="auto"/>
            <w:noWrap/>
            <w:vAlign w:val="bottom"/>
            <w:hideMark/>
          </w:tcPr>
          <w:p w14:paraId="33B2CE5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6DA34E06"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$75,956 </w:t>
            </w:r>
          </w:p>
        </w:tc>
      </w:tr>
      <w:tr w:rsidR="00702061" w:rsidRPr="00305711" w14:paraId="3075984F"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56FD8EA4"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Service and other</w:t>
            </w:r>
          </w:p>
        </w:tc>
        <w:tc>
          <w:tcPr>
            <w:tcW w:w="1060" w:type="dxa"/>
            <w:tcBorders>
              <w:top w:val="nil"/>
              <w:left w:val="nil"/>
              <w:bottom w:val="single" w:sz="4" w:space="0" w:color="auto"/>
              <w:right w:val="nil"/>
            </w:tcBorders>
            <w:shd w:val="clear" w:color="auto" w:fill="auto"/>
            <w:noWrap/>
            <w:vAlign w:val="bottom"/>
            <w:hideMark/>
          </w:tcPr>
          <w:p w14:paraId="58560CC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6,626 </w:t>
            </w:r>
          </w:p>
        </w:tc>
        <w:tc>
          <w:tcPr>
            <w:tcW w:w="272" w:type="dxa"/>
            <w:tcBorders>
              <w:top w:val="nil"/>
              <w:left w:val="nil"/>
              <w:bottom w:val="nil"/>
              <w:right w:val="nil"/>
            </w:tcBorders>
            <w:shd w:val="clear" w:color="auto" w:fill="auto"/>
            <w:noWrap/>
            <w:vAlign w:val="bottom"/>
            <w:hideMark/>
          </w:tcPr>
          <w:p w14:paraId="7835416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2E19EF38"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4,816 </w:t>
            </w:r>
          </w:p>
        </w:tc>
        <w:tc>
          <w:tcPr>
            <w:tcW w:w="272" w:type="dxa"/>
            <w:tcBorders>
              <w:top w:val="nil"/>
              <w:left w:val="nil"/>
              <w:bottom w:val="nil"/>
              <w:right w:val="nil"/>
            </w:tcBorders>
            <w:shd w:val="clear" w:color="auto" w:fill="auto"/>
            <w:noWrap/>
            <w:vAlign w:val="bottom"/>
            <w:hideMark/>
          </w:tcPr>
          <w:p w14:paraId="33FB0E3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415C0EE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23,818 </w:t>
            </w:r>
          </w:p>
        </w:tc>
        <w:tc>
          <w:tcPr>
            <w:tcW w:w="272" w:type="dxa"/>
            <w:tcBorders>
              <w:top w:val="nil"/>
              <w:left w:val="nil"/>
              <w:bottom w:val="nil"/>
              <w:right w:val="nil"/>
            </w:tcBorders>
            <w:shd w:val="clear" w:color="auto" w:fill="auto"/>
            <w:noWrap/>
            <w:vAlign w:val="bottom"/>
            <w:hideMark/>
          </w:tcPr>
          <w:p w14:paraId="03B5322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951C168"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17,624 </w:t>
            </w:r>
          </w:p>
        </w:tc>
      </w:tr>
      <w:tr w:rsidR="00702061" w:rsidRPr="00305711" w14:paraId="6CA8D7D8"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2A60ED43"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Total </w:t>
            </w:r>
            <w:r>
              <w:rPr>
                <w:rFonts w:ascii="Segoe UI" w:eastAsia="Times New Roman" w:hAnsi="Segoe UI" w:cs="Segoe UI"/>
                <w:color w:val="666666"/>
                <w:sz w:val="20"/>
                <w:szCs w:val="20"/>
              </w:rPr>
              <w:t>r</w:t>
            </w:r>
            <w:r w:rsidRPr="00305711">
              <w:rPr>
                <w:rFonts w:ascii="Segoe UI" w:eastAsia="Times New Roman" w:hAnsi="Segoe UI" w:cs="Segoe UI"/>
                <w:color w:val="666666"/>
                <w:sz w:val="20"/>
                <w:szCs w:val="20"/>
              </w:rPr>
              <w:t>evenue</w:t>
            </w:r>
          </w:p>
        </w:tc>
        <w:tc>
          <w:tcPr>
            <w:tcW w:w="1060" w:type="dxa"/>
            <w:tcBorders>
              <w:top w:val="nil"/>
              <w:left w:val="nil"/>
              <w:bottom w:val="single" w:sz="4" w:space="0" w:color="auto"/>
              <w:right w:val="nil"/>
            </w:tcBorders>
            <w:shd w:val="clear" w:color="auto" w:fill="auto"/>
            <w:noWrap/>
            <w:vAlign w:val="bottom"/>
            <w:hideMark/>
          </w:tcPr>
          <w:p w14:paraId="637ADFA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20,614 </w:t>
            </w:r>
          </w:p>
        </w:tc>
        <w:tc>
          <w:tcPr>
            <w:tcW w:w="272" w:type="dxa"/>
            <w:tcBorders>
              <w:top w:val="nil"/>
              <w:left w:val="nil"/>
              <w:bottom w:val="nil"/>
              <w:right w:val="nil"/>
            </w:tcBorders>
            <w:shd w:val="clear" w:color="auto" w:fill="auto"/>
            <w:noWrap/>
            <w:vAlign w:val="bottom"/>
            <w:hideMark/>
          </w:tcPr>
          <w:p w14:paraId="7BE3125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1435312"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22,180 </w:t>
            </w:r>
          </w:p>
        </w:tc>
        <w:tc>
          <w:tcPr>
            <w:tcW w:w="272" w:type="dxa"/>
            <w:tcBorders>
              <w:top w:val="nil"/>
              <w:left w:val="nil"/>
              <w:bottom w:val="nil"/>
              <w:right w:val="nil"/>
            </w:tcBorders>
            <w:shd w:val="clear" w:color="auto" w:fill="auto"/>
            <w:noWrap/>
            <w:vAlign w:val="bottom"/>
            <w:hideMark/>
          </w:tcPr>
          <w:p w14:paraId="1ED6ADB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CD1EBBE"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85,320 </w:t>
            </w:r>
          </w:p>
        </w:tc>
        <w:tc>
          <w:tcPr>
            <w:tcW w:w="272" w:type="dxa"/>
            <w:tcBorders>
              <w:top w:val="nil"/>
              <w:left w:val="nil"/>
              <w:bottom w:val="nil"/>
              <w:right w:val="nil"/>
            </w:tcBorders>
            <w:shd w:val="clear" w:color="auto" w:fill="auto"/>
            <w:noWrap/>
            <w:vAlign w:val="bottom"/>
            <w:hideMark/>
          </w:tcPr>
          <w:p w14:paraId="0C4D915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16CDB516"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93,580 </w:t>
            </w:r>
          </w:p>
        </w:tc>
      </w:tr>
      <w:tr w:rsidR="00702061" w:rsidRPr="00305711" w14:paraId="7E3A8755" w14:textId="77777777" w:rsidTr="00282FF2">
        <w:trPr>
          <w:trHeight w:val="285"/>
        </w:trPr>
        <w:tc>
          <w:tcPr>
            <w:tcW w:w="3160" w:type="dxa"/>
            <w:tcBorders>
              <w:top w:val="nil"/>
              <w:left w:val="nil"/>
              <w:bottom w:val="nil"/>
              <w:right w:val="nil"/>
            </w:tcBorders>
            <w:shd w:val="clear" w:color="auto" w:fill="auto"/>
            <w:noWrap/>
            <w:vAlign w:val="bottom"/>
            <w:hideMark/>
          </w:tcPr>
          <w:p w14:paraId="246D64EB"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Cost of revenue</w:t>
            </w:r>
          </w:p>
        </w:tc>
        <w:tc>
          <w:tcPr>
            <w:tcW w:w="1060" w:type="dxa"/>
            <w:tcBorders>
              <w:top w:val="nil"/>
              <w:left w:val="nil"/>
              <w:bottom w:val="nil"/>
              <w:right w:val="nil"/>
            </w:tcBorders>
            <w:shd w:val="clear" w:color="auto" w:fill="auto"/>
            <w:noWrap/>
            <w:vAlign w:val="bottom"/>
            <w:hideMark/>
          </w:tcPr>
          <w:p w14:paraId="13C55122" w14:textId="77777777" w:rsidR="00702061" w:rsidRPr="00305711" w:rsidRDefault="00702061" w:rsidP="00282FF2">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3C63CF4"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71D0793"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FB86F5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19332E5"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7144525"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FAD80FF" w14:textId="77777777" w:rsidR="00702061" w:rsidRPr="00305711" w:rsidRDefault="00702061" w:rsidP="00282FF2">
            <w:pPr>
              <w:spacing w:after="0" w:line="240" w:lineRule="auto"/>
              <w:jc w:val="right"/>
              <w:rPr>
                <w:rFonts w:ascii="Times New Roman" w:eastAsia="Times New Roman" w:hAnsi="Times New Roman"/>
                <w:sz w:val="20"/>
                <w:szCs w:val="20"/>
              </w:rPr>
            </w:pPr>
          </w:p>
        </w:tc>
      </w:tr>
      <w:tr w:rsidR="00702061" w:rsidRPr="00305711" w14:paraId="3A7DDE3F" w14:textId="77777777" w:rsidTr="00282FF2">
        <w:trPr>
          <w:trHeight w:val="285"/>
        </w:trPr>
        <w:tc>
          <w:tcPr>
            <w:tcW w:w="3160" w:type="dxa"/>
            <w:tcBorders>
              <w:top w:val="nil"/>
              <w:left w:val="nil"/>
              <w:bottom w:val="nil"/>
              <w:right w:val="nil"/>
            </w:tcBorders>
            <w:shd w:val="clear" w:color="auto" w:fill="auto"/>
            <w:noWrap/>
            <w:vAlign w:val="bottom"/>
            <w:hideMark/>
          </w:tcPr>
          <w:p w14:paraId="2666B9C6"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Product</w:t>
            </w:r>
          </w:p>
        </w:tc>
        <w:tc>
          <w:tcPr>
            <w:tcW w:w="1060" w:type="dxa"/>
            <w:tcBorders>
              <w:top w:val="nil"/>
              <w:left w:val="nil"/>
              <w:bottom w:val="nil"/>
              <w:right w:val="nil"/>
            </w:tcBorders>
            <w:shd w:val="clear" w:color="auto" w:fill="auto"/>
            <w:noWrap/>
            <w:vAlign w:val="bottom"/>
            <w:hideMark/>
          </w:tcPr>
          <w:p w14:paraId="4DF1980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3,776 </w:t>
            </w:r>
          </w:p>
        </w:tc>
        <w:tc>
          <w:tcPr>
            <w:tcW w:w="272" w:type="dxa"/>
            <w:tcBorders>
              <w:top w:val="nil"/>
              <w:left w:val="nil"/>
              <w:bottom w:val="nil"/>
              <w:right w:val="nil"/>
            </w:tcBorders>
            <w:shd w:val="clear" w:color="auto" w:fill="auto"/>
            <w:noWrap/>
            <w:vAlign w:val="bottom"/>
            <w:hideMark/>
          </w:tcPr>
          <w:p w14:paraId="4861253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1DEB548"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4,450 </w:t>
            </w:r>
          </w:p>
        </w:tc>
        <w:tc>
          <w:tcPr>
            <w:tcW w:w="272" w:type="dxa"/>
            <w:tcBorders>
              <w:top w:val="nil"/>
              <w:left w:val="nil"/>
              <w:bottom w:val="nil"/>
              <w:right w:val="nil"/>
            </w:tcBorders>
            <w:shd w:val="clear" w:color="auto" w:fill="auto"/>
            <w:noWrap/>
            <w:vAlign w:val="bottom"/>
            <w:hideMark/>
          </w:tcPr>
          <w:p w14:paraId="67DD6B5D"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46CB151"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17,880 </w:t>
            </w:r>
          </w:p>
        </w:tc>
        <w:tc>
          <w:tcPr>
            <w:tcW w:w="272" w:type="dxa"/>
            <w:tcBorders>
              <w:top w:val="nil"/>
              <w:left w:val="nil"/>
              <w:bottom w:val="nil"/>
              <w:right w:val="nil"/>
            </w:tcBorders>
            <w:shd w:val="clear" w:color="auto" w:fill="auto"/>
            <w:noWrap/>
            <w:vAlign w:val="bottom"/>
            <w:hideMark/>
          </w:tcPr>
          <w:p w14:paraId="48DB44C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1EEB0DD1"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21,410 </w:t>
            </w:r>
          </w:p>
        </w:tc>
      </w:tr>
      <w:tr w:rsidR="00702061" w:rsidRPr="00305711" w14:paraId="5924EB04"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09C3F021"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Service and other</w:t>
            </w:r>
          </w:p>
        </w:tc>
        <w:tc>
          <w:tcPr>
            <w:tcW w:w="1060" w:type="dxa"/>
            <w:tcBorders>
              <w:top w:val="nil"/>
              <w:left w:val="nil"/>
              <w:bottom w:val="single" w:sz="4" w:space="0" w:color="auto"/>
              <w:right w:val="nil"/>
            </w:tcBorders>
            <w:shd w:val="clear" w:color="auto" w:fill="auto"/>
            <w:noWrap/>
            <w:vAlign w:val="bottom"/>
            <w:hideMark/>
          </w:tcPr>
          <w:p w14:paraId="3CDFE24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4,203 </w:t>
            </w:r>
          </w:p>
        </w:tc>
        <w:tc>
          <w:tcPr>
            <w:tcW w:w="272" w:type="dxa"/>
            <w:tcBorders>
              <w:top w:val="nil"/>
              <w:left w:val="nil"/>
              <w:bottom w:val="nil"/>
              <w:right w:val="nil"/>
            </w:tcBorders>
            <w:shd w:val="clear" w:color="auto" w:fill="auto"/>
            <w:noWrap/>
            <w:vAlign w:val="bottom"/>
            <w:hideMark/>
          </w:tcPr>
          <w:p w14:paraId="73F891C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21FDBD9D"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3,018 </w:t>
            </w:r>
          </w:p>
        </w:tc>
        <w:tc>
          <w:tcPr>
            <w:tcW w:w="272" w:type="dxa"/>
            <w:tcBorders>
              <w:top w:val="nil"/>
              <w:left w:val="nil"/>
              <w:bottom w:val="nil"/>
              <w:right w:val="nil"/>
            </w:tcBorders>
            <w:shd w:val="clear" w:color="auto" w:fill="auto"/>
            <w:noWrap/>
            <w:vAlign w:val="bottom"/>
            <w:hideMark/>
          </w:tcPr>
          <w:p w14:paraId="1E5FF19A"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61C451F2"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14,900 </w:t>
            </w:r>
          </w:p>
        </w:tc>
        <w:tc>
          <w:tcPr>
            <w:tcW w:w="272" w:type="dxa"/>
            <w:tcBorders>
              <w:top w:val="nil"/>
              <w:left w:val="nil"/>
              <w:bottom w:val="nil"/>
              <w:right w:val="nil"/>
            </w:tcBorders>
            <w:shd w:val="clear" w:color="auto" w:fill="auto"/>
            <w:noWrap/>
            <w:vAlign w:val="bottom"/>
            <w:hideMark/>
          </w:tcPr>
          <w:p w14:paraId="4388A92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6CCEEB47"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11,628 </w:t>
            </w:r>
          </w:p>
        </w:tc>
      </w:tr>
      <w:tr w:rsidR="00702061" w:rsidRPr="00305711" w14:paraId="11F4012B"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7858EBC4" w14:textId="77777777" w:rsidR="00702061" w:rsidRPr="00305711" w:rsidRDefault="00702061" w:rsidP="00282FF2">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Total c</w:t>
            </w:r>
            <w:r w:rsidRPr="00305711">
              <w:rPr>
                <w:rFonts w:ascii="Segoe UI" w:eastAsia="Times New Roman" w:hAnsi="Segoe UI" w:cs="Segoe UI"/>
                <w:color w:val="666666"/>
                <w:sz w:val="20"/>
                <w:szCs w:val="20"/>
              </w:rPr>
              <w:t>ost of revenue</w:t>
            </w:r>
          </w:p>
        </w:tc>
        <w:tc>
          <w:tcPr>
            <w:tcW w:w="1060" w:type="dxa"/>
            <w:tcBorders>
              <w:top w:val="nil"/>
              <w:left w:val="nil"/>
              <w:bottom w:val="single" w:sz="4" w:space="0" w:color="auto"/>
              <w:right w:val="nil"/>
            </w:tcBorders>
            <w:shd w:val="clear" w:color="auto" w:fill="auto"/>
            <w:noWrap/>
            <w:vAlign w:val="bottom"/>
            <w:hideMark/>
          </w:tcPr>
          <w:p w14:paraId="0659ACF3"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7,979 </w:t>
            </w:r>
          </w:p>
        </w:tc>
        <w:tc>
          <w:tcPr>
            <w:tcW w:w="272" w:type="dxa"/>
            <w:tcBorders>
              <w:top w:val="nil"/>
              <w:left w:val="nil"/>
              <w:bottom w:val="nil"/>
              <w:right w:val="nil"/>
            </w:tcBorders>
            <w:shd w:val="clear" w:color="auto" w:fill="auto"/>
            <w:noWrap/>
            <w:vAlign w:val="bottom"/>
            <w:hideMark/>
          </w:tcPr>
          <w:p w14:paraId="394CABB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D6533BF"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7,468 </w:t>
            </w:r>
          </w:p>
        </w:tc>
        <w:tc>
          <w:tcPr>
            <w:tcW w:w="272" w:type="dxa"/>
            <w:tcBorders>
              <w:top w:val="nil"/>
              <w:left w:val="nil"/>
              <w:bottom w:val="nil"/>
              <w:right w:val="nil"/>
            </w:tcBorders>
            <w:shd w:val="clear" w:color="auto" w:fill="auto"/>
            <w:noWrap/>
            <w:vAlign w:val="bottom"/>
            <w:hideMark/>
          </w:tcPr>
          <w:p w14:paraId="3E7F082B"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2A69350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32,780 </w:t>
            </w:r>
          </w:p>
        </w:tc>
        <w:tc>
          <w:tcPr>
            <w:tcW w:w="272" w:type="dxa"/>
            <w:tcBorders>
              <w:top w:val="nil"/>
              <w:left w:val="nil"/>
              <w:bottom w:val="nil"/>
              <w:right w:val="nil"/>
            </w:tcBorders>
            <w:shd w:val="clear" w:color="auto" w:fill="auto"/>
            <w:noWrap/>
            <w:vAlign w:val="bottom"/>
            <w:hideMark/>
          </w:tcPr>
          <w:p w14:paraId="212464D3"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C3CC23B"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33,038 </w:t>
            </w:r>
          </w:p>
        </w:tc>
      </w:tr>
      <w:tr w:rsidR="00702061" w:rsidRPr="00305711" w14:paraId="1A0422AD" w14:textId="77777777" w:rsidTr="00282FF2">
        <w:trPr>
          <w:trHeight w:val="285"/>
        </w:trPr>
        <w:tc>
          <w:tcPr>
            <w:tcW w:w="3160" w:type="dxa"/>
            <w:tcBorders>
              <w:top w:val="nil"/>
              <w:left w:val="nil"/>
              <w:bottom w:val="nil"/>
              <w:right w:val="nil"/>
            </w:tcBorders>
            <w:shd w:val="clear" w:color="auto" w:fill="auto"/>
            <w:noWrap/>
            <w:vAlign w:val="bottom"/>
            <w:hideMark/>
          </w:tcPr>
          <w:p w14:paraId="58DD76C8"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Gross margin</w:t>
            </w:r>
          </w:p>
        </w:tc>
        <w:tc>
          <w:tcPr>
            <w:tcW w:w="1060" w:type="dxa"/>
            <w:tcBorders>
              <w:top w:val="nil"/>
              <w:left w:val="nil"/>
              <w:bottom w:val="nil"/>
              <w:right w:val="nil"/>
            </w:tcBorders>
            <w:shd w:val="clear" w:color="auto" w:fill="auto"/>
            <w:noWrap/>
            <w:vAlign w:val="bottom"/>
            <w:hideMark/>
          </w:tcPr>
          <w:p w14:paraId="4322BE4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12,635 </w:t>
            </w:r>
          </w:p>
        </w:tc>
        <w:tc>
          <w:tcPr>
            <w:tcW w:w="272" w:type="dxa"/>
            <w:tcBorders>
              <w:top w:val="nil"/>
              <w:left w:val="nil"/>
              <w:bottom w:val="nil"/>
              <w:right w:val="nil"/>
            </w:tcBorders>
            <w:shd w:val="clear" w:color="auto" w:fill="auto"/>
            <w:noWrap/>
            <w:vAlign w:val="bottom"/>
            <w:hideMark/>
          </w:tcPr>
          <w:p w14:paraId="26EAB20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14BBFF79"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14,712 </w:t>
            </w:r>
          </w:p>
        </w:tc>
        <w:tc>
          <w:tcPr>
            <w:tcW w:w="272" w:type="dxa"/>
            <w:tcBorders>
              <w:top w:val="nil"/>
              <w:left w:val="nil"/>
              <w:bottom w:val="nil"/>
              <w:right w:val="nil"/>
            </w:tcBorders>
            <w:shd w:val="clear" w:color="auto" w:fill="auto"/>
            <w:noWrap/>
            <w:vAlign w:val="bottom"/>
            <w:hideMark/>
          </w:tcPr>
          <w:p w14:paraId="0B448B65"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FA44B46"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52,540 </w:t>
            </w:r>
          </w:p>
        </w:tc>
        <w:tc>
          <w:tcPr>
            <w:tcW w:w="272" w:type="dxa"/>
            <w:tcBorders>
              <w:top w:val="nil"/>
              <w:left w:val="nil"/>
              <w:bottom w:val="nil"/>
              <w:right w:val="nil"/>
            </w:tcBorders>
            <w:shd w:val="clear" w:color="auto" w:fill="auto"/>
            <w:noWrap/>
            <w:vAlign w:val="bottom"/>
            <w:hideMark/>
          </w:tcPr>
          <w:p w14:paraId="3CE8B55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6829111"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60,542 </w:t>
            </w:r>
          </w:p>
        </w:tc>
      </w:tr>
      <w:tr w:rsidR="00702061" w:rsidRPr="00305711" w14:paraId="6890C0C5" w14:textId="77777777" w:rsidTr="00282FF2">
        <w:trPr>
          <w:trHeight w:val="285"/>
        </w:trPr>
        <w:tc>
          <w:tcPr>
            <w:tcW w:w="3160" w:type="dxa"/>
            <w:tcBorders>
              <w:top w:val="nil"/>
              <w:left w:val="nil"/>
              <w:bottom w:val="nil"/>
              <w:right w:val="nil"/>
            </w:tcBorders>
            <w:shd w:val="clear" w:color="auto" w:fill="auto"/>
            <w:noWrap/>
            <w:vAlign w:val="bottom"/>
            <w:hideMark/>
          </w:tcPr>
          <w:p w14:paraId="2BB31719"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Research and development</w:t>
            </w:r>
          </w:p>
        </w:tc>
        <w:tc>
          <w:tcPr>
            <w:tcW w:w="1060" w:type="dxa"/>
            <w:tcBorders>
              <w:top w:val="nil"/>
              <w:left w:val="nil"/>
              <w:bottom w:val="nil"/>
              <w:right w:val="nil"/>
            </w:tcBorders>
            <w:shd w:val="clear" w:color="auto" w:fill="auto"/>
            <w:noWrap/>
            <w:vAlign w:val="bottom"/>
            <w:hideMark/>
          </w:tcPr>
          <w:p w14:paraId="1089E22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3,146 </w:t>
            </w:r>
          </w:p>
        </w:tc>
        <w:tc>
          <w:tcPr>
            <w:tcW w:w="272" w:type="dxa"/>
            <w:tcBorders>
              <w:top w:val="nil"/>
              <w:left w:val="nil"/>
              <w:bottom w:val="nil"/>
              <w:right w:val="nil"/>
            </w:tcBorders>
            <w:shd w:val="clear" w:color="auto" w:fill="auto"/>
            <w:noWrap/>
            <w:vAlign w:val="bottom"/>
            <w:hideMark/>
          </w:tcPr>
          <w:p w14:paraId="14B6350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D1E4516"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3,094 </w:t>
            </w:r>
          </w:p>
        </w:tc>
        <w:tc>
          <w:tcPr>
            <w:tcW w:w="272" w:type="dxa"/>
            <w:tcBorders>
              <w:top w:val="nil"/>
              <w:left w:val="nil"/>
              <w:bottom w:val="nil"/>
              <w:right w:val="nil"/>
            </w:tcBorders>
            <w:shd w:val="clear" w:color="auto" w:fill="auto"/>
            <w:noWrap/>
            <w:vAlign w:val="bottom"/>
            <w:hideMark/>
          </w:tcPr>
          <w:p w14:paraId="7D4D1F27"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B103EC"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11,988 </w:t>
            </w:r>
          </w:p>
        </w:tc>
        <w:tc>
          <w:tcPr>
            <w:tcW w:w="272" w:type="dxa"/>
            <w:tcBorders>
              <w:top w:val="nil"/>
              <w:left w:val="nil"/>
              <w:bottom w:val="nil"/>
              <w:right w:val="nil"/>
            </w:tcBorders>
            <w:shd w:val="clear" w:color="auto" w:fill="auto"/>
            <w:noWrap/>
            <w:vAlign w:val="bottom"/>
            <w:hideMark/>
          </w:tcPr>
          <w:p w14:paraId="2BF025D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6E7756E"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12,046 </w:t>
            </w:r>
          </w:p>
        </w:tc>
      </w:tr>
      <w:tr w:rsidR="00702061" w:rsidRPr="00305711" w14:paraId="06960AB6" w14:textId="77777777" w:rsidTr="00282FF2">
        <w:trPr>
          <w:trHeight w:val="285"/>
        </w:trPr>
        <w:tc>
          <w:tcPr>
            <w:tcW w:w="3160" w:type="dxa"/>
            <w:tcBorders>
              <w:top w:val="nil"/>
              <w:left w:val="nil"/>
              <w:bottom w:val="nil"/>
              <w:right w:val="nil"/>
            </w:tcBorders>
            <w:shd w:val="clear" w:color="auto" w:fill="auto"/>
            <w:noWrap/>
            <w:vAlign w:val="bottom"/>
            <w:hideMark/>
          </w:tcPr>
          <w:p w14:paraId="14402E2B"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Sales and marketing</w:t>
            </w:r>
          </w:p>
        </w:tc>
        <w:tc>
          <w:tcPr>
            <w:tcW w:w="1060" w:type="dxa"/>
            <w:tcBorders>
              <w:top w:val="nil"/>
              <w:left w:val="nil"/>
              <w:bottom w:val="nil"/>
              <w:right w:val="nil"/>
            </w:tcBorders>
            <w:shd w:val="clear" w:color="auto" w:fill="auto"/>
            <w:noWrap/>
            <w:vAlign w:val="bottom"/>
            <w:hideMark/>
          </w:tcPr>
          <w:p w14:paraId="7D37F0F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3,998 </w:t>
            </w:r>
          </w:p>
        </w:tc>
        <w:tc>
          <w:tcPr>
            <w:tcW w:w="272" w:type="dxa"/>
            <w:tcBorders>
              <w:top w:val="nil"/>
              <w:left w:val="nil"/>
              <w:bottom w:val="nil"/>
              <w:right w:val="nil"/>
            </w:tcBorders>
            <w:shd w:val="clear" w:color="auto" w:fill="auto"/>
            <w:noWrap/>
            <w:vAlign w:val="bottom"/>
            <w:hideMark/>
          </w:tcPr>
          <w:p w14:paraId="662479F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068D0BA"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3,961 </w:t>
            </w:r>
          </w:p>
        </w:tc>
        <w:tc>
          <w:tcPr>
            <w:tcW w:w="272" w:type="dxa"/>
            <w:tcBorders>
              <w:top w:val="nil"/>
              <w:left w:val="nil"/>
              <w:bottom w:val="nil"/>
              <w:right w:val="nil"/>
            </w:tcBorders>
            <w:shd w:val="clear" w:color="auto" w:fill="auto"/>
            <w:noWrap/>
            <w:vAlign w:val="bottom"/>
            <w:hideMark/>
          </w:tcPr>
          <w:p w14:paraId="701C4609"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7B7B8A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14,697 </w:t>
            </w:r>
          </w:p>
        </w:tc>
        <w:tc>
          <w:tcPr>
            <w:tcW w:w="272" w:type="dxa"/>
            <w:tcBorders>
              <w:top w:val="nil"/>
              <w:left w:val="nil"/>
              <w:bottom w:val="nil"/>
              <w:right w:val="nil"/>
            </w:tcBorders>
            <w:shd w:val="clear" w:color="auto" w:fill="auto"/>
            <w:noWrap/>
            <w:vAlign w:val="bottom"/>
            <w:hideMark/>
          </w:tcPr>
          <w:p w14:paraId="2E33185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79387965"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15,713 </w:t>
            </w:r>
          </w:p>
        </w:tc>
      </w:tr>
      <w:tr w:rsidR="00702061" w:rsidRPr="00305711" w14:paraId="646F499E" w14:textId="77777777" w:rsidTr="00282FF2">
        <w:trPr>
          <w:trHeight w:val="285"/>
        </w:trPr>
        <w:tc>
          <w:tcPr>
            <w:tcW w:w="3160" w:type="dxa"/>
            <w:tcBorders>
              <w:top w:val="nil"/>
              <w:left w:val="nil"/>
              <w:bottom w:val="nil"/>
              <w:right w:val="nil"/>
            </w:tcBorders>
            <w:shd w:val="clear" w:color="auto" w:fill="auto"/>
            <w:noWrap/>
            <w:vAlign w:val="bottom"/>
            <w:hideMark/>
          </w:tcPr>
          <w:p w14:paraId="452594B3"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General and administrative</w:t>
            </w:r>
          </w:p>
        </w:tc>
        <w:tc>
          <w:tcPr>
            <w:tcW w:w="1060" w:type="dxa"/>
            <w:tcBorders>
              <w:top w:val="nil"/>
              <w:left w:val="nil"/>
              <w:bottom w:val="nil"/>
              <w:right w:val="nil"/>
            </w:tcBorders>
            <w:shd w:val="clear" w:color="auto" w:fill="auto"/>
            <w:noWrap/>
            <w:vAlign w:val="bottom"/>
            <w:hideMark/>
          </w:tcPr>
          <w:p w14:paraId="4DC673CA"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1,301 </w:t>
            </w:r>
          </w:p>
        </w:tc>
        <w:tc>
          <w:tcPr>
            <w:tcW w:w="272" w:type="dxa"/>
            <w:tcBorders>
              <w:top w:val="nil"/>
              <w:left w:val="nil"/>
              <w:bottom w:val="nil"/>
              <w:right w:val="nil"/>
            </w:tcBorders>
            <w:shd w:val="clear" w:color="auto" w:fill="auto"/>
            <w:noWrap/>
            <w:vAlign w:val="bottom"/>
            <w:hideMark/>
          </w:tcPr>
          <w:p w14:paraId="5154E14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05332EA"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1,272 </w:t>
            </w:r>
          </w:p>
        </w:tc>
        <w:tc>
          <w:tcPr>
            <w:tcW w:w="272" w:type="dxa"/>
            <w:tcBorders>
              <w:top w:val="nil"/>
              <w:left w:val="nil"/>
              <w:bottom w:val="nil"/>
              <w:right w:val="nil"/>
            </w:tcBorders>
            <w:shd w:val="clear" w:color="auto" w:fill="auto"/>
            <w:noWrap/>
            <w:vAlign w:val="bottom"/>
            <w:hideMark/>
          </w:tcPr>
          <w:p w14:paraId="52D517D8"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400955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4,563 </w:t>
            </w:r>
          </w:p>
        </w:tc>
        <w:tc>
          <w:tcPr>
            <w:tcW w:w="272" w:type="dxa"/>
            <w:tcBorders>
              <w:top w:val="nil"/>
              <w:left w:val="nil"/>
              <w:bottom w:val="nil"/>
              <w:right w:val="nil"/>
            </w:tcBorders>
            <w:shd w:val="clear" w:color="auto" w:fill="auto"/>
            <w:noWrap/>
            <w:vAlign w:val="bottom"/>
            <w:hideMark/>
          </w:tcPr>
          <w:p w14:paraId="356DABE1"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B67B3F3"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4,611 </w:t>
            </w:r>
          </w:p>
        </w:tc>
      </w:tr>
      <w:tr w:rsidR="00702061" w:rsidRPr="00305711" w14:paraId="3EADD8E4" w14:textId="77777777" w:rsidTr="00282FF2">
        <w:trPr>
          <w:trHeight w:val="570"/>
        </w:trPr>
        <w:tc>
          <w:tcPr>
            <w:tcW w:w="3160" w:type="dxa"/>
            <w:tcBorders>
              <w:top w:val="nil"/>
              <w:left w:val="nil"/>
              <w:bottom w:val="nil"/>
              <w:right w:val="nil"/>
            </w:tcBorders>
            <w:shd w:val="clear" w:color="auto" w:fill="auto"/>
            <w:vAlign w:val="bottom"/>
            <w:hideMark/>
          </w:tcPr>
          <w:p w14:paraId="1C681229"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Impairment, integration, and</w:t>
            </w:r>
            <w:r w:rsidRPr="00305711">
              <w:rPr>
                <w:rFonts w:ascii="Segoe UI" w:eastAsia="Times New Roman" w:hAnsi="Segoe UI" w:cs="Segoe UI"/>
                <w:color w:val="666666"/>
                <w:sz w:val="20"/>
                <w:szCs w:val="20"/>
              </w:rPr>
              <w:br/>
              <w:t xml:space="preserve">   restructuring</w:t>
            </w:r>
          </w:p>
        </w:tc>
        <w:tc>
          <w:tcPr>
            <w:tcW w:w="1060" w:type="dxa"/>
            <w:tcBorders>
              <w:top w:val="nil"/>
              <w:left w:val="nil"/>
              <w:bottom w:val="nil"/>
              <w:right w:val="nil"/>
            </w:tcBorders>
            <w:shd w:val="clear" w:color="auto" w:fill="auto"/>
            <w:noWrap/>
            <w:vAlign w:val="bottom"/>
            <w:hideMark/>
          </w:tcPr>
          <w:p w14:paraId="5F8D679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1,110 </w:t>
            </w:r>
          </w:p>
        </w:tc>
        <w:tc>
          <w:tcPr>
            <w:tcW w:w="272" w:type="dxa"/>
            <w:tcBorders>
              <w:top w:val="nil"/>
              <w:left w:val="nil"/>
              <w:bottom w:val="nil"/>
              <w:right w:val="nil"/>
            </w:tcBorders>
            <w:shd w:val="clear" w:color="auto" w:fill="auto"/>
            <w:noWrap/>
            <w:vAlign w:val="bottom"/>
            <w:hideMark/>
          </w:tcPr>
          <w:p w14:paraId="4ECCDF21"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498E0D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8,438 </w:t>
            </w:r>
          </w:p>
        </w:tc>
        <w:tc>
          <w:tcPr>
            <w:tcW w:w="272" w:type="dxa"/>
            <w:tcBorders>
              <w:top w:val="nil"/>
              <w:left w:val="nil"/>
              <w:bottom w:val="nil"/>
              <w:right w:val="nil"/>
            </w:tcBorders>
            <w:shd w:val="clear" w:color="auto" w:fill="auto"/>
            <w:noWrap/>
            <w:vAlign w:val="bottom"/>
            <w:hideMark/>
          </w:tcPr>
          <w:p w14:paraId="17F54DA7"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8B0BB16"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1,110 </w:t>
            </w:r>
          </w:p>
        </w:tc>
        <w:tc>
          <w:tcPr>
            <w:tcW w:w="272" w:type="dxa"/>
            <w:tcBorders>
              <w:top w:val="nil"/>
              <w:left w:val="nil"/>
              <w:bottom w:val="nil"/>
              <w:right w:val="nil"/>
            </w:tcBorders>
            <w:shd w:val="clear" w:color="auto" w:fill="auto"/>
            <w:noWrap/>
            <w:vAlign w:val="bottom"/>
            <w:hideMark/>
          </w:tcPr>
          <w:p w14:paraId="6F06166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7965E55"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10,011 </w:t>
            </w:r>
          </w:p>
        </w:tc>
      </w:tr>
      <w:tr w:rsidR="00702061" w:rsidRPr="00305711" w14:paraId="39BD0D46" w14:textId="77777777" w:rsidTr="00282FF2">
        <w:trPr>
          <w:trHeight w:val="285"/>
        </w:trPr>
        <w:tc>
          <w:tcPr>
            <w:tcW w:w="3160" w:type="dxa"/>
            <w:tcBorders>
              <w:top w:val="single" w:sz="4" w:space="0" w:color="auto"/>
              <w:left w:val="nil"/>
              <w:bottom w:val="nil"/>
              <w:right w:val="nil"/>
            </w:tcBorders>
            <w:shd w:val="clear" w:color="auto" w:fill="auto"/>
            <w:noWrap/>
            <w:vAlign w:val="bottom"/>
            <w:hideMark/>
          </w:tcPr>
          <w:p w14:paraId="2E667FE4"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Operating income (loss)</w:t>
            </w:r>
          </w:p>
        </w:tc>
        <w:tc>
          <w:tcPr>
            <w:tcW w:w="1060" w:type="dxa"/>
            <w:tcBorders>
              <w:top w:val="single" w:sz="4" w:space="0" w:color="auto"/>
              <w:left w:val="nil"/>
              <w:bottom w:val="nil"/>
              <w:right w:val="nil"/>
            </w:tcBorders>
            <w:shd w:val="clear" w:color="auto" w:fill="auto"/>
            <w:noWrap/>
            <w:vAlign w:val="bottom"/>
            <w:hideMark/>
          </w:tcPr>
          <w:p w14:paraId="2D45183C"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3,080 </w:t>
            </w:r>
          </w:p>
        </w:tc>
        <w:tc>
          <w:tcPr>
            <w:tcW w:w="272" w:type="dxa"/>
            <w:tcBorders>
              <w:top w:val="nil"/>
              <w:left w:val="nil"/>
              <w:bottom w:val="nil"/>
              <w:right w:val="nil"/>
            </w:tcBorders>
            <w:shd w:val="clear" w:color="auto" w:fill="auto"/>
            <w:noWrap/>
            <w:vAlign w:val="bottom"/>
            <w:hideMark/>
          </w:tcPr>
          <w:p w14:paraId="4EBF776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single" w:sz="4" w:space="0" w:color="auto"/>
              <w:left w:val="nil"/>
              <w:bottom w:val="nil"/>
              <w:right w:val="nil"/>
            </w:tcBorders>
            <w:shd w:val="clear" w:color="auto" w:fill="auto"/>
            <w:noWrap/>
            <w:vAlign w:val="bottom"/>
            <w:hideMark/>
          </w:tcPr>
          <w:p w14:paraId="2255BBA9"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(2,053)</w:t>
            </w:r>
          </w:p>
        </w:tc>
        <w:tc>
          <w:tcPr>
            <w:tcW w:w="272" w:type="dxa"/>
            <w:tcBorders>
              <w:top w:val="nil"/>
              <w:left w:val="nil"/>
              <w:bottom w:val="nil"/>
              <w:right w:val="nil"/>
            </w:tcBorders>
            <w:shd w:val="clear" w:color="auto" w:fill="auto"/>
            <w:noWrap/>
            <w:vAlign w:val="bottom"/>
            <w:hideMark/>
          </w:tcPr>
          <w:p w14:paraId="4E0D102B"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single" w:sz="4" w:space="0" w:color="auto"/>
              <w:left w:val="nil"/>
              <w:bottom w:val="nil"/>
              <w:right w:val="nil"/>
            </w:tcBorders>
            <w:shd w:val="clear" w:color="auto" w:fill="auto"/>
            <w:noWrap/>
            <w:vAlign w:val="bottom"/>
            <w:hideMark/>
          </w:tcPr>
          <w:p w14:paraId="6632304A"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20,182 </w:t>
            </w:r>
          </w:p>
        </w:tc>
        <w:tc>
          <w:tcPr>
            <w:tcW w:w="272" w:type="dxa"/>
            <w:tcBorders>
              <w:top w:val="nil"/>
              <w:left w:val="nil"/>
              <w:bottom w:val="nil"/>
              <w:right w:val="nil"/>
            </w:tcBorders>
            <w:shd w:val="clear" w:color="auto" w:fill="auto"/>
            <w:noWrap/>
            <w:vAlign w:val="bottom"/>
            <w:hideMark/>
          </w:tcPr>
          <w:p w14:paraId="2E736B96"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single" w:sz="4" w:space="0" w:color="auto"/>
              <w:left w:val="nil"/>
              <w:bottom w:val="nil"/>
              <w:right w:val="nil"/>
            </w:tcBorders>
            <w:shd w:val="clear" w:color="auto" w:fill="auto"/>
            <w:noWrap/>
            <w:vAlign w:val="bottom"/>
            <w:hideMark/>
          </w:tcPr>
          <w:p w14:paraId="1CF33821"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18,161 </w:t>
            </w:r>
          </w:p>
        </w:tc>
      </w:tr>
      <w:tr w:rsidR="00702061" w:rsidRPr="00305711" w14:paraId="206B4818"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24B3149E"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Other income</w:t>
            </w:r>
            <w:r>
              <w:rPr>
                <w:rFonts w:ascii="Segoe UI" w:eastAsia="Times New Roman" w:hAnsi="Segoe UI" w:cs="Segoe UI"/>
                <w:color w:val="666666"/>
                <w:sz w:val="20"/>
                <w:szCs w:val="20"/>
              </w:rPr>
              <w:t xml:space="preserve"> (expense)</w:t>
            </w:r>
            <w:r w:rsidRPr="00305711">
              <w:rPr>
                <w:rFonts w:ascii="Segoe UI" w:eastAsia="Times New Roman" w:hAnsi="Segoe UI" w:cs="Segoe UI"/>
                <w:color w:val="666666"/>
                <w:sz w:val="20"/>
                <w:szCs w:val="20"/>
              </w:rPr>
              <w:t>, net</w:t>
            </w:r>
          </w:p>
        </w:tc>
        <w:tc>
          <w:tcPr>
            <w:tcW w:w="1060" w:type="dxa"/>
            <w:tcBorders>
              <w:top w:val="nil"/>
              <w:left w:val="nil"/>
              <w:bottom w:val="single" w:sz="4" w:space="0" w:color="auto"/>
              <w:right w:val="nil"/>
            </w:tcBorders>
            <w:shd w:val="clear" w:color="auto" w:fill="auto"/>
            <w:noWrap/>
            <w:vAlign w:val="bottom"/>
            <w:hideMark/>
          </w:tcPr>
          <w:p w14:paraId="052AB13E"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267 </w:t>
            </w:r>
          </w:p>
        </w:tc>
        <w:tc>
          <w:tcPr>
            <w:tcW w:w="272" w:type="dxa"/>
            <w:tcBorders>
              <w:top w:val="nil"/>
              <w:left w:val="nil"/>
              <w:bottom w:val="nil"/>
              <w:right w:val="nil"/>
            </w:tcBorders>
            <w:shd w:val="clear" w:color="auto" w:fill="auto"/>
            <w:noWrap/>
            <w:vAlign w:val="bottom"/>
            <w:hideMark/>
          </w:tcPr>
          <w:p w14:paraId="51DE41B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68BA0B5"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297 </w:t>
            </w:r>
          </w:p>
        </w:tc>
        <w:tc>
          <w:tcPr>
            <w:tcW w:w="272" w:type="dxa"/>
            <w:tcBorders>
              <w:top w:val="nil"/>
              <w:left w:val="nil"/>
              <w:bottom w:val="nil"/>
              <w:right w:val="nil"/>
            </w:tcBorders>
            <w:shd w:val="clear" w:color="auto" w:fill="auto"/>
            <w:noWrap/>
            <w:vAlign w:val="bottom"/>
            <w:hideMark/>
          </w:tcPr>
          <w:p w14:paraId="45A1256E"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5225D97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(431)</w:t>
            </w:r>
          </w:p>
        </w:tc>
        <w:tc>
          <w:tcPr>
            <w:tcW w:w="272" w:type="dxa"/>
            <w:tcBorders>
              <w:top w:val="nil"/>
              <w:left w:val="nil"/>
              <w:bottom w:val="nil"/>
              <w:right w:val="nil"/>
            </w:tcBorders>
            <w:shd w:val="clear" w:color="auto" w:fill="auto"/>
            <w:noWrap/>
            <w:vAlign w:val="bottom"/>
            <w:hideMark/>
          </w:tcPr>
          <w:p w14:paraId="111437F2"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FB2FB9B"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346 </w:t>
            </w:r>
          </w:p>
        </w:tc>
      </w:tr>
      <w:tr w:rsidR="00702061" w:rsidRPr="00305711" w14:paraId="2629659C" w14:textId="77777777" w:rsidTr="00282FF2">
        <w:trPr>
          <w:trHeight w:val="285"/>
        </w:trPr>
        <w:tc>
          <w:tcPr>
            <w:tcW w:w="3160" w:type="dxa"/>
            <w:tcBorders>
              <w:top w:val="nil"/>
              <w:left w:val="nil"/>
              <w:bottom w:val="nil"/>
              <w:right w:val="nil"/>
            </w:tcBorders>
            <w:shd w:val="clear" w:color="auto" w:fill="auto"/>
            <w:noWrap/>
            <w:vAlign w:val="bottom"/>
            <w:hideMark/>
          </w:tcPr>
          <w:p w14:paraId="4EB991F1" w14:textId="77777777" w:rsidR="00702061" w:rsidRPr="00305711" w:rsidRDefault="00702061" w:rsidP="00282FF2">
            <w:pPr>
              <w:spacing w:after="0" w:line="240" w:lineRule="auto"/>
              <w:ind w:left="177" w:hanging="177"/>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Income (loss) before income taxes</w:t>
            </w:r>
          </w:p>
        </w:tc>
        <w:tc>
          <w:tcPr>
            <w:tcW w:w="1060" w:type="dxa"/>
            <w:tcBorders>
              <w:top w:val="nil"/>
              <w:left w:val="nil"/>
              <w:bottom w:val="nil"/>
              <w:right w:val="nil"/>
            </w:tcBorders>
            <w:shd w:val="clear" w:color="auto" w:fill="auto"/>
            <w:noWrap/>
            <w:vAlign w:val="bottom"/>
            <w:hideMark/>
          </w:tcPr>
          <w:p w14:paraId="4020A07E"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3,347 </w:t>
            </w:r>
          </w:p>
        </w:tc>
        <w:tc>
          <w:tcPr>
            <w:tcW w:w="272" w:type="dxa"/>
            <w:tcBorders>
              <w:top w:val="nil"/>
              <w:left w:val="nil"/>
              <w:bottom w:val="nil"/>
              <w:right w:val="nil"/>
            </w:tcBorders>
            <w:shd w:val="clear" w:color="auto" w:fill="auto"/>
            <w:noWrap/>
            <w:vAlign w:val="bottom"/>
            <w:hideMark/>
          </w:tcPr>
          <w:p w14:paraId="3EB9E8BA"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7D21F112"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(1,756)</w:t>
            </w:r>
          </w:p>
        </w:tc>
        <w:tc>
          <w:tcPr>
            <w:tcW w:w="272" w:type="dxa"/>
            <w:tcBorders>
              <w:top w:val="nil"/>
              <w:left w:val="nil"/>
              <w:bottom w:val="nil"/>
              <w:right w:val="nil"/>
            </w:tcBorders>
            <w:shd w:val="clear" w:color="auto" w:fill="auto"/>
            <w:noWrap/>
            <w:vAlign w:val="bottom"/>
            <w:hideMark/>
          </w:tcPr>
          <w:p w14:paraId="1A2A4703"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2F30126"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19,751 </w:t>
            </w:r>
          </w:p>
        </w:tc>
        <w:tc>
          <w:tcPr>
            <w:tcW w:w="272" w:type="dxa"/>
            <w:tcBorders>
              <w:top w:val="nil"/>
              <w:left w:val="nil"/>
              <w:bottom w:val="nil"/>
              <w:right w:val="nil"/>
            </w:tcBorders>
            <w:shd w:val="clear" w:color="auto" w:fill="auto"/>
            <w:noWrap/>
            <w:vAlign w:val="bottom"/>
            <w:hideMark/>
          </w:tcPr>
          <w:p w14:paraId="1F7FFE73"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0C514DFC"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18,507 </w:t>
            </w:r>
          </w:p>
        </w:tc>
      </w:tr>
      <w:tr w:rsidR="00702061" w:rsidRPr="00305711" w14:paraId="0EDA4BC5"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1D2BD9D5"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Provision for income taxes</w:t>
            </w:r>
          </w:p>
        </w:tc>
        <w:tc>
          <w:tcPr>
            <w:tcW w:w="1060" w:type="dxa"/>
            <w:tcBorders>
              <w:top w:val="nil"/>
              <w:left w:val="nil"/>
              <w:bottom w:val="single" w:sz="4" w:space="0" w:color="auto"/>
              <w:right w:val="nil"/>
            </w:tcBorders>
            <w:shd w:val="clear" w:color="auto" w:fill="auto"/>
            <w:noWrap/>
            <w:vAlign w:val="bottom"/>
            <w:hideMark/>
          </w:tcPr>
          <w:p w14:paraId="365070C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225 </w:t>
            </w:r>
          </w:p>
        </w:tc>
        <w:tc>
          <w:tcPr>
            <w:tcW w:w="272" w:type="dxa"/>
            <w:tcBorders>
              <w:top w:val="nil"/>
              <w:left w:val="nil"/>
              <w:bottom w:val="nil"/>
              <w:right w:val="nil"/>
            </w:tcBorders>
            <w:shd w:val="clear" w:color="auto" w:fill="auto"/>
            <w:noWrap/>
            <w:vAlign w:val="bottom"/>
            <w:hideMark/>
          </w:tcPr>
          <w:p w14:paraId="47038F8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6EA63D4E"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1,439 </w:t>
            </w:r>
          </w:p>
        </w:tc>
        <w:tc>
          <w:tcPr>
            <w:tcW w:w="272" w:type="dxa"/>
            <w:tcBorders>
              <w:top w:val="nil"/>
              <w:left w:val="nil"/>
              <w:bottom w:val="nil"/>
              <w:right w:val="nil"/>
            </w:tcBorders>
            <w:shd w:val="clear" w:color="auto" w:fill="auto"/>
            <w:noWrap/>
            <w:vAlign w:val="bottom"/>
            <w:hideMark/>
          </w:tcPr>
          <w:p w14:paraId="7A8ABE9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7BD837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2,953 </w:t>
            </w:r>
          </w:p>
        </w:tc>
        <w:tc>
          <w:tcPr>
            <w:tcW w:w="272" w:type="dxa"/>
            <w:tcBorders>
              <w:top w:val="nil"/>
              <w:left w:val="nil"/>
              <w:bottom w:val="nil"/>
              <w:right w:val="nil"/>
            </w:tcBorders>
            <w:shd w:val="clear" w:color="auto" w:fill="auto"/>
            <w:noWrap/>
            <w:vAlign w:val="bottom"/>
            <w:hideMark/>
          </w:tcPr>
          <w:p w14:paraId="7C683387"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48DCC1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6,314 </w:t>
            </w:r>
          </w:p>
        </w:tc>
      </w:tr>
      <w:tr w:rsidR="00702061" w:rsidRPr="00305711" w14:paraId="3F8FE86F" w14:textId="77777777" w:rsidTr="00282FF2">
        <w:trPr>
          <w:trHeight w:val="300"/>
        </w:trPr>
        <w:tc>
          <w:tcPr>
            <w:tcW w:w="3160" w:type="dxa"/>
            <w:tcBorders>
              <w:top w:val="nil"/>
              <w:left w:val="nil"/>
              <w:bottom w:val="nil"/>
              <w:right w:val="nil"/>
            </w:tcBorders>
            <w:shd w:val="clear" w:color="auto" w:fill="auto"/>
            <w:noWrap/>
            <w:vAlign w:val="bottom"/>
            <w:hideMark/>
          </w:tcPr>
          <w:p w14:paraId="679982C1"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Net income (loss)</w:t>
            </w:r>
          </w:p>
        </w:tc>
        <w:tc>
          <w:tcPr>
            <w:tcW w:w="1060" w:type="dxa"/>
            <w:tcBorders>
              <w:top w:val="nil"/>
              <w:left w:val="nil"/>
              <w:bottom w:val="single" w:sz="8" w:space="0" w:color="auto"/>
              <w:right w:val="nil"/>
            </w:tcBorders>
            <w:shd w:val="clear" w:color="auto" w:fill="auto"/>
            <w:noWrap/>
            <w:vAlign w:val="bottom"/>
            <w:hideMark/>
          </w:tcPr>
          <w:p w14:paraId="073A1D2E"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$3,122 </w:t>
            </w:r>
          </w:p>
        </w:tc>
        <w:tc>
          <w:tcPr>
            <w:tcW w:w="272" w:type="dxa"/>
            <w:tcBorders>
              <w:top w:val="nil"/>
              <w:left w:val="nil"/>
              <w:bottom w:val="nil"/>
              <w:right w:val="nil"/>
            </w:tcBorders>
            <w:shd w:val="clear" w:color="auto" w:fill="auto"/>
            <w:noWrap/>
            <w:vAlign w:val="bottom"/>
            <w:hideMark/>
          </w:tcPr>
          <w:p w14:paraId="5B7E12E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0EA6F8D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$(3,195)</w:t>
            </w:r>
          </w:p>
        </w:tc>
        <w:tc>
          <w:tcPr>
            <w:tcW w:w="272" w:type="dxa"/>
            <w:tcBorders>
              <w:top w:val="nil"/>
              <w:left w:val="nil"/>
              <w:bottom w:val="nil"/>
              <w:right w:val="nil"/>
            </w:tcBorders>
            <w:shd w:val="clear" w:color="auto" w:fill="auto"/>
            <w:noWrap/>
            <w:vAlign w:val="bottom"/>
            <w:hideMark/>
          </w:tcPr>
          <w:p w14:paraId="36A40A72"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4E318AC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$16,798 </w:t>
            </w:r>
          </w:p>
        </w:tc>
        <w:tc>
          <w:tcPr>
            <w:tcW w:w="272" w:type="dxa"/>
            <w:tcBorders>
              <w:top w:val="nil"/>
              <w:left w:val="nil"/>
              <w:bottom w:val="nil"/>
              <w:right w:val="nil"/>
            </w:tcBorders>
            <w:shd w:val="clear" w:color="auto" w:fill="auto"/>
            <w:noWrap/>
            <w:vAlign w:val="bottom"/>
            <w:hideMark/>
          </w:tcPr>
          <w:p w14:paraId="5DA7076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6BD4034F"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$12,193 </w:t>
            </w:r>
          </w:p>
        </w:tc>
      </w:tr>
      <w:tr w:rsidR="00702061" w:rsidRPr="00305711" w14:paraId="38E3034E" w14:textId="77777777" w:rsidTr="00282FF2">
        <w:trPr>
          <w:trHeight w:val="135"/>
        </w:trPr>
        <w:tc>
          <w:tcPr>
            <w:tcW w:w="3160" w:type="dxa"/>
            <w:tcBorders>
              <w:top w:val="nil"/>
              <w:left w:val="nil"/>
              <w:bottom w:val="nil"/>
              <w:right w:val="nil"/>
            </w:tcBorders>
            <w:shd w:val="clear" w:color="auto" w:fill="auto"/>
            <w:noWrap/>
            <w:vAlign w:val="bottom"/>
            <w:hideMark/>
          </w:tcPr>
          <w:p w14:paraId="0ED4B22F"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060" w:type="dxa"/>
            <w:tcBorders>
              <w:top w:val="nil"/>
              <w:left w:val="nil"/>
              <w:bottom w:val="nil"/>
              <w:right w:val="nil"/>
            </w:tcBorders>
            <w:shd w:val="clear" w:color="auto" w:fill="auto"/>
            <w:noWrap/>
            <w:vAlign w:val="bottom"/>
            <w:hideMark/>
          </w:tcPr>
          <w:p w14:paraId="10C46FF9"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084E17" w14:textId="77777777" w:rsidR="00702061" w:rsidRPr="00305711" w:rsidRDefault="00702061" w:rsidP="00282FF2">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68A8AFC1"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A6B726E"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7711AE57"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5A2B46"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2A3B1D62" w14:textId="77777777" w:rsidR="00702061" w:rsidRPr="00305711" w:rsidRDefault="00702061" w:rsidP="00282FF2">
            <w:pPr>
              <w:spacing w:after="0" w:line="240" w:lineRule="auto"/>
              <w:jc w:val="right"/>
              <w:rPr>
                <w:rFonts w:ascii="Times New Roman" w:eastAsia="Times New Roman" w:hAnsi="Times New Roman"/>
                <w:sz w:val="20"/>
                <w:szCs w:val="20"/>
              </w:rPr>
            </w:pPr>
          </w:p>
        </w:tc>
      </w:tr>
      <w:tr w:rsidR="00702061" w:rsidRPr="00305711" w14:paraId="4031D5F9" w14:textId="77777777" w:rsidTr="00282FF2">
        <w:trPr>
          <w:trHeight w:val="285"/>
        </w:trPr>
        <w:tc>
          <w:tcPr>
            <w:tcW w:w="3160" w:type="dxa"/>
            <w:tcBorders>
              <w:top w:val="nil"/>
              <w:left w:val="nil"/>
              <w:bottom w:val="nil"/>
              <w:right w:val="nil"/>
            </w:tcBorders>
            <w:shd w:val="clear" w:color="auto" w:fill="auto"/>
            <w:noWrap/>
            <w:vAlign w:val="bottom"/>
            <w:hideMark/>
          </w:tcPr>
          <w:p w14:paraId="7802A4D8"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Earnings (loss) per share:</w:t>
            </w:r>
          </w:p>
        </w:tc>
        <w:tc>
          <w:tcPr>
            <w:tcW w:w="1060" w:type="dxa"/>
            <w:tcBorders>
              <w:top w:val="nil"/>
              <w:left w:val="nil"/>
              <w:bottom w:val="nil"/>
              <w:right w:val="nil"/>
            </w:tcBorders>
            <w:shd w:val="clear" w:color="auto" w:fill="auto"/>
            <w:noWrap/>
            <w:vAlign w:val="bottom"/>
            <w:hideMark/>
          </w:tcPr>
          <w:p w14:paraId="187AE6AF" w14:textId="77777777" w:rsidR="00702061" w:rsidRPr="00305711" w:rsidRDefault="00702061" w:rsidP="00282FF2">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DF096EC" w14:textId="77777777" w:rsidR="00702061" w:rsidRPr="00305711" w:rsidRDefault="00702061" w:rsidP="00282FF2">
            <w:pPr>
              <w:spacing w:after="0" w:line="240" w:lineRule="auto"/>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1DAC349"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082A268"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E9D5649"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03F494"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73CAA53C" w14:textId="77777777" w:rsidR="00702061" w:rsidRPr="00305711" w:rsidRDefault="00702061" w:rsidP="00282FF2">
            <w:pPr>
              <w:spacing w:after="0" w:line="240" w:lineRule="auto"/>
              <w:jc w:val="right"/>
              <w:rPr>
                <w:rFonts w:ascii="Times New Roman" w:eastAsia="Times New Roman" w:hAnsi="Times New Roman"/>
                <w:sz w:val="20"/>
                <w:szCs w:val="20"/>
              </w:rPr>
            </w:pPr>
          </w:p>
        </w:tc>
      </w:tr>
      <w:tr w:rsidR="00702061" w:rsidRPr="00305711" w14:paraId="010026B1" w14:textId="77777777" w:rsidTr="00282FF2">
        <w:trPr>
          <w:trHeight w:val="285"/>
        </w:trPr>
        <w:tc>
          <w:tcPr>
            <w:tcW w:w="3160" w:type="dxa"/>
            <w:tcBorders>
              <w:top w:val="nil"/>
              <w:left w:val="nil"/>
              <w:bottom w:val="nil"/>
              <w:right w:val="nil"/>
            </w:tcBorders>
            <w:shd w:val="clear" w:color="auto" w:fill="auto"/>
            <w:noWrap/>
            <w:vAlign w:val="bottom"/>
            <w:hideMark/>
          </w:tcPr>
          <w:p w14:paraId="52EA8FF1"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Basic</w:t>
            </w:r>
          </w:p>
        </w:tc>
        <w:tc>
          <w:tcPr>
            <w:tcW w:w="1060" w:type="dxa"/>
            <w:tcBorders>
              <w:top w:val="nil"/>
              <w:left w:val="nil"/>
              <w:bottom w:val="nil"/>
              <w:right w:val="nil"/>
            </w:tcBorders>
            <w:shd w:val="clear" w:color="auto" w:fill="auto"/>
            <w:noWrap/>
            <w:vAlign w:val="bottom"/>
            <w:hideMark/>
          </w:tcPr>
          <w:p w14:paraId="0BA0EC4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$0.40 </w:t>
            </w:r>
          </w:p>
        </w:tc>
        <w:tc>
          <w:tcPr>
            <w:tcW w:w="272" w:type="dxa"/>
            <w:tcBorders>
              <w:top w:val="nil"/>
              <w:left w:val="nil"/>
              <w:bottom w:val="nil"/>
              <w:right w:val="nil"/>
            </w:tcBorders>
            <w:shd w:val="clear" w:color="auto" w:fill="auto"/>
            <w:noWrap/>
            <w:vAlign w:val="bottom"/>
            <w:hideMark/>
          </w:tcPr>
          <w:p w14:paraId="3794ACC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DB4C0A8"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$(0.40)</w:t>
            </w:r>
          </w:p>
        </w:tc>
        <w:tc>
          <w:tcPr>
            <w:tcW w:w="272" w:type="dxa"/>
            <w:tcBorders>
              <w:top w:val="nil"/>
              <w:left w:val="nil"/>
              <w:bottom w:val="nil"/>
              <w:right w:val="nil"/>
            </w:tcBorders>
            <w:shd w:val="clear" w:color="auto" w:fill="auto"/>
            <w:noWrap/>
            <w:vAlign w:val="bottom"/>
            <w:hideMark/>
          </w:tcPr>
          <w:p w14:paraId="7A4FC49F"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36EE9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$2.12 </w:t>
            </w:r>
          </w:p>
        </w:tc>
        <w:tc>
          <w:tcPr>
            <w:tcW w:w="272" w:type="dxa"/>
            <w:tcBorders>
              <w:top w:val="nil"/>
              <w:left w:val="nil"/>
              <w:bottom w:val="nil"/>
              <w:right w:val="nil"/>
            </w:tcBorders>
            <w:shd w:val="clear" w:color="auto" w:fill="auto"/>
            <w:noWrap/>
            <w:vAlign w:val="bottom"/>
            <w:hideMark/>
          </w:tcPr>
          <w:p w14:paraId="136AEC3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center"/>
            <w:hideMark/>
          </w:tcPr>
          <w:p w14:paraId="07F5EFE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$1.49 </w:t>
            </w:r>
          </w:p>
        </w:tc>
      </w:tr>
      <w:tr w:rsidR="00702061" w:rsidRPr="00305711" w14:paraId="720E3865" w14:textId="77777777" w:rsidTr="00282FF2">
        <w:trPr>
          <w:trHeight w:val="285"/>
        </w:trPr>
        <w:tc>
          <w:tcPr>
            <w:tcW w:w="3160" w:type="dxa"/>
            <w:tcBorders>
              <w:top w:val="nil"/>
              <w:left w:val="nil"/>
              <w:bottom w:val="nil"/>
              <w:right w:val="nil"/>
            </w:tcBorders>
            <w:shd w:val="clear" w:color="auto" w:fill="auto"/>
            <w:noWrap/>
            <w:vAlign w:val="bottom"/>
            <w:hideMark/>
          </w:tcPr>
          <w:p w14:paraId="7DD8FE42"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Diluted</w:t>
            </w:r>
          </w:p>
        </w:tc>
        <w:tc>
          <w:tcPr>
            <w:tcW w:w="1060" w:type="dxa"/>
            <w:tcBorders>
              <w:top w:val="nil"/>
              <w:left w:val="nil"/>
              <w:bottom w:val="nil"/>
              <w:right w:val="nil"/>
            </w:tcBorders>
            <w:shd w:val="clear" w:color="auto" w:fill="auto"/>
            <w:noWrap/>
            <w:vAlign w:val="bottom"/>
            <w:hideMark/>
          </w:tcPr>
          <w:p w14:paraId="089F1F6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$0.39 </w:t>
            </w:r>
          </w:p>
        </w:tc>
        <w:tc>
          <w:tcPr>
            <w:tcW w:w="272" w:type="dxa"/>
            <w:tcBorders>
              <w:top w:val="nil"/>
              <w:left w:val="nil"/>
              <w:bottom w:val="nil"/>
              <w:right w:val="nil"/>
            </w:tcBorders>
            <w:shd w:val="clear" w:color="auto" w:fill="auto"/>
            <w:noWrap/>
            <w:vAlign w:val="bottom"/>
            <w:hideMark/>
          </w:tcPr>
          <w:p w14:paraId="5B84169E"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75649CB0"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$(0.40)</w:t>
            </w:r>
          </w:p>
        </w:tc>
        <w:tc>
          <w:tcPr>
            <w:tcW w:w="272" w:type="dxa"/>
            <w:tcBorders>
              <w:top w:val="nil"/>
              <w:left w:val="nil"/>
              <w:bottom w:val="nil"/>
              <w:right w:val="nil"/>
            </w:tcBorders>
            <w:shd w:val="clear" w:color="auto" w:fill="auto"/>
            <w:noWrap/>
            <w:vAlign w:val="bottom"/>
            <w:hideMark/>
          </w:tcPr>
          <w:p w14:paraId="2FDBFE5B"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5B9AA9F"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$2.10 </w:t>
            </w:r>
          </w:p>
        </w:tc>
        <w:tc>
          <w:tcPr>
            <w:tcW w:w="272" w:type="dxa"/>
            <w:tcBorders>
              <w:top w:val="nil"/>
              <w:left w:val="nil"/>
              <w:bottom w:val="nil"/>
              <w:right w:val="nil"/>
            </w:tcBorders>
            <w:shd w:val="clear" w:color="auto" w:fill="auto"/>
            <w:noWrap/>
            <w:vAlign w:val="bottom"/>
            <w:hideMark/>
          </w:tcPr>
          <w:p w14:paraId="5ED36D20"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center"/>
            <w:hideMark/>
          </w:tcPr>
          <w:p w14:paraId="700E5CE2"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$1.48 </w:t>
            </w:r>
          </w:p>
        </w:tc>
      </w:tr>
      <w:tr w:rsidR="00702061" w:rsidRPr="00305711" w14:paraId="25000879" w14:textId="77777777" w:rsidTr="00282FF2">
        <w:trPr>
          <w:trHeight w:val="285"/>
        </w:trPr>
        <w:tc>
          <w:tcPr>
            <w:tcW w:w="4220" w:type="dxa"/>
            <w:gridSpan w:val="2"/>
            <w:tcBorders>
              <w:top w:val="nil"/>
              <w:left w:val="nil"/>
              <w:bottom w:val="nil"/>
              <w:right w:val="nil"/>
            </w:tcBorders>
            <w:shd w:val="clear" w:color="auto" w:fill="auto"/>
            <w:noWrap/>
            <w:vAlign w:val="bottom"/>
            <w:hideMark/>
          </w:tcPr>
          <w:p w14:paraId="269662EB"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Weighted average shares outstanding:</w:t>
            </w:r>
          </w:p>
        </w:tc>
        <w:tc>
          <w:tcPr>
            <w:tcW w:w="272" w:type="dxa"/>
            <w:tcBorders>
              <w:top w:val="nil"/>
              <w:left w:val="nil"/>
              <w:bottom w:val="nil"/>
              <w:right w:val="nil"/>
            </w:tcBorders>
            <w:shd w:val="clear" w:color="auto" w:fill="auto"/>
            <w:noWrap/>
            <w:vAlign w:val="bottom"/>
            <w:hideMark/>
          </w:tcPr>
          <w:p w14:paraId="725D9E52" w14:textId="77777777" w:rsidR="00702061" w:rsidRPr="00305711" w:rsidRDefault="00702061" w:rsidP="00282FF2">
            <w:pPr>
              <w:spacing w:after="0" w:line="240" w:lineRule="auto"/>
              <w:rPr>
                <w:rFonts w:ascii="Segoe UI" w:eastAsia="Times New Roman" w:hAnsi="Segoe UI" w:cs="Segoe UI"/>
                <w:color w:val="666666"/>
                <w:sz w:val="20"/>
                <w:szCs w:val="20"/>
              </w:rPr>
            </w:pPr>
          </w:p>
        </w:tc>
        <w:tc>
          <w:tcPr>
            <w:tcW w:w="940" w:type="dxa"/>
            <w:tcBorders>
              <w:top w:val="nil"/>
              <w:left w:val="nil"/>
              <w:bottom w:val="nil"/>
              <w:right w:val="nil"/>
            </w:tcBorders>
            <w:shd w:val="clear" w:color="auto" w:fill="auto"/>
            <w:noWrap/>
            <w:vAlign w:val="bottom"/>
            <w:hideMark/>
          </w:tcPr>
          <w:p w14:paraId="0C8F9E89"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C1B33A"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2E05A086"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EBF040"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center"/>
            <w:hideMark/>
          </w:tcPr>
          <w:p w14:paraId="7E6C8A3B" w14:textId="77777777" w:rsidR="00702061" w:rsidRPr="00305711" w:rsidRDefault="00702061" w:rsidP="00282FF2">
            <w:pPr>
              <w:spacing w:after="0" w:line="240" w:lineRule="auto"/>
              <w:jc w:val="right"/>
              <w:rPr>
                <w:rFonts w:ascii="Times New Roman" w:eastAsia="Times New Roman" w:hAnsi="Times New Roman"/>
                <w:sz w:val="20"/>
                <w:szCs w:val="20"/>
              </w:rPr>
            </w:pPr>
          </w:p>
        </w:tc>
      </w:tr>
      <w:tr w:rsidR="00702061" w:rsidRPr="00305711" w14:paraId="5C33BBEE" w14:textId="77777777" w:rsidTr="00282FF2">
        <w:trPr>
          <w:trHeight w:val="285"/>
        </w:trPr>
        <w:tc>
          <w:tcPr>
            <w:tcW w:w="3160" w:type="dxa"/>
            <w:tcBorders>
              <w:top w:val="nil"/>
              <w:left w:val="nil"/>
              <w:bottom w:val="nil"/>
              <w:right w:val="nil"/>
            </w:tcBorders>
            <w:shd w:val="clear" w:color="auto" w:fill="auto"/>
            <w:noWrap/>
            <w:vAlign w:val="bottom"/>
            <w:hideMark/>
          </w:tcPr>
          <w:p w14:paraId="0D51DA5C"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Basic</w:t>
            </w:r>
          </w:p>
        </w:tc>
        <w:tc>
          <w:tcPr>
            <w:tcW w:w="1060" w:type="dxa"/>
            <w:tcBorders>
              <w:top w:val="nil"/>
              <w:left w:val="nil"/>
              <w:bottom w:val="nil"/>
              <w:right w:val="nil"/>
            </w:tcBorders>
            <w:shd w:val="clear" w:color="auto" w:fill="auto"/>
            <w:noWrap/>
            <w:vAlign w:val="bottom"/>
            <w:hideMark/>
          </w:tcPr>
          <w:p w14:paraId="1832AB1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7,842 </w:t>
            </w:r>
          </w:p>
        </w:tc>
        <w:tc>
          <w:tcPr>
            <w:tcW w:w="272" w:type="dxa"/>
            <w:tcBorders>
              <w:top w:val="nil"/>
              <w:left w:val="nil"/>
              <w:bottom w:val="nil"/>
              <w:right w:val="nil"/>
            </w:tcBorders>
            <w:shd w:val="clear" w:color="auto" w:fill="auto"/>
            <w:noWrap/>
            <w:vAlign w:val="bottom"/>
            <w:hideMark/>
          </w:tcPr>
          <w:p w14:paraId="6AD9E5D2"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4529509"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8,061 </w:t>
            </w:r>
          </w:p>
        </w:tc>
        <w:tc>
          <w:tcPr>
            <w:tcW w:w="272" w:type="dxa"/>
            <w:tcBorders>
              <w:top w:val="nil"/>
              <w:left w:val="nil"/>
              <w:bottom w:val="nil"/>
              <w:right w:val="nil"/>
            </w:tcBorders>
            <w:shd w:val="clear" w:color="auto" w:fill="auto"/>
            <w:noWrap/>
            <w:vAlign w:val="bottom"/>
            <w:hideMark/>
          </w:tcPr>
          <w:p w14:paraId="2F2C5BE7"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3CE7A6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7,925 </w:t>
            </w:r>
          </w:p>
        </w:tc>
        <w:tc>
          <w:tcPr>
            <w:tcW w:w="272" w:type="dxa"/>
            <w:tcBorders>
              <w:top w:val="nil"/>
              <w:left w:val="nil"/>
              <w:bottom w:val="nil"/>
              <w:right w:val="nil"/>
            </w:tcBorders>
            <w:shd w:val="clear" w:color="auto" w:fill="auto"/>
            <w:noWrap/>
            <w:vAlign w:val="bottom"/>
            <w:hideMark/>
          </w:tcPr>
          <w:p w14:paraId="333A477D"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5DD5553C"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8,177 </w:t>
            </w:r>
          </w:p>
        </w:tc>
      </w:tr>
      <w:tr w:rsidR="00702061" w:rsidRPr="00305711" w14:paraId="4DA9408D" w14:textId="77777777" w:rsidTr="00282FF2">
        <w:trPr>
          <w:trHeight w:val="285"/>
        </w:trPr>
        <w:tc>
          <w:tcPr>
            <w:tcW w:w="3160" w:type="dxa"/>
            <w:tcBorders>
              <w:top w:val="nil"/>
              <w:left w:val="nil"/>
              <w:bottom w:val="nil"/>
              <w:right w:val="nil"/>
            </w:tcBorders>
            <w:shd w:val="clear" w:color="auto" w:fill="auto"/>
            <w:noWrap/>
            <w:vAlign w:val="bottom"/>
            <w:hideMark/>
          </w:tcPr>
          <w:p w14:paraId="47BD9132"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Diluted</w:t>
            </w:r>
          </w:p>
        </w:tc>
        <w:tc>
          <w:tcPr>
            <w:tcW w:w="1060" w:type="dxa"/>
            <w:tcBorders>
              <w:top w:val="nil"/>
              <w:left w:val="nil"/>
              <w:bottom w:val="nil"/>
              <w:right w:val="nil"/>
            </w:tcBorders>
            <w:shd w:val="clear" w:color="auto" w:fill="auto"/>
            <w:noWrap/>
            <w:vAlign w:val="bottom"/>
            <w:hideMark/>
          </w:tcPr>
          <w:p w14:paraId="4E780F0B"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7,929 </w:t>
            </w:r>
          </w:p>
        </w:tc>
        <w:tc>
          <w:tcPr>
            <w:tcW w:w="272" w:type="dxa"/>
            <w:tcBorders>
              <w:top w:val="nil"/>
              <w:left w:val="nil"/>
              <w:bottom w:val="nil"/>
              <w:right w:val="nil"/>
            </w:tcBorders>
            <w:shd w:val="clear" w:color="auto" w:fill="auto"/>
            <w:noWrap/>
            <w:vAlign w:val="bottom"/>
            <w:hideMark/>
          </w:tcPr>
          <w:p w14:paraId="6EE5F7B4"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075CA503"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8,061 </w:t>
            </w:r>
          </w:p>
        </w:tc>
        <w:tc>
          <w:tcPr>
            <w:tcW w:w="272" w:type="dxa"/>
            <w:tcBorders>
              <w:top w:val="nil"/>
              <w:left w:val="nil"/>
              <w:bottom w:val="nil"/>
              <w:right w:val="nil"/>
            </w:tcBorders>
            <w:shd w:val="clear" w:color="auto" w:fill="auto"/>
            <w:noWrap/>
            <w:vAlign w:val="bottom"/>
            <w:hideMark/>
          </w:tcPr>
          <w:p w14:paraId="083317DE"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B2766D5"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8,013 </w:t>
            </w:r>
          </w:p>
        </w:tc>
        <w:tc>
          <w:tcPr>
            <w:tcW w:w="272" w:type="dxa"/>
            <w:tcBorders>
              <w:top w:val="nil"/>
              <w:left w:val="nil"/>
              <w:bottom w:val="nil"/>
              <w:right w:val="nil"/>
            </w:tcBorders>
            <w:shd w:val="clear" w:color="auto" w:fill="auto"/>
            <w:noWrap/>
            <w:vAlign w:val="bottom"/>
            <w:hideMark/>
          </w:tcPr>
          <w:p w14:paraId="21A0C249"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2F4A3A3F"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8,254 </w:t>
            </w:r>
          </w:p>
        </w:tc>
      </w:tr>
      <w:tr w:rsidR="00702061" w:rsidRPr="00305711" w14:paraId="472D2CA0" w14:textId="77777777" w:rsidTr="00282FF2">
        <w:trPr>
          <w:trHeight w:val="570"/>
        </w:trPr>
        <w:tc>
          <w:tcPr>
            <w:tcW w:w="3160" w:type="dxa"/>
            <w:tcBorders>
              <w:top w:val="nil"/>
              <w:left w:val="nil"/>
              <w:bottom w:val="single" w:sz="4" w:space="0" w:color="auto"/>
              <w:right w:val="nil"/>
            </w:tcBorders>
            <w:shd w:val="clear" w:color="auto" w:fill="auto"/>
            <w:vAlign w:val="bottom"/>
            <w:hideMark/>
          </w:tcPr>
          <w:p w14:paraId="711E4DDE" w14:textId="77777777" w:rsidR="00702061" w:rsidRPr="00305711" w:rsidRDefault="00702061" w:rsidP="00282FF2">
            <w:pPr>
              <w:spacing w:after="0" w:line="240" w:lineRule="auto"/>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Cash dividends declared per</w:t>
            </w:r>
            <w:r w:rsidRPr="00305711">
              <w:rPr>
                <w:rFonts w:ascii="Segoe UI" w:eastAsia="Times New Roman" w:hAnsi="Segoe UI" w:cs="Segoe UI"/>
                <w:color w:val="666666"/>
                <w:sz w:val="20"/>
                <w:szCs w:val="20"/>
              </w:rPr>
              <w:br/>
              <w:t xml:space="preserve">   common share</w:t>
            </w:r>
          </w:p>
        </w:tc>
        <w:tc>
          <w:tcPr>
            <w:tcW w:w="1060" w:type="dxa"/>
            <w:tcBorders>
              <w:top w:val="nil"/>
              <w:left w:val="nil"/>
              <w:bottom w:val="single" w:sz="4" w:space="0" w:color="auto"/>
              <w:right w:val="nil"/>
            </w:tcBorders>
            <w:shd w:val="clear" w:color="auto" w:fill="auto"/>
            <w:noWrap/>
            <w:vAlign w:val="bottom"/>
            <w:hideMark/>
          </w:tcPr>
          <w:p w14:paraId="329E2606"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$0.36 </w:t>
            </w:r>
          </w:p>
        </w:tc>
        <w:tc>
          <w:tcPr>
            <w:tcW w:w="272" w:type="dxa"/>
            <w:tcBorders>
              <w:top w:val="nil"/>
              <w:left w:val="nil"/>
              <w:bottom w:val="single" w:sz="4" w:space="0" w:color="auto"/>
              <w:right w:val="nil"/>
            </w:tcBorders>
            <w:shd w:val="clear" w:color="auto" w:fill="auto"/>
            <w:noWrap/>
            <w:vAlign w:val="bottom"/>
            <w:hideMark/>
          </w:tcPr>
          <w:p w14:paraId="78258F11"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53EE65AD"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$0.31 </w:t>
            </w:r>
          </w:p>
        </w:tc>
        <w:tc>
          <w:tcPr>
            <w:tcW w:w="272" w:type="dxa"/>
            <w:tcBorders>
              <w:top w:val="nil"/>
              <w:left w:val="nil"/>
              <w:bottom w:val="single" w:sz="4" w:space="0" w:color="auto"/>
              <w:right w:val="nil"/>
            </w:tcBorders>
            <w:shd w:val="clear" w:color="auto" w:fill="auto"/>
            <w:noWrap/>
            <w:vAlign w:val="bottom"/>
            <w:hideMark/>
          </w:tcPr>
          <w:p w14:paraId="7BBF8A44"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E284C8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xml:space="preserve"> $1.44 </w:t>
            </w:r>
          </w:p>
        </w:tc>
        <w:tc>
          <w:tcPr>
            <w:tcW w:w="272" w:type="dxa"/>
            <w:tcBorders>
              <w:top w:val="nil"/>
              <w:left w:val="nil"/>
              <w:bottom w:val="single" w:sz="4" w:space="0" w:color="auto"/>
              <w:right w:val="nil"/>
            </w:tcBorders>
            <w:shd w:val="clear" w:color="auto" w:fill="auto"/>
            <w:noWrap/>
            <w:vAlign w:val="bottom"/>
            <w:hideMark/>
          </w:tcPr>
          <w:p w14:paraId="6B0D0B18" w14:textId="77777777" w:rsidR="00702061" w:rsidRPr="00305711" w:rsidRDefault="00702061" w:rsidP="00282FF2">
            <w:pPr>
              <w:spacing w:after="0" w:line="240" w:lineRule="auto"/>
              <w:jc w:val="right"/>
              <w:rPr>
                <w:rFonts w:ascii="Segoe UI" w:eastAsia="Times New Roman" w:hAnsi="Segoe UI" w:cs="Segoe UI"/>
                <w:b/>
                <w:bCs/>
                <w:color w:val="666666"/>
                <w:sz w:val="20"/>
                <w:szCs w:val="20"/>
              </w:rPr>
            </w:pPr>
            <w:r w:rsidRPr="003057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6E6F8423"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r w:rsidRPr="00305711">
              <w:rPr>
                <w:rFonts w:ascii="Segoe UI" w:eastAsia="Times New Roman" w:hAnsi="Segoe UI" w:cs="Segoe UI"/>
                <w:color w:val="666666"/>
                <w:sz w:val="20"/>
                <w:szCs w:val="20"/>
              </w:rPr>
              <w:t xml:space="preserve"> $1.24 </w:t>
            </w:r>
          </w:p>
        </w:tc>
      </w:tr>
      <w:tr w:rsidR="00702061" w:rsidRPr="00305711" w14:paraId="03AF3416" w14:textId="77777777" w:rsidTr="00282FF2">
        <w:trPr>
          <w:trHeight w:val="575"/>
        </w:trPr>
        <w:tc>
          <w:tcPr>
            <w:tcW w:w="3160" w:type="dxa"/>
            <w:tcBorders>
              <w:top w:val="nil"/>
              <w:left w:val="nil"/>
              <w:bottom w:val="nil"/>
              <w:right w:val="nil"/>
            </w:tcBorders>
            <w:shd w:val="clear" w:color="auto" w:fill="auto"/>
            <w:noWrap/>
            <w:vAlign w:val="bottom"/>
            <w:hideMark/>
          </w:tcPr>
          <w:p w14:paraId="2B15BDFC" w14:textId="77777777" w:rsidR="00702061" w:rsidRPr="00305711" w:rsidRDefault="00702061" w:rsidP="00282FF2">
            <w:pPr>
              <w:spacing w:after="0" w:line="240" w:lineRule="auto"/>
              <w:jc w:val="right"/>
              <w:rPr>
                <w:rFonts w:ascii="Segoe UI" w:eastAsia="Times New Roman" w:hAnsi="Segoe UI" w:cs="Segoe UI"/>
                <w:color w:val="666666"/>
                <w:sz w:val="20"/>
                <w:szCs w:val="20"/>
              </w:rPr>
            </w:pPr>
          </w:p>
        </w:tc>
        <w:tc>
          <w:tcPr>
            <w:tcW w:w="1060" w:type="dxa"/>
            <w:tcBorders>
              <w:top w:val="nil"/>
              <w:left w:val="nil"/>
              <w:bottom w:val="nil"/>
              <w:right w:val="nil"/>
            </w:tcBorders>
            <w:shd w:val="clear" w:color="auto" w:fill="auto"/>
            <w:noWrap/>
            <w:vAlign w:val="bottom"/>
            <w:hideMark/>
          </w:tcPr>
          <w:p w14:paraId="7C262770"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EC3EB0C"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1D1D12D6"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F686FA9"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4909104" w14:textId="77777777" w:rsidR="00702061" w:rsidRPr="00305711"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9183294" w14:textId="77777777" w:rsidR="00702061" w:rsidRPr="00305711"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0590F5D" w14:textId="77777777" w:rsidR="00702061" w:rsidRPr="00305711" w:rsidRDefault="00702061" w:rsidP="00282FF2">
            <w:pPr>
              <w:spacing w:after="0" w:line="240" w:lineRule="auto"/>
              <w:rPr>
                <w:rFonts w:ascii="Times New Roman" w:eastAsia="Times New Roman" w:hAnsi="Times New Roman"/>
                <w:sz w:val="20"/>
                <w:szCs w:val="20"/>
              </w:rPr>
            </w:pPr>
          </w:p>
        </w:tc>
      </w:tr>
      <w:tr w:rsidR="00702061" w:rsidRPr="00305711" w14:paraId="5A321EF6" w14:textId="77777777" w:rsidTr="00282FF2">
        <w:trPr>
          <w:trHeight w:val="2070"/>
        </w:trPr>
        <w:tc>
          <w:tcPr>
            <w:tcW w:w="8096" w:type="dxa"/>
            <w:gridSpan w:val="8"/>
            <w:tcBorders>
              <w:top w:val="nil"/>
              <w:left w:val="nil"/>
              <w:bottom w:val="nil"/>
              <w:right w:val="nil"/>
            </w:tcBorders>
            <w:shd w:val="clear" w:color="auto" w:fill="auto"/>
            <w:hideMark/>
          </w:tcPr>
          <w:p w14:paraId="736DE68A" w14:textId="77777777" w:rsidR="00702061" w:rsidRPr="00305711" w:rsidRDefault="00702061" w:rsidP="00282FF2">
            <w:pPr>
              <w:spacing w:after="0" w:line="240" w:lineRule="auto"/>
              <w:jc w:val="both"/>
              <w:rPr>
                <w:rFonts w:ascii="Segoe UI" w:eastAsia="Times New Roman" w:hAnsi="Segoe UI" w:cs="Segoe UI"/>
                <w:color w:val="666666"/>
                <w:sz w:val="16"/>
                <w:szCs w:val="16"/>
              </w:rPr>
            </w:pPr>
            <w:r w:rsidRPr="00305711">
              <w:rPr>
                <w:rFonts w:ascii="Segoe UI" w:eastAsia="Times New Roman" w:hAnsi="Segoe UI" w:cs="Segoe UI"/>
                <w:b/>
                <w:bCs/>
                <w:color w:val="666666"/>
                <w:sz w:val="16"/>
                <w:szCs w:val="16"/>
              </w:rPr>
              <w:t xml:space="preserve">Note: </w:t>
            </w:r>
            <w:r w:rsidRPr="00305711">
              <w:rPr>
                <w:rFonts w:ascii="Segoe UI" w:eastAsia="Times New Roman" w:hAnsi="Segoe UI" w:cs="Segoe UI"/>
                <w:color w:val="666666"/>
                <w:sz w:val="16"/>
                <w:szCs w:val="16"/>
              </w:rPr>
              <w:t xml:space="preserve">Service revenue exceeded 10% of total revenue for the first time in fiscal year 2016. As a result, we have separately disclosed product revenue from service and other revenue in our consolidated income statements. </w:t>
            </w:r>
            <w:r w:rsidRPr="00305711">
              <w:rPr>
                <w:rFonts w:ascii="Segoe UI" w:eastAsia="Times New Roman" w:hAnsi="Segoe UI" w:cs="Segoe UI"/>
                <w:color w:val="666666"/>
                <w:sz w:val="16"/>
                <w:szCs w:val="16"/>
              </w:rPr>
              <w:br/>
            </w:r>
            <w:r w:rsidRPr="00305711">
              <w:rPr>
                <w:rFonts w:ascii="Segoe UI" w:eastAsia="Times New Roman" w:hAnsi="Segoe UI" w:cs="Segoe UI"/>
                <w:color w:val="666666"/>
                <w:sz w:val="16"/>
                <w:szCs w:val="16"/>
              </w:rPr>
              <w:b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and other intelligent devices and related accessories; training and certification of computer system integrators and developers.  </w:t>
            </w:r>
            <w:r w:rsidRPr="00305711">
              <w:rPr>
                <w:rFonts w:ascii="Segoe UI" w:eastAsia="Times New Roman" w:hAnsi="Segoe UI" w:cs="Segoe UI"/>
                <w:color w:val="666666"/>
                <w:sz w:val="16"/>
                <w:szCs w:val="16"/>
              </w:rPr>
              <w:br/>
            </w:r>
            <w:r w:rsidRPr="00305711">
              <w:rPr>
                <w:rFonts w:ascii="Segoe UI" w:eastAsia="Times New Roman" w:hAnsi="Segoe UI" w:cs="Segoe UI"/>
                <w:color w:val="666666"/>
                <w:sz w:val="16"/>
                <w:szCs w:val="16"/>
              </w:rPr>
              <w:br/>
              <w:t>Service and other revenue includes sales from cloud-based solutions that provide customers with software, services, platforms, and content such as Office 365, Azure, Dynamics CRM Online, and Xbox Live; solution support; and consulting services. Service and other revenue also includes sales from online advertising.</w:t>
            </w:r>
          </w:p>
        </w:tc>
      </w:tr>
    </w:tbl>
    <w:p w14:paraId="4FDAB3AF" w14:textId="77777777" w:rsidR="00702061" w:rsidRDefault="00702061" w:rsidP="00702061">
      <w:r>
        <w:br w:type="page"/>
      </w:r>
    </w:p>
    <w:tbl>
      <w:tblPr>
        <w:tblW w:w="8096" w:type="dxa"/>
        <w:tblInd w:w="-15" w:type="dxa"/>
        <w:tblLook w:val="04A0" w:firstRow="1" w:lastRow="0" w:firstColumn="1" w:lastColumn="0" w:noHBand="0" w:noVBand="1"/>
      </w:tblPr>
      <w:tblGrid>
        <w:gridCol w:w="3160"/>
        <w:gridCol w:w="1060"/>
        <w:gridCol w:w="272"/>
        <w:gridCol w:w="940"/>
        <w:gridCol w:w="272"/>
        <w:gridCol w:w="1180"/>
        <w:gridCol w:w="272"/>
        <w:gridCol w:w="940"/>
      </w:tblGrid>
      <w:tr w:rsidR="00702061" w:rsidRPr="000745C5" w14:paraId="63159811" w14:textId="77777777" w:rsidTr="00282FF2">
        <w:trPr>
          <w:trHeight w:val="285"/>
        </w:trPr>
        <w:tc>
          <w:tcPr>
            <w:tcW w:w="3160" w:type="dxa"/>
            <w:tcBorders>
              <w:top w:val="nil"/>
              <w:left w:val="nil"/>
              <w:bottom w:val="nil"/>
              <w:right w:val="nil"/>
            </w:tcBorders>
            <w:shd w:val="clear" w:color="auto" w:fill="auto"/>
            <w:noWrap/>
            <w:vAlign w:val="bottom"/>
            <w:hideMark/>
          </w:tcPr>
          <w:p w14:paraId="142C2522" w14:textId="77777777" w:rsidR="00702061" w:rsidRPr="000745C5" w:rsidRDefault="00702061" w:rsidP="00282FF2">
            <w:pPr>
              <w:spacing w:after="0" w:line="240" w:lineRule="auto"/>
              <w:rPr>
                <w:rFonts w:ascii="Segoe UI" w:eastAsia="Times New Roman" w:hAnsi="Segoe UI" w:cs="Segoe UI"/>
                <w:b/>
                <w:bCs/>
                <w:color w:val="666666"/>
                <w:sz w:val="20"/>
                <w:szCs w:val="20"/>
              </w:rPr>
            </w:pPr>
            <w:r>
              <w:br w:type="page"/>
            </w:r>
            <w:r w:rsidRPr="000745C5">
              <w:rPr>
                <w:rFonts w:ascii="Segoe UI" w:eastAsia="Times New Roman" w:hAnsi="Segoe UI" w:cs="Segoe UI"/>
                <w:b/>
                <w:bCs/>
                <w:color w:val="666666"/>
                <w:sz w:val="20"/>
                <w:szCs w:val="20"/>
              </w:rPr>
              <w:t>MICROSOFT CORPORATION</w:t>
            </w:r>
          </w:p>
        </w:tc>
        <w:tc>
          <w:tcPr>
            <w:tcW w:w="1060" w:type="dxa"/>
            <w:tcBorders>
              <w:top w:val="nil"/>
              <w:left w:val="nil"/>
              <w:bottom w:val="nil"/>
              <w:right w:val="nil"/>
            </w:tcBorders>
            <w:shd w:val="clear" w:color="auto" w:fill="auto"/>
            <w:noWrap/>
            <w:vAlign w:val="bottom"/>
            <w:hideMark/>
          </w:tcPr>
          <w:p w14:paraId="7C9933AF"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C60B278"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4AB5CAB" w14:textId="77777777" w:rsidR="00702061" w:rsidRPr="000745C5"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D0ED300"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CC1A0C2" w14:textId="77777777" w:rsidR="00702061" w:rsidRPr="000745C5"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4112C2"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A7985FA"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4BC75F58" w14:textId="77777777" w:rsidTr="00282FF2">
        <w:trPr>
          <w:trHeight w:val="285"/>
        </w:trPr>
        <w:tc>
          <w:tcPr>
            <w:tcW w:w="3160" w:type="dxa"/>
            <w:tcBorders>
              <w:top w:val="nil"/>
              <w:left w:val="nil"/>
              <w:bottom w:val="nil"/>
              <w:right w:val="nil"/>
            </w:tcBorders>
            <w:shd w:val="clear" w:color="auto" w:fill="auto"/>
            <w:noWrap/>
            <w:vAlign w:val="bottom"/>
            <w:hideMark/>
          </w:tcPr>
          <w:p w14:paraId="4E77B29F"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060" w:type="dxa"/>
            <w:tcBorders>
              <w:top w:val="nil"/>
              <w:left w:val="nil"/>
              <w:bottom w:val="nil"/>
              <w:right w:val="nil"/>
            </w:tcBorders>
            <w:shd w:val="clear" w:color="auto" w:fill="auto"/>
            <w:noWrap/>
            <w:vAlign w:val="bottom"/>
            <w:hideMark/>
          </w:tcPr>
          <w:p w14:paraId="610C4D8F" w14:textId="77777777" w:rsidR="00702061" w:rsidRPr="000745C5"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00851F3"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A3C9970" w14:textId="77777777" w:rsidR="00702061" w:rsidRPr="000745C5"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1D74671"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AB60DFC" w14:textId="77777777" w:rsidR="00702061" w:rsidRPr="000745C5"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543211E"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7B5A2196"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613F42E8" w14:textId="77777777" w:rsidTr="00282FF2">
        <w:trPr>
          <w:trHeight w:val="285"/>
        </w:trPr>
        <w:tc>
          <w:tcPr>
            <w:tcW w:w="8096" w:type="dxa"/>
            <w:gridSpan w:val="8"/>
            <w:tcBorders>
              <w:top w:val="nil"/>
              <w:left w:val="nil"/>
              <w:bottom w:val="nil"/>
              <w:right w:val="nil"/>
            </w:tcBorders>
            <w:shd w:val="clear" w:color="auto" w:fill="auto"/>
            <w:noWrap/>
            <w:vAlign w:val="bottom"/>
            <w:hideMark/>
          </w:tcPr>
          <w:p w14:paraId="3AA18384"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COMPREHENSIVE INCOME STATEMENTS</w:t>
            </w:r>
          </w:p>
        </w:tc>
      </w:tr>
      <w:tr w:rsidR="00702061" w:rsidRPr="000745C5" w14:paraId="5AFCDA80" w14:textId="77777777" w:rsidTr="00282FF2">
        <w:trPr>
          <w:trHeight w:val="285"/>
        </w:trPr>
        <w:tc>
          <w:tcPr>
            <w:tcW w:w="8096" w:type="dxa"/>
            <w:gridSpan w:val="8"/>
            <w:tcBorders>
              <w:top w:val="nil"/>
              <w:left w:val="nil"/>
              <w:bottom w:val="nil"/>
              <w:right w:val="nil"/>
            </w:tcBorders>
            <w:shd w:val="clear" w:color="auto" w:fill="auto"/>
            <w:noWrap/>
            <w:vAlign w:val="bottom"/>
            <w:hideMark/>
          </w:tcPr>
          <w:p w14:paraId="52F6A3F5"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(In millions)(Unaudited)</w:t>
            </w:r>
          </w:p>
        </w:tc>
      </w:tr>
      <w:tr w:rsidR="00702061" w:rsidRPr="000745C5" w14:paraId="6BAC4E6D" w14:textId="77777777" w:rsidTr="00282FF2">
        <w:trPr>
          <w:trHeight w:val="285"/>
        </w:trPr>
        <w:tc>
          <w:tcPr>
            <w:tcW w:w="3160" w:type="dxa"/>
            <w:tcBorders>
              <w:top w:val="nil"/>
              <w:left w:val="nil"/>
              <w:bottom w:val="nil"/>
              <w:right w:val="nil"/>
            </w:tcBorders>
            <w:shd w:val="clear" w:color="auto" w:fill="auto"/>
            <w:noWrap/>
            <w:vAlign w:val="bottom"/>
            <w:hideMark/>
          </w:tcPr>
          <w:p w14:paraId="31573AF1"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p>
        </w:tc>
        <w:tc>
          <w:tcPr>
            <w:tcW w:w="1060" w:type="dxa"/>
            <w:tcBorders>
              <w:top w:val="nil"/>
              <w:left w:val="nil"/>
              <w:bottom w:val="nil"/>
              <w:right w:val="nil"/>
            </w:tcBorders>
            <w:shd w:val="clear" w:color="auto" w:fill="auto"/>
            <w:noWrap/>
            <w:vAlign w:val="bottom"/>
            <w:hideMark/>
          </w:tcPr>
          <w:p w14:paraId="7A7CEC3D"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57FE54F"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368CD8FF"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46D8B8C"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98F5CB2"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E3BC2E"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4AB70E4C" w14:textId="77777777" w:rsidR="00702061" w:rsidRPr="000745C5" w:rsidRDefault="00702061" w:rsidP="00282FF2">
            <w:pPr>
              <w:spacing w:after="0" w:line="240" w:lineRule="auto"/>
              <w:jc w:val="center"/>
              <w:rPr>
                <w:rFonts w:ascii="Times New Roman" w:eastAsia="Times New Roman" w:hAnsi="Times New Roman"/>
                <w:sz w:val="20"/>
                <w:szCs w:val="20"/>
              </w:rPr>
            </w:pPr>
          </w:p>
        </w:tc>
      </w:tr>
      <w:tr w:rsidR="00702061" w:rsidRPr="000745C5" w14:paraId="14E077F2" w14:textId="77777777" w:rsidTr="00282FF2">
        <w:trPr>
          <w:trHeight w:val="285"/>
        </w:trPr>
        <w:tc>
          <w:tcPr>
            <w:tcW w:w="3160" w:type="dxa"/>
            <w:tcBorders>
              <w:top w:val="nil"/>
              <w:left w:val="nil"/>
              <w:bottom w:val="nil"/>
              <w:right w:val="nil"/>
            </w:tcBorders>
            <w:shd w:val="clear" w:color="auto" w:fill="auto"/>
            <w:noWrap/>
            <w:vAlign w:val="bottom"/>
            <w:hideMark/>
          </w:tcPr>
          <w:p w14:paraId="4C499D1D"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2272" w:type="dxa"/>
            <w:gridSpan w:val="3"/>
            <w:vMerge w:val="restart"/>
            <w:tcBorders>
              <w:top w:val="nil"/>
              <w:left w:val="nil"/>
              <w:bottom w:val="nil"/>
              <w:right w:val="nil"/>
            </w:tcBorders>
            <w:shd w:val="clear" w:color="auto" w:fill="auto"/>
            <w:vAlign w:val="bottom"/>
            <w:hideMark/>
          </w:tcPr>
          <w:p w14:paraId="3F1D429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608F972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2392" w:type="dxa"/>
            <w:gridSpan w:val="3"/>
            <w:vMerge w:val="restart"/>
            <w:tcBorders>
              <w:top w:val="nil"/>
              <w:left w:val="nil"/>
              <w:bottom w:val="nil"/>
              <w:right w:val="nil"/>
            </w:tcBorders>
            <w:shd w:val="clear" w:color="auto" w:fill="auto"/>
            <w:vAlign w:val="bottom"/>
            <w:hideMark/>
          </w:tcPr>
          <w:p w14:paraId="7FA5C0C0"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Twelve Months Ended June 30,</w:t>
            </w:r>
          </w:p>
        </w:tc>
      </w:tr>
      <w:tr w:rsidR="00702061" w:rsidRPr="000745C5" w14:paraId="342EC0B0" w14:textId="77777777" w:rsidTr="00282FF2">
        <w:trPr>
          <w:trHeight w:val="285"/>
        </w:trPr>
        <w:tc>
          <w:tcPr>
            <w:tcW w:w="3160" w:type="dxa"/>
            <w:tcBorders>
              <w:top w:val="nil"/>
              <w:left w:val="nil"/>
              <w:bottom w:val="nil"/>
              <w:right w:val="nil"/>
            </w:tcBorders>
            <w:shd w:val="clear" w:color="auto" w:fill="auto"/>
            <w:noWrap/>
            <w:vAlign w:val="bottom"/>
            <w:hideMark/>
          </w:tcPr>
          <w:p w14:paraId="02662B80"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2272" w:type="dxa"/>
            <w:gridSpan w:val="3"/>
            <w:vMerge/>
            <w:tcBorders>
              <w:top w:val="nil"/>
              <w:left w:val="nil"/>
              <w:bottom w:val="nil"/>
              <w:right w:val="nil"/>
            </w:tcBorders>
            <w:vAlign w:val="center"/>
            <w:hideMark/>
          </w:tcPr>
          <w:p w14:paraId="249F83E6"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1693E374" w14:textId="77777777" w:rsidR="00702061" w:rsidRPr="000745C5" w:rsidRDefault="00702061" w:rsidP="00282FF2">
            <w:pPr>
              <w:spacing w:after="0" w:line="240" w:lineRule="auto"/>
              <w:rPr>
                <w:rFonts w:ascii="Times New Roman" w:eastAsia="Times New Roman" w:hAnsi="Times New Roman"/>
                <w:sz w:val="20"/>
                <w:szCs w:val="20"/>
              </w:rPr>
            </w:pPr>
          </w:p>
        </w:tc>
        <w:tc>
          <w:tcPr>
            <w:tcW w:w="2392" w:type="dxa"/>
            <w:gridSpan w:val="3"/>
            <w:vMerge/>
            <w:tcBorders>
              <w:top w:val="nil"/>
              <w:left w:val="nil"/>
              <w:bottom w:val="nil"/>
              <w:right w:val="nil"/>
            </w:tcBorders>
            <w:vAlign w:val="center"/>
            <w:hideMark/>
          </w:tcPr>
          <w:p w14:paraId="42899BE7"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r>
      <w:tr w:rsidR="00702061" w:rsidRPr="000745C5" w14:paraId="3889FB3D" w14:textId="77777777" w:rsidTr="00282FF2">
        <w:trPr>
          <w:trHeight w:val="285"/>
        </w:trPr>
        <w:tc>
          <w:tcPr>
            <w:tcW w:w="3160" w:type="dxa"/>
            <w:tcBorders>
              <w:top w:val="nil"/>
              <w:left w:val="nil"/>
              <w:bottom w:val="single" w:sz="4" w:space="0" w:color="auto"/>
              <w:right w:val="nil"/>
            </w:tcBorders>
            <w:shd w:val="clear" w:color="auto" w:fill="auto"/>
            <w:noWrap/>
            <w:vAlign w:val="bottom"/>
            <w:hideMark/>
          </w:tcPr>
          <w:p w14:paraId="00A2FCA1" w14:textId="77777777" w:rsidR="00702061" w:rsidRPr="000745C5" w:rsidRDefault="00702061" w:rsidP="00282FF2">
            <w:pPr>
              <w:spacing w:after="0" w:line="240" w:lineRule="auto"/>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1060" w:type="dxa"/>
            <w:tcBorders>
              <w:top w:val="nil"/>
              <w:left w:val="nil"/>
              <w:bottom w:val="single" w:sz="4" w:space="0" w:color="auto"/>
              <w:right w:val="nil"/>
            </w:tcBorders>
            <w:shd w:val="clear" w:color="auto" w:fill="auto"/>
            <w:noWrap/>
            <w:vAlign w:val="bottom"/>
            <w:hideMark/>
          </w:tcPr>
          <w:p w14:paraId="07C2540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2016</w:t>
            </w:r>
          </w:p>
        </w:tc>
        <w:tc>
          <w:tcPr>
            <w:tcW w:w="272" w:type="dxa"/>
            <w:tcBorders>
              <w:top w:val="nil"/>
              <w:left w:val="nil"/>
              <w:bottom w:val="single" w:sz="4" w:space="0" w:color="auto"/>
              <w:right w:val="nil"/>
            </w:tcBorders>
            <w:shd w:val="clear" w:color="auto" w:fill="auto"/>
            <w:noWrap/>
            <w:vAlign w:val="bottom"/>
            <w:hideMark/>
          </w:tcPr>
          <w:p w14:paraId="451F4CF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5CD887B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2015</w:t>
            </w:r>
          </w:p>
        </w:tc>
        <w:tc>
          <w:tcPr>
            <w:tcW w:w="272" w:type="dxa"/>
            <w:tcBorders>
              <w:top w:val="nil"/>
              <w:left w:val="nil"/>
              <w:bottom w:val="single" w:sz="4" w:space="0" w:color="auto"/>
              <w:right w:val="nil"/>
            </w:tcBorders>
            <w:shd w:val="clear" w:color="auto" w:fill="auto"/>
            <w:noWrap/>
            <w:vAlign w:val="bottom"/>
            <w:hideMark/>
          </w:tcPr>
          <w:p w14:paraId="79DA7F4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E5252F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2016</w:t>
            </w:r>
          </w:p>
        </w:tc>
        <w:tc>
          <w:tcPr>
            <w:tcW w:w="272" w:type="dxa"/>
            <w:tcBorders>
              <w:top w:val="nil"/>
              <w:left w:val="nil"/>
              <w:bottom w:val="single" w:sz="4" w:space="0" w:color="auto"/>
              <w:right w:val="nil"/>
            </w:tcBorders>
            <w:shd w:val="clear" w:color="auto" w:fill="auto"/>
            <w:noWrap/>
            <w:vAlign w:val="bottom"/>
            <w:hideMark/>
          </w:tcPr>
          <w:p w14:paraId="474584CD"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auto" w:fill="auto"/>
            <w:noWrap/>
            <w:vAlign w:val="bottom"/>
            <w:hideMark/>
          </w:tcPr>
          <w:p w14:paraId="510499B8"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2015</w:t>
            </w:r>
          </w:p>
        </w:tc>
      </w:tr>
      <w:tr w:rsidR="00702061" w:rsidRPr="000745C5" w14:paraId="7B6F5E3D" w14:textId="77777777" w:rsidTr="00282FF2">
        <w:trPr>
          <w:trHeight w:val="285"/>
        </w:trPr>
        <w:tc>
          <w:tcPr>
            <w:tcW w:w="3160" w:type="dxa"/>
            <w:tcBorders>
              <w:top w:val="nil"/>
              <w:left w:val="nil"/>
              <w:bottom w:val="nil"/>
              <w:right w:val="nil"/>
            </w:tcBorders>
            <w:shd w:val="clear" w:color="auto" w:fill="auto"/>
            <w:noWrap/>
            <w:vAlign w:val="bottom"/>
            <w:hideMark/>
          </w:tcPr>
          <w:p w14:paraId="2078335F"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Net income (loss)</w:t>
            </w:r>
          </w:p>
        </w:tc>
        <w:tc>
          <w:tcPr>
            <w:tcW w:w="1060" w:type="dxa"/>
            <w:tcBorders>
              <w:top w:val="nil"/>
              <w:left w:val="nil"/>
              <w:bottom w:val="single" w:sz="4" w:space="0" w:color="auto"/>
              <w:right w:val="nil"/>
            </w:tcBorders>
            <w:shd w:val="clear" w:color="auto" w:fill="auto"/>
            <w:noWrap/>
            <w:vAlign w:val="bottom"/>
            <w:hideMark/>
          </w:tcPr>
          <w:p w14:paraId="3E577FA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$3,122 </w:t>
            </w:r>
          </w:p>
        </w:tc>
        <w:tc>
          <w:tcPr>
            <w:tcW w:w="272" w:type="dxa"/>
            <w:tcBorders>
              <w:top w:val="nil"/>
              <w:left w:val="nil"/>
              <w:bottom w:val="nil"/>
              <w:right w:val="nil"/>
            </w:tcBorders>
            <w:shd w:val="clear" w:color="auto" w:fill="auto"/>
            <w:noWrap/>
            <w:vAlign w:val="bottom"/>
            <w:hideMark/>
          </w:tcPr>
          <w:p w14:paraId="3DCA0A95"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B04BDD7"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$(3,195)</w:t>
            </w:r>
          </w:p>
        </w:tc>
        <w:tc>
          <w:tcPr>
            <w:tcW w:w="272" w:type="dxa"/>
            <w:tcBorders>
              <w:top w:val="nil"/>
              <w:left w:val="nil"/>
              <w:bottom w:val="nil"/>
              <w:right w:val="nil"/>
            </w:tcBorders>
            <w:shd w:val="clear" w:color="auto" w:fill="auto"/>
            <w:noWrap/>
            <w:vAlign w:val="bottom"/>
            <w:hideMark/>
          </w:tcPr>
          <w:p w14:paraId="4FF38E10"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4D9DD50D"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$16,798 </w:t>
            </w:r>
          </w:p>
        </w:tc>
        <w:tc>
          <w:tcPr>
            <w:tcW w:w="272" w:type="dxa"/>
            <w:tcBorders>
              <w:top w:val="nil"/>
              <w:left w:val="nil"/>
              <w:bottom w:val="nil"/>
              <w:right w:val="nil"/>
            </w:tcBorders>
            <w:shd w:val="clear" w:color="auto" w:fill="auto"/>
            <w:noWrap/>
            <w:vAlign w:val="bottom"/>
            <w:hideMark/>
          </w:tcPr>
          <w:p w14:paraId="3B033A60"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05E348E0"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$12,193 </w:t>
            </w:r>
          </w:p>
        </w:tc>
      </w:tr>
      <w:tr w:rsidR="00702061" w:rsidRPr="000745C5" w14:paraId="0C18F962" w14:textId="77777777" w:rsidTr="00282FF2">
        <w:trPr>
          <w:trHeight w:val="285"/>
        </w:trPr>
        <w:tc>
          <w:tcPr>
            <w:tcW w:w="4220" w:type="dxa"/>
            <w:gridSpan w:val="2"/>
            <w:tcBorders>
              <w:top w:val="nil"/>
              <w:left w:val="nil"/>
              <w:bottom w:val="nil"/>
              <w:right w:val="nil"/>
            </w:tcBorders>
            <w:shd w:val="clear" w:color="auto" w:fill="auto"/>
            <w:noWrap/>
            <w:vAlign w:val="bottom"/>
            <w:hideMark/>
          </w:tcPr>
          <w:p w14:paraId="7A7F321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Other comprehensive income (loss):</w:t>
            </w:r>
          </w:p>
        </w:tc>
        <w:tc>
          <w:tcPr>
            <w:tcW w:w="272" w:type="dxa"/>
            <w:tcBorders>
              <w:top w:val="nil"/>
              <w:left w:val="nil"/>
              <w:bottom w:val="nil"/>
              <w:right w:val="nil"/>
            </w:tcBorders>
            <w:shd w:val="clear" w:color="auto" w:fill="auto"/>
            <w:noWrap/>
            <w:vAlign w:val="bottom"/>
            <w:hideMark/>
          </w:tcPr>
          <w:p w14:paraId="7CB14D6E" w14:textId="77777777" w:rsidR="00702061" w:rsidRPr="000745C5" w:rsidRDefault="00702061" w:rsidP="00282FF2">
            <w:pPr>
              <w:spacing w:after="0" w:line="240" w:lineRule="auto"/>
              <w:rPr>
                <w:rFonts w:ascii="Segoe UI" w:eastAsia="Times New Roman" w:hAnsi="Segoe UI" w:cs="Segoe UI"/>
                <w:color w:val="666666"/>
                <w:sz w:val="20"/>
                <w:szCs w:val="20"/>
              </w:rPr>
            </w:pPr>
          </w:p>
        </w:tc>
        <w:tc>
          <w:tcPr>
            <w:tcW w:w="940" w:type="dxa"/>
            <w:tcBorders>
              <w:top w:val="nil"/>
              <w:left w:val="nil"/>
              <w:bottom w:val="nil"/>
              <w:right w:val="nil"/>
            </w:tcBorders>
            <w:shd w:val="clear" w:color="auto" w:fill="auto"/>
            <w:noWrap/>
            <w:vAlign w:val="bottom"/>
            <w:hideMark/>
          </w:tcPr>
          <w:p w14:paraId="38F47444"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51D1F8F"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9507609"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ECCFCE1"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940" w:type="dxa"/>
            <w:tcBorders>
              <w:top w:val="nil"/>
              <w:left w:val="nil"/>
              <w:bottom w:val="nil"/>
              <w:right w:val="nil"/>
            </w:tcBorders>
            <w:shd w:val="clear" w:color="auto" w:fill="auto"/>
            <w:noWrap/>
            <w:vAlign w:val="bottom"/>
            <w:hideMark/>
          </w:tcPr>
          <w:p w14:paraId="590E13C3" w14:textId="77777777" w:rsidR="00702061" w:rsidRPr="000745C5" w:rsidRDefault="00702061" w:rsidP="00282FF2">
            <w:pPr>
              <w:spacing w:after="0" w:line="240" w:lineRule="auto"/>
              <w:jc w:val="right"/>
              <w:rPr>
                <w:rFonts w:ascii="Times New Roman" w:eastAsia="Times New Roman" w:hAnsi="Times New Roman"/>
                <w:sz w:val="20"/>
                <w:szCs w:val="20"/>
              </w:rPr>
            </w:pPr>
          </w:p>
        </w:tc>
      </w:tr>
      <w:tr w:rsidR="00702061" w:rsidRPr="000745C5" w14:paraId="1CBB341B" w14:textId="77777777" w:rsidTr="00282FF2">
        <w:trPr>
          <w:trHeight w:val="855"/>
        </w:trPr>
        <w:tc>
          <w:tcPr>
            <w:tcW w:w="3160" w:type="dxa"/>
            <w:tcBorders>
              <w:top w:val="nil"/>
              <w:left w:val="nil"/>
              <w:bottom w:val="nil"/>
              <w:right w:val="nil"/>
            </w:tcBorders>
            <w:shd w:val="clear" w:color="auto" w:fill="auto"/>
            <w:vAlign w:val="bottom"/>
            <w:hideMark/>
          </w:tcPr>
          <w:p w14:paraId="3523DA67"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Net unrealized gains (losses) on </w:t>
            </w:r>
            <w:r w:rsidRPr="000745C5">
              <w:rPr>
                <w:rFonts w:ascii="Segoe UI" w:eastAsia="Times New Roman" w:hAnsi="Segoe UI" w:cs="Segoe UI"/>
                <w:color w:val="666666"/>
                <w:sz w:val="20"/>
                <w:szCs w:val="20"/>
              </w:rPr>
              <w:br/>
              <w:t xml:space="preserve">   derivatives (net of tax effects </w:t>
            </w:r>
            <w:r w:rsidRPr="000745C5">
              <w:rPr>
                <w:rFonts w:ascii="Segoe UI" w:eastAsia="Times New Roman" w:hAnsi="Segoe UI" w:cs="Segoe UI"/>
                <w:color w:val="666666"/>
                <w:sz w:val="20"/>
                <w:szCs w:val="20"/>
              </w:rPr>
              <w:br/>
              <w:t xml:space="preserve">   of </w:t>
            </w:r>
            <w:r w:rsidRPr="000745C5">
              <w:rPr>
                <w:rFonts w:ascii="Segoe UI" w:eastAsia="Times New Roman" w:hAnsi="Segoe UI" w:cs="Segoe UI"/>
                <w:b/>
                <w:bCs/>
                <w:color w:val="666666"/>
                <w:sz w:val="20"/>
                <w:szCs w:val="20"/>
              </w:rPr>
              <w:t>$(10)</w:t>
            </w:r>
            <w:r w:rsidRPr="000745C5">
              <w:rPr>
                <w:rFonts w:ascii="Segoe UI" w:eastAsia="Times New Roman" w:hAnsi="Segoe UI" w:cs="Segoe UI"/>
                <w:color w:val="666666"/>
                <w:sz w:val="20"/>
                <w:szCs w:val="20"/>
              </w:rPr>
              <w:t xml:space="preserve">, $(11), </w:t>
            </w:r>
            <w:r w:rsidRPr="000745C5">
              <w:rPr>
                <w:rFonts w:ascii="Segoe UI" w:eastAsia="Times New Roman" w:hAnsi="Segoe UI" w:cs="Segoe UI"/>
                <w:b/>
                <w:bCs/>
                <w:color w:val="666666"/>
                <w:sz w:val="20"/>
                <w:szCs w:val="20"/>
              </w:rPr>
              <w:t>$(12)</w:t>
            </w:r>
            <w:r w:rsidRPr="000745C5">
              <w:rPr>
                <w:rFonts w:ascii="Segoe UI" w:eastAsia="Times New Roman" w:hAnsi="Segoe UI" w:cs="Segoe UI"/>
                <w:color w:val="666666"/>
                <w:sz w:val="20"/>
                <w:szCs w:val="20"/>
              </w:rPr>
              <w:t>, and $20)</w:t>
            </w:r>
          </w:p>
        </w:tc>
        <w:tc>
          <w:tcPr>
            <w:tcW w:w="1060" w:type="dxa"/>
            <w:tcBorders>
              <w:top w:val="nil"/>
              <w:left w:val="nil"/>
              <w:bottom w:val="nil"/>
              <w:right w:val="nil"/>
            </w:tcBorders>
            <w:shd w:val="clear" w:color="auto" w:fill="auto"/>
            <w:noWrap/>
            <w:vAlign w:val="bottom"/>
            <w:hideMark/>
          </w:tcPr>
          <w:p w14:paraId="3B7E64E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39 </w:t>
            </w:r>
          </w:p>
        </w:tc>
        <w:tc>
          <w:tcPr>
            <w:tcW w:w="272" w:type="dxa"/>
            <w:tcBorders>
              <w:top w:val="nil"/>
              <w:left w:val="nil"/>
              <w:bottom w:val="nil"/>
              <w:right w:val="nil"/>
            </w:tcBorders>
            <w:shd w:val="clear" w:color="auto" w:fill="auto"/>
            <w:noWrap/>
            <w:vAlign w:val="bottom"/>
            <w:hideMark/>
          </w:tcPr>
          <w:p w14:paraId="7AF2CB2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4F69CA47"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(408)</w:t>
            </w:r>
          </w:p>
        </w:tc>
        <w:tc>
          <w:tcPr>
            <w:tcW w:w="272" w:type="dxa"/>
            <w:tcBorders>
              <w:top w:val="nil"/>
              <w:left w:val="nil"/>
              <w:bottom w:val="nil"/>
              <w:right w:val="nil"/>
            </w:tcBorders>
            <w:shd w:val="clear" w:color="auto" w:fill="auto"/>
            <w:noWrap/>
            <w:vAlign w:val="bottom"/>
            <w:hideMark/>
          </w:tcPr>
          <w:p w14:paraId="2881D78B"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836A97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(23</w:t>
            </w:r>
            <w:r>
              <w:rPr>
                <w:rFonts w:ascii="Segoe UI" w:eastAsia="Times New Roman" w:hAnsi="Segoe UI" w:cs="Segoe UI"/>
                <w:b/>
                <w:bCs/>
                <w:color w:val="666666"/>
                <w:sz w:val="20"/>
                <w:szCs w:val="20"/>
              </w:rPr>
              <w:t>8</w:t>
            </w:r>
            <w:r w:rsidRPr="000745C5">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041110E2"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1DC153DE"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559 </w:t>
            </w:r>
          </w:p>
        </w:tc>
      </w:tr>
      <w:tr w:rsidR="00702061" w:rsidRPr="000745C5" w14:paraId="4CDFE3DF" w14:textId="77777777" w:rsidTr="00282FF2">
        <w:trPr>
          <w:trHeight w:val="1140"/>
        </w:trPr>
        <w:tc>
          <w:tcPr>
            <w:tcW w:w="3160" w:type="dxa"/>
            <w:tcBorders>
              <w:top w:val="nil"/>
              <w:left w:val="nil"/>
              <w:bottom w:val="nil"/>
              <w:right w:val="nil"/>
            </w:tcBorders>
            <w:shd w:val="clear" w:color="auto" w:fill="auto"/>
            <w:vAlign w:val="bottom"/>
            <w:hideMark/>
          </w:tcPr>
          <w:p w14:paraId="54CABC16"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Net unrealized losses on </w:t>
            </w:r>
            <w:r w:rsidRPr="000745C5">
              <w:rPr>
                <w:rFonts w:ascii="Segoe UI" w:eastAsia="Times New Roman" w:hAnsi="Segoe UI" w:cs="Segoe UI"/>
                <w:color w:val="666666"/>
                <w:sz w:val="20"/>
                <w:szCs w:val="20"/>
              </w:rPr>
              <w:br/>
              <w:t xml:space="preserve">   investments (net of tax effects </w:t>
            </w:r>
            <w:r w:rsidRPr="000745C5">
              <w:rPr>
                <w:rFonts w:ascii="Segoe UI" w:eastAsia="Times New Roman" w:hAnsi="Segoe UI" w:cs="Segoe UI"/>
                <w:color w:val="666666"/>
                <w:sz w:val="20"/>
                <w:szCs w:val="20"/>
              </w:rPr>
              <w:br/>
              <w:t xml:space="preserve">   of </w:t>
            </w:r>
            <w:r w:rsidRPr="000745C5">
              <w:rPr>
                <w:rFonts w:ascii="Segoe UI" w:eastAsia="Times New Roman" w:hAnsi="Segoe UI" w:cs="Segoe UI"/>
                <w:b/>
                <w:bCs/>
                <w:color w:val="666666"/>
                <w:sz w:val="20"/>
                <w:szCs w:val="20"/>
              </w:rPr>
              <w:t>$(84)</w:t>
            </w:r>
            <w:r w:rsidRPr="000745C5">
              <w:rPr>
                <w:rFonts w:ascii="Segoe UI" w:eastAsia="Times New Roman" w:hAnsi="Segoe UI" w:cs="Segoe UI"/>
                <w:color w:val="666666"/>
                <w:sz w:val="20"/>
                <w:szCs w:val="20"/>
              </w:rPr>
              <w:t xml:space="preserve">, $(39), </w:t>
            </w:r>
            <w:r w:rsidRPr="000745C5">
              <w:rPr>
                <w:rFonts w:ascii="Segoe UI" w:eastAsia="Times New Roman" w:hAnsi="Segoe UI" w:cs="Segoe UI"/>
                <w:b/>
                <w:bCs/>
                <w:color w:val="666666"/>
                <w:sz w:val="20"/>
                <w:szCs w:val="20"/>
              </w:rPr>
              <w:t>$(12</w:t>
            </w:r>
            <w:r>
              <w:rPr>
                <w:rFonts w:ascii="Segoe UI" w:eastAsia="Times New Roman" w:hAnsi="Segoe UI" w:cs="Segoe UI"/>
                <w:b/>
                <w:bCs/>
                <w:color w:val="666666"/>
                <w:sz w:val="20"/>
                <w:szCs w:val="20"/>
              </w:rPr>
              <w:t>1</w:t>
            </w:r>
            <w:r w:rsidRPr="000745C5">
              <w:rPr>
                <w:rFonts w:ascii="Segoe UI" w:eastAsia="Times New Roman" w:hAnsi="Segoe UI" w:cs="Segoe UI"/>
                <w:b/>
                <w:bCs/>
                <w:color w:val="666666"/>
                <w:sz w:val="20"/>
                <w:szCs w:val="20"/>
              </w:rPr>
              <w:t>)</w:t>
            </w:r>
            <w:r w:rsidRPr="000745C5">
              <w:rPr>
                <w:rFonts w:ascii="Segoe UI" w:eastAsia="Times New Roman" w:hAnsi="Segoe UI" w:cs="Segoe UI"/>
                <w:color w:val="666666"/>
                <w:sz w:val="20"/>
                <w:szCs w:val="20"/>
              </w:rPr>
              <w:t xml:space="preserve">, and </w:t>
            </w:r>
            <w:r w:rsidRPr="000745C5">
              <w:rPr>
                <w:rFonts w:ascii="Segoe UI" w:eastAsia="Times New Roman" w:hAnsi="Segoe UI" w:cs="Segoe UI"/>
                <w:color w:val="666666"/>
                <w:sz w:val="20"/>
                <w:szCs w:val="20"/>
              </w:rPr>
              <w:br/>
              <w:t xml:space="preserve">   $(197))</w:t>
            </w:r>
          </w:p>
        </w:tc>
        <w:tc>
          <w:tcPr>
            <w:tcW w:w="1060" w:type="dxa"/>
            <w:tcBorders>
              <w:top w:val="nil"/>
              <w:left w:val="nil"/>
              <w:bottom w:val="nil"/>
              <w:right w:val="nil"/>
            </w:tcBorders>
            <w:shd w:val="clear" w:color="auto" w:fill="auto"/>
            <w:noWrap/>
            <w:vAlign w:val="bottom"/>
            <w:hideMark/>
          </w:tcPr>
          <w:p w14:paraId="009E6E64"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(162)</w:t>
            </w:r>
          </w:p>
        </w:tc>
        <w:tc>
          <w:tcPr>
            <w:tcW w:w="272" w:type="dxa"/>
            <w:tcBorders>
              <w:top w:val="nil"/>
              <w:left w:val="nil"/>
              <w:bottom w:val="nil"/>
              <w:right w:val="nil"/>
            </w:tcBorders>
            <w:shd w:val="clear" w:color="auto" w:fill="auto"/>
            <w:noWrap/>
            <w:vAlign w:val="bottom"/>
            <w:hideMark/>
          </w:tcPr>
          <w:p w14:paraId="58FD9000"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128A2725"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(67)</w:t>
            </w:r>
          </w:p>
        </w:tc>
        <w:tc>
          <w:tcPr>
            <w:tcW w:w="272" w:type="dxa"/>
            <w:tcBorders>
              <w:top w:val="nil"/>
              <w:left w:val="nil"/>
              <w:bottom w:val="nil"/>
              <w:right w:val="nil"/>
            </w:tcBorders>
            <w:shd w:val="clear" w:color="auto" w:fill="auto"/>
            <w:noWrap/>
            <w:vAlign w:val="bottom"/>
            <w:hideMark/>
          </w:tcPr>
          <w:p w14:paraId="590C7EE5"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F6D09D5"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(228)</w:t>
            </w:r>
          </w:p>
        </w:tc>
        <w:tc>
          <w:tcPr>
            <w:tcW w:w="272" w:type="dxa"/>
            <w:tcBorders>
              <w:top w:val="nil"/>
              <w:left w:val="nil"/>
              <w:bottom w:val="nil"/>
              <w:right w:val="nil"/>
            </w:tcBorders>
            <w:shd w:val="clear" w:color="auto" w:fill="auto"/>
            <w:noWrap/>
            <w:vAlign w:val="bottom"/>
            <w:hideMark/>
          </w:tcPr>
          <w:p w14:paraId="251F06C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nil"/>
              <w:right w:val="nil"/>
            </w:tcBorders>
            <w:shd w:val="clear" w:color="auto" w:fill="auto"/>
            <w:noWrap/>
            <w:vAlign w:val="bottom"/>
            <w:hideMark/>
          </w:tcPr>
          <w:p w14:paraId="32539DF7"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(362)</w:t>
            </w:r>
          </w:p>
        </w:tc>
      </w:tr>
      <w:tr w:rsidR="00702061" w:rsidRPr="000745C5" w14:paraId="7535D8D9" w14:textId="77777777" w:rsidTr="00282FF2">
        <w:trPr>
          <w:trHeight w:val="855"/>
        </w:trPr>
        <w:tc>
          <w:tcPr>
            <w:tcW w:w="3160" w:type="dxa"/>
            <w:tcBorders>
              <w:top w:val="nil"/>
              <w:left w:val="nil"/>
              <w:bottom w:val="single" w:sz="4" w:space="0" w:color="auto"/>
              <w:right w:val="nil"/>
            </w:tcBorders>
            <w:shd w:val="clear" w:color="auto" w:fill="auto"/>
            <w:vAlign w:val="bottom"/>
            <w:hideMark/>
          </w:tcPr>
          <w:p w14:paraId="4435C55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Translation adjustments and </w:t>
            </w:r>
            <w:r w:rsidRPr="000745C5">
              <w:rPr>
                <w:rFonts w:ascii="Segoe UI" w:eastAsia="Times New Roman" w:hAnsi="Segoe UI" w:cs="Segoe UI"/>
                <w:color w:val="666666"/>
                <w:sz w:val="20"/>
                <w:szCs w:val="20"/>
              </w:rPr>
              <w:br/>
              <w:t xml:space="preserve">   other (net of tax effects of </w:t>
            </w:r>
            <w:r w:rsidRPr="000745C5">
              <w:rPr>
                <w:rFonts w:ascii="Segoe UI" w:eastAsia="Times New Roman" w:hAnsi="Segoe UI" w:cs="Segoe UI"/>
                <w:color w:val="666666"/>
                <w:sz w:val="20"/>
                <w:szCs w:val="20"/>
              </w:rPr>
              <w:br/>
              <w:t xml:space="preserve">   </w:t>
            </w:r>
            <w:r w:rsidRPr="000745C5">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w:t>
            </w:r>
            <w:r w:rsidRPr="000745C5">
              <w:rPr>
                <w:rFonts w:ascii="Segoe UI" w:eastAsia="Times New Roman" w:hAnsi="Segoe UI" w:cs="Segoe UI"/>
                <w:b/>
                <w:bCs/>
                <w:color w:val="666666"/>
                <w:sz w:val="20"/>
                <w:szCs w:val="20"/>
              </w:rPr>
              <w:t>15</w:t>
            </w:r>
            <w:r>
              <w:rPr>
                <w:rFonts w:ascii="Segoe UI" w:eastAsia="Times New Roman" w:hAnsi="Segoe UI" w:cs="Segoe UI"/>
                <w:b/>
                <w:bCs/>
                <w:color w:val="666666"/>
                <w:sz w:val="20"/>
                <w:szCs w:val="20"/>
              </w:rPr>
              <w:t>)</w:t>
            </w:r>
            <w:r w:rsidRPr="000745C5">
              <w:rPr>
                <w:rFonts w:ascii="Segoe UI" w:eastAsia="Times New Roman" w:hAnsi="Segoe UI" w:cs="Segoe UI"/>
                <w:color w:val="666666"/>
                <w:sz w:val="20"/>
                <w:szCs w:val="20"/>
              </w:rPr>
              <w:t>, $</w:t>
            </w:r>
            <w:r>
              <w:rPr>
                <w:rFonts w:ascii="Segoe UI" w:eastAsia="Times New Roman" w:hAnsi="Segoe UI" w:cs="Segoe UI"/>
                <w:color w:val="666666"/>
                <w:sz w:val="20"/>
                <w:szCs w:val="20"/>
              </w:rPr>
              <w:t>(</w:t>
            </w:r>
            <w:r w:rsidRPr="000745C5">
              <w:rPr>
                <w:rFonts w:ascii="Segoe UI" w:eastAsia="Times New Roman" w:hAnsi="Segoe UI" w:cs="Segoe UI"/>
                <w:color w:val="666666"/>
                <w:sz w:val="20"/>
                <w:szCs w:val="20"/>
              </w:rPr>
              <w:t>448</w:t>
            </w:r>
            <w:r>
              <w:rPr>
                <w:rFonts w:ascii="Segoe UI" w:eastAsia="Times New Roman" w:hAnsi="Segoe UI" w:cs="Segoe UI"/>
                <w:color w:val="666666"/>
                <w:sz w:val="20"/>
                <w:szCs w:val="20"/>
              </w:rPr>
              <w:t>)</w:t>
            </w:r>
            <w:r w:rsidRPr="000745C5">
              <w:rPr>
                <w:rFonts w:ascii="Segoe UI" w:eastAsia="Times New Roman" w:hAnsi="Segoe UI" w:cs="Segoe UI"/>
                <w:color w:val="666666"/>
                <w:sz w:val="20"/>
                <w:szCs w:val="20"/>
              </w:rPr>
              <w:t xml:space="preserve">, </w:t>
            </w:r>
            <w:r w:rsidRPr="000745C5">
              <w:rPr>
                <w:rFonts w:ascii="Segoe UI" w:eastAsia="Times New Roman" w:hAnsi="Segoe UI" w:cs="Segoe UI"/>
                <w:b/>
                <w:bCs/>
                <w:color w:val="666666"/>
                <w:sz w:val="20"/>
                <w:szCs w:val="20"/>
              </w:rPr>
              <w:t>$(33)</w:t>
            </w:r>
            <w:r w:rsidRPr="000745C5">
              <w:rPr>
                <w:rFonts w:ascii="Segoe UI" w:eastAsia="Times New Roman" w:hAnsi="Segoe UI" w:cs="Segoe UI"/>
                <w:color w:val="666666"/>
                <w:sz w:val="20"/>
                <w:szCs w:val="20"/>
              </w:rPr>
              <w:t>, and $16)</w:t>
            </w:r>
          </w:p>
        </w:tc>
        <w:tc>
          <w:tcPr>
            <w:tcW w:w="1060" w:type="dxa"/>
            <w:tcBorders>
              <w:top w:val="nil"/>
              <w:left w:val="nil"/>
              <w:bottom w:val="single" w:sz="4" w:space="0" w:color="auto"/>
              <w:right w:val="nil"/>
            </w:tcBorders>
            <w:shd w:val="clear" w:color="auto" w:fill="auto"/>
            <w:noWrap/>
            <w:vAlign w:val="bottom"/>
            <w:hideMark/>
          </w:tcPr>
          <w:p w14:paraId="5DE17B7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(180</w:t>
            </w:r>
            <w:r w:rsidRPr="000745C5">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2E49852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5586009C"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(474)</w:t>
            </w:r>
          </w:p>
        </w:tc>
        <w:tc>
          <w:tcPr>
            <w:tcW w:w="272" w:type="dxa"/>
            <w:tcBorders>
              <w:top w:val="nil"/>
              <w:left w:val="nil"/>
              <w:bottom w:val="nil"/>
              <w:right w:val="nil"/>
            </w:tcBorders>
            <w:shd w:val="clear" w:color="auto" w:fill="auto"/>
            <w:noWrap/>
            <w:vAlign w:val="bottom"/>
            <w:hideMark/>
          </w:tcPr>
          <w:p w14:paraId="10D2398A"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6BF626F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(5</w:t>
            </w:r>
            <w:r>
              <w:rPr>
                <w:rFonts w:ascii="Segoe UI" w:eastAsia="Times New Roman" w:hAnsi="Segoe UI" w:cs="Segoe UI"/>
                <w:b/>
                <w:bCs/>
                <w:color w:val="666666"/>
                <w:sz w:val="20"/>
                <w:szCs w:val="20"/>
              </w:rPr>
              <w:t>19</w:t>
            </w:r>
            <w:r w:rsidRPr="000745C5">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D40D42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1B17A586"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(1,383)</w:t>
            </w:r>
          </w:p>
        </w:tc>
      </w:tr>
      <w:tr w:rsidR="00702061" w:rsidRPr="000745C5" w14:paraId="03867120" w14:textId="77777777" w:rsidTr="00282FF2">
        <w:trPr>
          <w:trHeight w:val="285"/>
        </w:trPr>
        <w:tc>
          <w:tcPr>
            <w:tcW w:w="3160" w:type="dxa"/>
            <w:tcBorders>
              <w:top w:val="nil"/>
              <w:left w:val="nil"/>
              <w:bottom w:val="single" w:sz="4" w:space="0" w:color="auto"/>
              <w:right w:val="nil"/>
            </w:tcBorders>
            <w:shd w:val="clear" w:color="auto" w:fill="auto"/>
            <w:vAlign w:val="bottom"/>
            <w:hideMark/>
          </w:tcPr>
          <w:p w14:paraId="2DCCEE80"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Other comprehensive loss</w:t>
            </w:r>
          </w:p>
        </w:tc>
        <w:tc>
          <w:tcPr>
            <w:tcW w:w="1060" w:type="dxa"/>
            <w:tcBorders>
              <w:top w:val="nil"/>
              <w:left w:val="nil"/>
              <w:bottom w:val="single" w:sz="4" w:space="0" w:color="auto"/>
              <w:right w:val="nil"/>
            </w:tcBorders>
            <w:shd w:val="clear" w:color="auto" w:fill="auto"/>
            <w:noWrap/>
            <w:vAlign w:val="bottom"/>
            <w:hideMark/>
          </w:tcPr>
          <w:p w14:paraId="29E66D1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(303</w:t>
            </w:r>
            <w:r w:rsidRPr="000745C5">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07F47F0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49B9D754"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(949)</w:t>
            </w:r>
          </w:p>
        </w:tc>
        <w:tc>
          <w:tcPr>
            <w:tcW w:w="272" w:type="dxa"/>
            <w:tcBorders>
              <w:top w:val="nil"/>
              <w:left w:val="nil"/>
              <w:bottom w:val="nil"/>
              <w:right w:val="nil"/>
            </w:tcBorders>
            <w:shd w:val="clear" w:color="auto" w:fill="auto"/>
            <w:noWrap/>
            <w:vAlign w:val="bottom"/>
            <w:hideMark/>
          </w:tcPr>
          <w:p w14:paraId="79869CA9"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4" w:space="0" w:color="auto"/>
              <w:right w:val="nil"/>
            </w:tcBorders>
            <w:shd w:val="clear" w:color="auto" w:fill="auto"/>
            <w:noWrap/>
            <w:vAlign w:val="bottom"/>
            <w:hideMark/>
          </w:tcPr>
          <w:p w14:paraId="3C34F5D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(985</w:t>
            </w:r>
            <w:r w:rsidRPr="000745C5">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6C8B324"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4" w:space="0" w:color="auto"/>
              <w:right w:val="nil"/>
            </w:tcBorders>
            <w:shd w:val="clear" w:color="auto" w:fill="auto"/>
            <w:noWrap/>
            <w:vAlign w:val="bottom"/>
            <w:hideMark/>
          </w:tcPr>
          <w:p w14:paraId="6C8D4B16"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(1,186)</w:t>
            </w:r>
          </w:p>
        </w:tc>
      </w:tr>
      <w:tr w:rsidR="00702061" w:rsidRPr="000745C5" w14:paraId="25B1CC51" w14:textId="77777777" w:rsidTr="00282FF2">
        <w:trPr>
          <w:trHeight w:val="300"/>
        </w:trPr>
        <w:tc>
          <w:tcPr>
            <w:tcW w:w="3160" w:type="dxa"/>
            <w:tcBorders>
              <w:top w:val="nil"/>
              <w:left w:val="nil"/>
              <w:bottom w:val="nil"/>
              <w:right w:val="nil"/>
            </w:tcBorders>
            <w:shd w:val="clear" w:color="auto" w:fill="auto"/>
            <w:noWrap/>
            <w:vAlign w:val="bottom"/>
            <w:hideMark/>
          </w:tcPr>
          <w:p w14:paraId="57AE7BEA"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Comprehensive income (loss)</w:t>
            </w:r>
          </w:p>
        </w:tc>
        <w:tc>
          <w:tcPr>
            <w:tcW w:w="1060" w:type="dxa"/>
            <w:tcBorders>
              <w:top w:val="nil"/>
              <w:left w:val="nil"/>
              <w:bottom w:val="single" w:sz="8" w:space="0" w:color="auto"/>
              <w:right w:val="nil"/>
            </w:tcBorders>
            <w:shd w:val="clear" w:color="auto" w:fill="auto"/>
            <w:noWrap/>
            <w:vAlign w:val="bottom"/>
            <w:hideMark/>
          </w:tcPr>
          <w:p w14:paraId="5BD4AF0D"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$2,81</w:t>
            </w:r>
            <w:r>
              <w:rPr>
                <w:rFonts w:ascii="Segoe UI" w:eastAsia="Times New Roman" w:hAnsi="Segoe UI" w:cs="Segoe UI"/>
                <w:b/>
                <w:bCs/>
                <w:color w:val="666666"/>
                <w:sz w:val="20"/>
                <w:szCs w:val="20"/>
              </w:rPr>
              <w:t>9</w:t>
            </w:r>
            <w:r w:rsidRPr="000745C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94C66E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53149C4F"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$(4,144)</w:t>
            </w:r>
          </w:p>
        </w:tc>
        <w:tc>
          <w:tcPr>
            <w:tcW w:w="272" w:type="dxa"/>
            <w:tcBorders>
              <w:top w:val="nil"/>
              <w:left w:val="nil"/>
              <w:bottom w:val="nil"/>
              <w:right w:val="nil"/>
            </w:tcBorders>
            <w:shd w:val="clear" w:color="auto" w:fill="auto"/>
            <w:noWrap/>
            <w:vAlign w:val="bottom"/>
            <w:hideMark/>
          </w:tcPr>
          <w:p w14:paraId="58BD6E3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single" w:sz="8" w:space="0" w:color="auto"/>
              <w:right w:val="nil"/>
            </w:tcBorders>
            <w:shd w:val="clear" w:color="auto" w:fill="auto"/>
            <w:noWrap/>
            <w:vAlign w:val="bottom"/>
            <w:hideMark/>
          </w:tcPr>
          <w:p w14:paraId="763A4D48"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$15,81</w:t>
            </w:r>
            <w:r>
              <w:rPr>
                <w:rFonts w:ascii="Segoe UI" w:eastAsia="Times New Roman" w:hAnsi="Segoe UI" w:cs="Segoe UI"/>
                <w:b/>
                <w:bCs/>
                <w:color w:val="666666"/>
                <w:sz w:val="20"/>
                <w:szCs w:val="20"/>
              </w:rPr>
              <w:t>3</w:t>
            </w:r>
            <w:r w:rsidRPr="000745C5">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5B3B56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940" w:type="dxa"/>
            <w:tcBorders>
              <w:top w:val="nil"/>
              <w:left w:val="nil"/>
              <w:bottom w:val="single" w:sz="8" w:space="0" w:color="auto"/>
              <w:right w:val="nil"/>
            </w:tcBorders>
            <w:shd w:val="clear" w:color="auto" w:fill="auto"/>
            <w:noWrap/>
            <w:vAlign w:val="bottom"/>
            <w:hideMark/>
          </w:tcPr>
          <w:p w14:paraId="4A43CA39"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$11,007 </w:t>
            </w:r>
          </w:p>
        </w:tc>
      </w:tr>
    </w:tbl>
    <w:p w14:paraId="30F81093" w14:textId="77777777" w:rsidR="00702061" w:rsidRDefault="00702061" w:rsidP="00702061"/>
    <w:p w14:paraId="37A0A661" w14:textId="77777777" w:rsidR="00702061" w:rsidRDefault="00702061" w:rsidP="00702061">
      <w:r>
        <w:br w:type="page"/>
      </w:r>
    </w:p>
    <w:tbl>
      <w:tblPr>
        <w:tblW w:w="7820" w:type="dxa"/>
        <w:tblInd w:w="-15" w:type="dxa"/>
        <w:tblLook w:val="04A0" w:firstRow="1" w:lastRow="0" w:firstColumn="1" w:lastColumn="0" w:noHBand="0" w:noVBand="1"/>
      </w:tblPr>
      <w:tblGrid>
        <w:gridCol w:w="5020"/>
        <w:gridCol w:w="1460"/>
        <w:gridCol w:w="272"/>
        <w:gridCol w:w="1140"/>
      </w:tblGrid>
      <w:tr w:rsidR="00702061" w:rsidRPr="000745C5" w14:paraId="1381ADF9" w14:textId="77777777" w:rsidTr="00282FF2">
        <w:trPr>
          <w:trHeight w:val="285"/>
        </w:trPr>
        <w:tc>
          <w:tcPr>
            <w:tcW w:w="5020" w:type="dxa"/>
            <w:tcBorders>
              <w:top w:val="nil"/>
              <w:left w:val="nil"/>
              <w:bottom w:val="nil"/>
              <w:right w:val="nil"/>
            </w:tcBorders>
            <w:shd w:val="clear" w:color="auto" w:fill="auto"/>
            <w:noWrap/>
            <w:vAlign w:val="bottom"/>
            <w:hideMark/>
          </w:tcPr>
          <w:p w14:paraId="291B9BF3" w14:textId="77777777" w:rsidR="00702061" w:rsidRPr="000745C5" w:rsidRDefault="00702061" w:rsidP="00282FF2">
            <w:pPr>
              <w:spacing w:after="0" w:line="240" w:lineRule="auto"/>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MICROSOFT CORPORATION</w:t>
            </w:r>
          </w:p>
        </w:tc>
        <w:tc>
          <w:tcPr>
            <w:tcW w:w="1460" w:type="dxa"/>
            <w:tcBorders>
              <w:top w:val="nil"/>
              <w:left w:val="nil"/>
              <w:bottom w:val="nil"/>
              <w:right w:val="nil"/>
            </w:tcBorders>
            <w:shd w:val="clear" w:color="auto" w:fill="auto"/>
            <w:noWrap/>
            <w:vAlign w:val="bottom"/>
            <w:hideMark/>
          </w:tcPr>
          <w:p w14:paraId="233A8269"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16A9B46A"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077AF7D0"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7ECAD743" w14:textId="77777777" w:rsidTr="00282FF2">
        <w:trPr>
          <w:trHeight w:val="30"/>
        </w:trPr>
        <w:tc>
          <w:tcPr>
            <w:tcW w:w="5020" w:type="dxa"/>
            <w:tcBorders>
              <w:top w:val="nil"/>
              <w:left w:val="nil"/>
              <w:bottom w:val="nil"/>
              <w:right w:val="nil"/>
            </w:tcBorders>
            <w:shd w:val="clear" w:color="auto" w:fill="auto"/>
            <w:noWrap/>
            <w:vAlign w:val="bottom"/>
            <w:hideMark/>
          </w:tcPr>
          <w:p w14:paraId="70FBE0E7"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460" w:type="dxa"/>
            <w:tcBorders>
              <w:top w:val="nil"/>
              <w:left w:val="nil"/>
              <w:bottom w:val="nil"/>
              <w:right w:val="nil"/>
            </w:tcBorders>
            <w:shd w:val="clear" w:color="auto" w:fill="auto"/>
            <w:noWrap/>
            <w:vAlign w:val="bottom"/>
            <w:hideMark/>
          </w:tcPr>
          <w:p w14:paraId="09EFE7A5" w14:textId="77777777" w:rsidR="00702061" w:rsidRPr="000745C5" w:rsidRDefault="00702061" w:rsidP="00282FF2">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539663CE"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4B7FBEE3"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16056B25" w14:textId="77777777" w:rsidTr="00282FF2">
        <w:trPr>
          <w:trHeight w:val="285"/>
        </w:trPr>
        <w:tc>
          <w:tcPr>
            <w:tcW w:w="7820" w:type="dxa"/>
            <w:gridSpan w:val="4"/>
            <w:tcBorders>
              <w:top w:val="nil"/>
              <w:left w:val="nil"/>
              <w:bottom w:val="nil"/>
              <w:right w:val="nil"/>
            </w:tcBorders>
            <w:shd w:val="clear" w:color="auto" w:fill="auto"/>
            <w:noWrap/>
            <w:vAlign w:val="bottom"/>
            <w:hideMark/>
          </w:tcPr>
          <w:p w14:paraId="46B12C83"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BALANCE SHEETS</w:t>
            </w:r>
          </w:p>
        </w:tc>
      </w:tr>
      <w:tr w:rsidR="00702061" w:rsidRPr="000745C5" w14:paraId="4541B22C" w14:textId="77777777" w:rsidTr="00282FF2">
        <w:trPr>
          <w:trHeight w:val="285"/>
        </w:trPr>
        <w:tc>
          <w:tcPr>
            <w:tcW w:w="7820" w:type="dxa"/>
            <w:gridSpan w:val="4"/>
            <w:tcBorders>
              <w:top w:val="nil"/>
              <w:left w:val="nil"/>
              <w:bottom w:val="nil"/>
              <w:right w:val="nil"/>
            </w:tcBorders>
            <w:shd w:val="clear" w:color="auto" w:fill="auto"/>
            <w:noWrap/>
            <w:vAlign w:val="bottom"/>
            <w:hideMark/>
          </w:tcPr>
          <w:p w14:paraId="68EC1DD7"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(In millions)(Unaudited)</w:t>
            </w:r>
          </w:p>
        </w:tc>
      </w:tr>
      <w:tr w:rsidR="00702061" w:rsidRPr="000745C5" w14:paraId="1733241E" w14:textId="77777777" w:rsidTr="00282FF2">
        <w:trPr>
          <w:trHeight w:val="135"/>
        </w:trPr>
        <w:tc>
          <w:tcPr>
            <w:tcW w:w="5020" w:type="dxa"/>
            <w:tcBorders>
              <w:top w:val="nil"/>
              <w:left w:val="nil"/>
              <w:bottom w:val="nil"/>
              <w:right w:val="nil"/>
            </w:tcBorders>
            <w:shd w:val="clear" w:color="auto" w:fill="auto"/>
            <w:noWrap/>
            <w:vAlign w:val="bottom"/>
            <w:hideMark/>
          </w:tcPr>
          <w:p w14:paraId="045D1F80" w14:textId="77777777" w:rsidR="00702061" w:rsidRPr="000745C5" w:rsidRDefault="00702061" w:rsidP="00282FF2">
            <w:pPr>
              <w:spacing w:after="0" w:line="240" w:lineRule="auto"/>
              <w:jc w:val="center"/>
              <w:rPr>
                <w:rFonts w:ascii="Segoe UI" w:eastAsia="Times New Roman" w:hAnsi="Segoe UI" w:cs="Segoe UI"/>
                <w:color w:val="666666"/>
                <w:sz w:val="20"/>
                <w:szCs w:val="20"/>
              </w:rPr>
            </w:pPr>
          </w:p>
        </w:tc>
        <w:tc>
          <w:tcPr>
            <w:tcW w:w="1460" w:type="dxa"/>
            <w:tcBorders>
              <w:top w:val="nil"/>
              <w:left w:val="nil"/>
              <w:bottom w:val="nil"/>
              <w:right w:val="nil"/>
            </w:tcBorders>
            <w:shd w:val="clear" w:color="auto" w:fill="auto"/>
            <w:noWrap/>
            <w:vAlign w:val="bottom"/>
            <w:hideMark/>
          </w:tcPr>
          <w:p w14:paraId="038E18FE"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7D61712E" w14:textId="77777777" w:rsidR="00702061" w:rsidRPr="000745C5" w:rsidRDefault="00702061" w:rsidP="00282FF2">
            <w:pPr>
              <w:spacing w:after="0" w:line="240" w:lineRule="auto"/>
              <w:jc w:val="center"/>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1E3FF8A9" w14:textId="77777777" w:rsidR="00702061" w:rsidRPr="000745C5" w:rsidRDefault="00702061" w:rsidP="00282FF2">
            <w:pPr>
              <w:spacing w:after="0" w:line="240" w:lineRule="auto"/>
              <w:jc w:val="center"/>
              <w:rPr>
                <w:rFonts w:ascii="Times New Roman" w:eastAsia="Times New Roman" w:hAnsi="Times New Roman"/>
                <w:sz w:val="20"/>
                <w:szCs w:val="20"/>
              </w:rPr>
            </w:pPr>
          </w:p>
        </w:tc>
      </w:tr>
      <w:tr w:rsidR="00702061" w:rsidRPr="000745C5" w14:paraId="48E398E8" w14:textId="77777777" w:rsidTr="00282FF2">
        <w:trPr>
          <w:trHeight w:val="570"/>
        </w:trPr>
        <w:tc>
          <w:tcPr>
            <w:tcW w:w="5020" w:type="dxa"/>
            <w:tcBorders>
              <w:top w:val="nil"/>
              <w:left w:val="nil"/>
              <w:bottom w:val="single" w:sz="4" w:space="0" w:color="auto"/>
              <w:right w:val="nil"/>
            </w:tcBorders>
            <w:shd w:val="clear" w:color="auto" w:fill="auto"/>
            <w:noWrap/>
            <w:vAlign w:val="bottom"/>
            <w:hideMark/>
          </w:tcPr>
          <w:p w14:paraId="1FFD59A2" w14:textId="77777777" w:rsidR="00702061" w:rsidRPr="000745C5" w:rsidRDefault="00702061" w:rsidP="00282FF2">
            <w:pPr>
              <w:spacing w:after="0" w:line="240" w:lineRule="auto"/>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1460" w:type="dxa"/>
            <w:tcBorders>
              <w:top w:val="nil"/>
              <w:left w:val="nil"/>
              <w:bottom w:val="single" w:sz="4" w:space="0" w:color="auto"/>
              <w:right w:val="nil"/>
            </w:tcBorders>
            <w:shd w:val="clear" w:color="auto" w:fill="auto"/>
            <w:vAlign w:val="bottom"/>
            <w:hideMark/>
          </w:tcPr>
          <w:p w14:paraId="5564614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June 30,</w:t>
            </w:r>
            <w:r w:rsidRPr="000745C5">
              <w:rPr>
                <w:rFonts w:ascii="Segoe UI" w:eastAsia="Times New Roman" w:hAnsi="Segoe UI" w:cs="Segoe UI"/>
                <w:b/>
                <w:bCs/>
                <w:color w:val="666666"/>
                <w:sz w:val="20"/>
                <w:szCs w:val="20"/>
              </w:rPr>
              <w:br/>
              <w:t>2016</w:t>
            </w:r>
          </w:p>
        </w:tc>
        <w:tc>
          <w:tcPr>
            <w:tcW w:w="200" w:type="dxa"/>
            <w:tcBorders>
              <w:top w:val="nil"/>
              <w:left w:val="nil"/>
              <w:bottom w:val="single" w:sz="4" w:space="0" w:color="auto"/>
              <w:right w:val="nil"/>
            </w:tcBorders>
            <w:shd w:val="clear" w:color="auto" w:fill="auto"/>
            <w:vAlign w:val="bottom"/>
            <w:hideMark/>
          </w:tcPr>
          <w:p w14:paraId="06F5FC2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w:t>
            </w:r>
          </w:p>
        </w:tc>
        <w:tc>
          <w:tcPr>
            <w:tcW w:w="1140" w:type="dxa"/>
            <w:tcBorders>
              <w:top w:val="nil"/>
              <w:left w:val="nil"/>
              <w:bottom w:val="single" w:sz="4" w:space="0" w:color="auto"/>
              <w:right w:val="nil"/>
            </w:tcBorders>
            <w:shd w:val="clear" w:color="auto" w:fill="auto"/>
            <w:vAlign w:val="bottom"/>
            <w:hideMark/>
          </w:tcPr>
          <w:p w14:paraId="25D71F9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June 30, 2015</w:t>
            </w:r>
          </w:p>
        </w:tc>
      </w:tr>
      <w:tr w:rsidR="00702061" w:rsidRPr="000745C5" w14:paraId="5C5AF7BB" w14:textId="77777777" w:rsidTr="00282FF2">
        <w:trPr>
          <w:trHeight w:val="285"/>
        </w:trPr>
        <w:tc>
          <w:tcPr>
            <w:tcW w:w="5020" w:type="dxa"/>
            <w:tcBorders>
              <w:top w:val="nil"/>
              <w:left w:val="nil"/>
              <w:bottom w:val="nil"/>
              <w:right w:val="nil"/>
            </w:tcBorders>
            <w:shd w:val="clear" w:color="auto" w:fill="auto"/>
            <w:noWrap/>
            <w:vAlign w:val="bottom"/>
            <w:hideMark/>
          </w:tcPr>
          <w:p w14:paraId="5E6DC6D5" w14:textId="77777777" w:rsidR="00702061" w:rsidRPr="000745C5" w:rsidRDefault="00702061" w:rsidP="00282FF2">
            <w:pPr>
              <w:spacing w:after="0" w:line="240" w:lineRule="auto"/>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Assets</w:t>
            </w:r>
          </w:p>
        </w:tc>
        <w:tc>
          <w:tcPr>
            <w:tcW w:w="1460" w:type="dxa"/>
            <w:tcBorders>
              <w:top w:val="nil"/>
              <w:left w:val="nil"/>
              <w:bottom w:val="nil"/>
              <w:right w:val="nil"/>
            </w:tcBorders>
            <w:shd w:val="clear" w:color="auto" w:fill="auto"/>
            <w:vAlign w:val="bottom"/>
            <w:hideMark/>
          </w:tcPr>
          <w:p w14:paraId="3471CF51"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0D2B2C86"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4C57B8D7"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1F506678" w14:textId="77777777" w:rsidTr="00282FF2">
        <w:trPr>
          <w:trHeight w:val="285"/>
        </w:trPr>
        <w:tc>
          <w:tcPr>
            <w:tcW w:w="5020" w:type="dxa"/>
            <w:tcBorders>
              <w:top w:val="nil"/>
              <w:left w:val="nil"/>
              <w:bottom w:val="nil"/>
              <w:right w:val="nil"/>
            </w:tcBorders>
            <w:shd w:val="clear" w:color="auto" w:fill="auto"/>
            <w:noWrap/>
            <w:vAlign w:val="bottom"/>
            <w:hideMark/>
          </w:tcPr>
          <w:p w14:paraId="28DEA2CB"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Current assets:</w:t>
            </w:r>
          </w:p>
        </w:tc>
        <w:tc>
          <w:tcPr>
            <w:tcW w:w="1460" w:type="dxa"/>
            <w:tcBorders>
              <w:top w:val="nil"/>
              <w:left w:val="nil"/>
              <w:bottom w:val="nil"/>
              <w:right w:val="nil"/>
            </w:tcBorders>
            <w:shd w:val="clear" w:color="auto" w:fill="auto"/>
            <w:noWrap/>
            <w:vAlign w:val="bottom"/>
            <w:hideMark/>
          </w:tcPr>
          <w:p w14:paraId="001801C5" w14:textId="77777777" w:rsidR="00702061" w:rsidRPr="000745C5" w:rsidRDefault="00702061" w:rsidP="00282FF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340882A3"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4588772A"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15497F33" w14:textId="77777777" w:rsidTr="00282FF2">
        <w:trPr>
          <w:trHeight w:val="285"/>
        </w:trPr>
        <w:tc>
          <w:tcPr>
            <w:tcW w:w="5020" w:type="dxa"/>
            <w:tcBorders>
              <w:top w:val="nil"/>
              <w:left w:val="nil"/>
              <w:bottom w:val="nil"/>
              <w:right w:val="nil"/>
            </w:tcBorders>
            <w:shd w:val="clear" w:color="auto" w:fill="auto"/>
            <w:noWrap/>
            <w:vAlign w:val="bottom"/>
            <w:hideMark/>
          </w:tcPr>
          <w:p w14:paraId="6A77C5C2"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Cash and cash equivalents</w:t>
            </w:r>
          </w:p>
        </w:tc>
        <w:tc>
          <w:tcPr>
            <w:tcW w:w="1460" w:type="dxa"/>
            <w:tcBorders>
              <w:top w:val="nil"/>
              <w:left w:val="nil"/>
              <w:bottom w:val="nil"/>
              <w:right w:val="nil"/>
            </w:tcBorders>
            <w:shd w:val="clear" w:color="auto" w:fill="auto"/>
            <w:noWrap/>
            <w:vAlign w:val="bottom"/>
            <w:hideMark/>
          </w:tcPr>
          <w:p w14:paraId="0FEA9E3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$6,510 </w:t>
            </w:r>
          </w:p>
        </w:tc>
        <w:tc>
          <w:tcPr>
            <w:tcW w:w="200" w:type="dxa"/>
            <w:tcBorders>
              <w:top w:val="nil"/>
              <w:left w:val="nil"/>
              <w:bottom w:val="nil"/>
              <w:right w:val="nil"/>
            </w:tcBorders>
            <w:shd w:val="clear" w:color="auto" w:fill="auto"/>
            <w:noWrap/>
            <w:vAlign w:val="bottom"/>
            <w:hideMark/>
          </w:tcPr>
          <w:p w14:paraId="36C44553"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22A4547A"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$5,595 </w:t>
            </w:r>
          </w:p>
        </w:tc>
      </w:tr>
      <w:tr w:rsidR="00702061" w:rsidRPr="000745C5" w14:paraId="71B6FDAF" w14:textId="77777777" w:rsidTr="00282FF2">
        <w:trPr>
          <w:trHeight w:val="570"/>
        </w:trPr>
        <w:tc>
          <w:tcPr>
            <w:tcW w:w="5020" w:type="dxa"/>
            <w:tcBorders>
              <w:top w:val="nil"/>
              <w:left w:val="nil"/>
              <w:bottom w:val="single" w:sz="4" w:space="0" w:color="auto"/>
              <w:right w:val="nil"/>
            </w:tcBorders>
            <w:shd w:val="clear" w:color="auto" w:fill="auto"/>
            <w:vAlign w:val="bottom"/>
            <w:hideMark/>
          </w:tcPr>
          <w:p w14:paraId="3FA187D1"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Short-term investments (including securities</w:t>
            </w:r>
            <w:r w:rsidRPr="000745C5">
              <w:rPr>
                <w:rFonts w:ascii="Segoe UI" w:eastAsia="Times New Roman" w:hAnsi="Segoe UI" w:cs="Segoe UI"/>
                <w:color w:val="666666"/>
                <w:sz w:val="20"/>
                <w:szCs w:val="20"/>
              </w:rPr>
              <w:br/>
              <w:t xml:space="preserve">      loaned of </w:t>
            </w:r>
            <w:r w:rsidRPr="000745C5">
              <w:rPr>
                <w:rFonts w:ascii="Segoe UI" w:eastAsia="Times New Roman" w:hAnsi="Segoe UI" w:cs="Segoe UI"/>
                <w:b/>
                <w:bCs/>
                <w:color w:val="666666"/>
                <w:sz w:val="20"/>
                <w:szCs w:val="20"/>
              </w:rPr>
              <w:t>$204</w:t>
            </w:r>
            <w:r w:rsidRPr="000745C5">
              <w:rPr>
                <w:rFonts w:ascii="Segoe UI" w:eastAsia="Times New Roman" w:hAnsi="Segoe UI" w:cs="Segoe UI"/>
                <w:color w:val="666666"/>
                <w:sz w:val="20"/>
                <w:szCs w:val="20"/>
              </w:rPr>
              <w:t xml:space="preserve"> and $75)</w:t>
            </w:r>
          </w:p>
        </w:tc>
        <w:tc>
          <w:tcPr>
            <w:tcW w:w="1460" w:type="dxa"/>
            <w:tcBorders>
              <w:top w:val="nil"/>
              <w:left w:val="nil"/>
              <w:bottom w:val="single" w:sz="4" w:space="0" w:color="auto"/>
              <w:right w:val="nil"/>
            </w:tcBorders>
            <w:shd w:val="clear" w:color="auto" w:fill="auto"/>
            <w:noWrap/>
            <w:vAlign w:val="bottom"/>
            <w:hideMark/>
          </w:tcPr>
          <w:p w14:paraId="32E430E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106,730 </w:t>
            </w:r>
          </w:p>
        </w:tc>
        <w:tc>
          <w:tcPr>
            <w:tcW w:w="200" w:type="dxa"/>
            <w:tcBorders>
              <w:top w:val="nil"/>
              <w:left w:val="nil"/>
              <w:bottom w:val="nil"/>
              <w:right w:val="nil"/>
            </w:tcBorders>
            <w:shd w:val="clear" w:color="auto" w:fill="auto"/>
            <w:noWrap/>
            <w:vAlign w:val="bottom"/>
            <w:hideMark/>
          </w:tcPr>
          <w:p w14:paraId="773598F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5E39FD4B"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90,931 </w:t>
            </w:r>
          </w:p>
        </w:tc>
      </w:tr>
      <w:tr w:rsidR="00702061" w:rsidRPr="000745C5" w14:paraId="26A13484" w14:textId="77777777" w:rsidTr="00282FF2">
        <w:trPr>
          <w:trHeight w:val="570"/>
        </w:trPr>
        <w:tc>
          <w:tcPr>
            <w:tcW w:w="5020" w:type="dxa"/>
            <w:tcBorders>
              <w:top w:val="nil"/>
              <w:left w:val="nil"/>
              <w:bottom w:val="nil"/>
              <w:right w:val="nil"/>
            </w:tcBorders>
            <w:shd w:val="clear" w:color="auto" w:fill="auto"/>
            <w:vAlign w:val="bottom"/>
            <w:hideMark/>
          </w:tcPr>
          <w:p w14:paraId="142F21C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cash, cash equivalents, and short-term </w:t>
            </w:r>
            <w:r w:rsidRPr="000745C5">
              <w:rPr>
                <w:rFonts w:ascii="Segoe UI" w:eastAsia="Times New Roman" w:hAnsi="Segoe UI" w:cs="Segoe UI"/>
                <w:color w:val="666666"/>
                <w:sz w:val="20"/>
                <w:szCs w:val="20"/>
              </w:rPr>
              <w:br/>
              <w:t xml:space="preserve">         investments</w:t>
            </w:r>
          </w:p>
        </w:tc>
        <w:tc>
          <w:tcPr>
            <w:tcW w:w="1460" w:type="dxa"/>
            <w:tcBorders>
              <w:top w:val="nil"/>
              <w:left w:val="nil"/>
              <w:bottom w:val="nil"/>
              <w:right w:val="nil"/>
            </w:tcBorders>
            <w:shd w:val="clear" w:color="auto" w:fill="auto"/>
            <w:noWrap/>
            <w:vAlign w:val="bottom"/>
            <w:hideMark/>
          </w:tcPr>
          <w:p w14:paraId="6F309FC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113,240 </w:t>
            </w:r>
          </w:p>
        </w:tc>
        <w:tc>
          <w:tcPr>
            <w:tcW w:w="200" w:type="dxa"/>
            <w:tcBorders>
              <w:top w:val="nil"/>
              <w:left w:val="nil"/>
              <w:bottom w:val="nil"/>
              <w:right w:val="nil"/>
            </w:tcBorders>
            <w:shd w:val="clear" w:color="auto" w:fill="auto"/>
            <w:noWrap/>
            <w:vAlign w:val="bottom"/>
            <w:hideMark/>
          </w:tcPr>
          <w:p w14:paraId="376F254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3DF622C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96,526 </w:t>
            </w:r>
          </w:p>
        </w:tc>
      </w:tr>
      <w:tr w:rsidR="00702061" w:rsidRPr="000745C5" w14:paraId="3D524170" w14:textId="77777777" w:rsidTr="00282FF2">
        <w:trPr>
          <w:trHeight w:val="570"/>
        </w:trPr>
        <w:tc>
          <w:tcPr>
            <w:tcW w:w="5020" w:type="dxa"/>
            <w:tcBorders>
              <w:top w:val="nil"/>
              <w:left w:val="nil"/>
              <w:bottom w:val="nil"/>
              <w:right w:val="nil"/>
            </w:tcBorders>
            <w:shd w:val="clear" w:color="auto" w:fill="auto"/>
            <w:vAlign w:val="bottom"/>
            <w:hideMark/>
          </w:tcPr>
          <w:p w14:paraId="116867F9"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Accounts receivable, net of allowance for doubtful</w:t>
            </w:r>
            <w:r w:rsidRPr="000745C5">
              <w:rPr>
                <w:rFonts w:ascii="Segoe UI" w:eastAsia="Times New Roman" w:hAnsi="Segoe UI" w:cs="Segoe UI"/>
                <w:color w:val="666666"/>
                <w:sz w:val="20"/>
                <w:szCs w:val="20"/>
              </w:rPr>
              <w:br/>
              <w:t xml:space="preserve">      accounts of </w:t>
            </w:r>
            <w:r w:rsidRPr="000745C5">
              <w:rPr>
                <w:rFonts w:ascii="Segoe UI" w:eastAsia="Times New Roman" w:hAnsi="Segoe UI" w:cs="Segoe UI"/>
                <w:b/>
                <w:bCs/>
                <w:color w:val="666666"/>
                <w:sz w:val="20"/>
                <w:szCs w:val="20"/>
              </w:rPr>
              <w:t>$426</w:t>
            </w:r>
            <w:r w:rsidRPr="000745C5">
              <w:rPr>
                <w:rFonts w:ascii="Segoe UI" w:eastAsia="Times New Roman" w:hAnsi="Segoe UI" w:cs="Segoe UI"/>
                <w:color w:val="666666"/>
                <w:sz w:val="20"/>
                <w:szCs w:val="20"/>
              </w:rPr>
              <w:t xml:space="preserve"> and $335</w:t>
            </w:r>
          </w:p>
        </w:tc>
        <w:tc>
          <w:tcPr>
            <w:tcW w:w="1460" w:type="dxa"/>
            <w:tcBorders>
              <w:top w:val="nil"/>
              <w:left w:val="nil"/>
              <w:bottom w:val="nil"/>
              <w:right w:val="nil"/>
            </w:tcBorders>
            <w:shd w:val="clear" w:color="auto" w:fill="auto"/>
            <w:noWrap/>
            <w:vAlign w:val="bottom"/>
            <w:hideMark/>
          </w:tcPr>
          <w:p w14:paraId="6D6981E3"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18,277 </w:t>
            </w:r>
          </w:p>
        </w:tc>
        <w:tc>
          <w:tcPr>
            <w:tcW w:w="200" w:type="dxa"/>
            <w:tcBorders>
              <w:top w:val="nil"/>
              <w:left w:val="nil"/>
              <w:bottom w:val="nil"/>
              <w:right w:val="nil"/>
            </w:tcBorders>
            <w:shd w:val="clear" w:color="auto" w:fill="auto"/>
            <w:noWrap/>
            <w:vAlign w:val="bottom"/>
            <w:hideMark/>
          </w:tcPr>
          <w:p w14:paraId="03A8D7C8"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7F6ABFEF"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17,908 </w:t>
            </w:r>
          </w:p>
        </w:tc>
      </w:tr>
      <w:tr w:rsidR="00702061" w:rsidRPr="000745C5" w14:paraId="512FBA7A" w14:textId="77777777" w:rsidTr="00282FF2">
        <w:trPr>
          <w:trHeight w:val="285"/>
        </w:trPr>
        <w:tc>
          <w:tcPr>
            <w:tcW w:w="5020" w:type="dxa"/>
            <w:tcBorders>
              <w:top w:val="nil"/>
              <w:left w:val="nil"/>
              <w:bottom w:val="nil"/>
              <w:right w:val="nil"/>
            </w:tcBorders>
            <w:shd w:val="clear" w:color="auto" w:fill="auto"/>
            <w:noWrap/>
            <w:vAlign w:val="bottom"/>
            <w:hideMark/>
          </w:tcPr>
          <w:p w14:paraId="17A54B38"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Inventories</w:t>
            </w:r>
          </w:p>
        </w:tc>
        <w:tc>
          <w:tcPr>
            <w:tcW w:w="1460" w:type="dxa"/>
            <w:tcBorders>
              <w:top w:val="nil"/>
              <w:left w:val="nil"/>
              <w:bottom w:val="nil"/>
              <w:right w:val="nil"/>
            </w:tcBorders>
            <w:shd w:val="clear" w:color="auto" w:fill="auto"/>
            <w:noWrap/>
            <w:vAlign w:val="bottom"/>
            <w:hideMark/>
          </w:tcPr>
          <w:p w14:paraId="3B435B8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2,251 </w:t>
            </w:r>
          </w:p>
        </w:tc>
        <w:tc>
          <w:tcPr>
            <w:tcW w:w="200" w:type="dxa"/>
            <w:tcBorders>
              <w:top w:val="nil"/>
              <w:left w:val="nil"/>
              <w:bottom w:val="nil"/>
              <w:right w:val="nil"/>
            </w:tcBorders>
            <w:shd w:val="clear" w:color="auto" w:fill="auto"/>
            <w:noWrap/>
            <w:vAlign w:val="bottom"/>
            <w:hideMark/>
          </w:tcPr>
          <w:p w14:paraId="221B9FD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18CED0DF"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2,902 </w:t>
            </w:r>
          </w:p>
        </w:tc>
      </w:tr>
      <w:tr w:rsidR="00702061" w:rsidRPr="000745C5" w14:paraId="20841BC3" w14:textId="77777777" w:rsidTr="00282FF2">
        <w:trPr>
          <w:trHeight w:val="285"/>
        </w:trPr>
        <w:tc>
          <w:tcPr>
            <w:tcW w:w="5020" w:type="dxa"/>
            <w:tcBorders>
              <w:top w:val="nil"/>
              <w:left w:val="nil"/>
              <w:bottom w:val="single" w:sz="4" w:space="0" w:color="auto"/>
              <w:right w:val="nil"/>
            </w:tcBorders>
            <w:shd w:val="clear" w:color="auto" w:fill="auto"/>
            <w:noWrap/>
            <w:vAlign w:val="center"/>
            <w:hideMark/>
          </w:tcPr>
          <w:p w14:paraId="2F11AE64"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Other</w:t>
            </w:r>
          </w:p>
        </w:tc>
        <w:tc>
          <w:tcPr>
            <w:tcW w:w="1460" w:type="dxa"/>
            <w:tcBorders>
              <w:top w:val="nil"/>
              <w:left w:val="nil"/>
              <w:bottom w:val="single" w:sz="4" w:space="0" w:color="auto"/>
              <w:right w:val="nil"/>
            </w:tcBorders>
            <w:shd w:val="clear" w:color="auto" w:fill="auto"/>
            <w:noWrap/>
            <w:vAlign w:val="bottom"/>
            <w:hideMark/>
          </w:tcPr>
          <w:p w14:paraId="545C048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5,892 </w:t>
            </w:r>
          </w:p>
        </w:tc>
        <w:tc>
          <w:tcPr>
            <w:tcW w:w="200" w:type="dxa"/>
            <w:tcBorders>
              <w:top w:val="nil"/>
              <w:left w:val="nil"/>
              <w:bottom w:val="nil"/>
              <w:right w:val="nil"/>
            </w:tcBorders>
            <w:shd w:val="clear" w:color="auto" w:fill="auto"/>
            <w:noWrap/>
            <w:vAlign w:val="bottom"/>
            <w:hideMark/>
          </w:tcPr>
          <w:p w14:paraId="69266C7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021CA8CB"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5,461 </w:t>
            </w:r>
          </w:p>
        </w:tc>
      </w:tr>
      <w:tr w:rsidR="00702061" w:rsidRPr="000745C5" w14:paraId="55A65256" w14:textId="77777777" w:rsidTr="00282FF2">
        <w:trPr>
          <w:trHeight w:val="285"/>
        </w:trPr>
        <w:tc>
          <w:tcPr>
            <w:tcW w:w="5020" w:type="dxa"/>
            <w:tcBorders>
              <w:top w:val="nil"/>
              <w:left w:val="nil"/>
              <w:bottom w:val="nil"/>
              <w:right w:val="nil"/>
            </w:tcBorders>
            <w:shd w:val="clear" w:color="auto" w:fill="auto"/>
            <w:noWrap/>
            <w:vAlign w:val="bottom"/>
            <w:hideMark/>
          </w:tcPr>
          <w:p w14:paraId="0729BB2C"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current assets</w:t>
            </w:r>
          </w:p>
        </w:tc>
        <w:tc>
          <w:tcPr>
            <w:tcW w:w="1460" w:type="dxa"/>
            <w:tcBorders>
              <w:top w:val="nil"/>
              <w:left w:val="nil"/>
              <w:bottom w:val="nil"/>
              <w:right w:val="nil"/>
            </w:tcBorders>
            <w:shd w:val="clear" w:color="auto" w:fill="auto"/>
            <w:noWrap/>
            <w:vAlign w:val="bottom"/>
            <w:hideMark/>
          </w:tcPr>
          <w:p w14:paraId="66FE3B5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139,660 </w:t>
            </w:r>
          </w:p>
        </w:tc>
        <w:tc>
          <w:tcPr>
            <w:tcW w:w="200" w:type="dxa"/>
            <w:tcBorders>
              <w:top w:val="nil"/>
              <w:left w:val="nil"/>
              <w:bottom w:val="nil"/>
              <w:right w:val="nil"/>
            </w:tcBorders>
            <w:shd w:val="clear" w:color="auto" w:fill="auto"/>
            <w:noWrap/>
            <w:vAlign w:val="bottom"/>
            <w:hideMark/>
          </w:tcPr>
          <w:p w14:paraId="423810FD"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7BF08835"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12</w:t>
            </w:r>
            <w:r>
              <w:rPr>
                <w:rFonts w:ascii="Segoe UI" w:eastAsia="Times New Roman" w:hAnsi="Segoe UI" w:cs="Segoe UI"/>
                <w:color w:val="666666"/>
                <w:sz w:val="20"/>
                <w:szCs w:val="20"/>
              </w:rPr>
              <w:t>2,797</w:t>
            </w:r>
            <w:r w:rsidRPr="000745C5">
              <w:rPr>
                <w:rFonts w:ascii="Segoe UI" w:eastAsia="Times New Roman" w:hAnsi="Segoe UI" w:cs="Segoe UI"/>
                <w:color w:val="666666"/>
                <w:sz w:val="20"/>
                <w:szCs w:val="20"/>
              </w:rPr>
              <w:t xml:space="preserve"> </w:t>
            </w:r>
          </w:p>
        </w:tc>
      </w:tr>
      <w:tr w:rsidR="00702061" w:rsidRPr="000745C5" w14:paraId="76A1E9BF" w14:textId="77777777" w:rsidTr="00282FF2">
        <w:trPr>
          <w:trHeight w:val="570"/>
        </w:trPr>
        <w:tc>
          <w:tcPr>
            <w:tcW w:w="5020" w:type="dxa"/>
            <w:tcBorders>
              <w:top w:val="nil"/>
              <w:left w:val="nil"/>
              <w:bottom w:val="nil"/>
              <w:right w:val="nil"/>
            </w:tcBorders>
            <w:shd w:val="clear" w:color="auto" w:fill="auto"/>
            <w:vAlign w:val="bottom"/>
            <w:hideMark/>
          </w:tcPr>
          <w:p w14:paraId="68B19B76"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Property and equipment, net of accumulated</w:t>
            </w:r>
            <w:r w:rsidRPr="000745C5">
              <w:rPr>
                <w:rFonts w:ascii="Segoe UI" w:eastAsia="Times New Roman" w:hAnsi="Segoe UI" w:cs="Segoe UI"/>
                <w:color w:val="666666"/>
                <w:sz w:val="20"/>
                <w:szCs w:val="20"/>
              </w:rPr>
              <w:br/>
              <w:t xml:space="preserve">   depreciation of </w:t>
            </w:r>
            <w:r w:rsidRPr="000745C5">
              <w:rPr>
                <w:rFonts w:ascii="Segoe UI" w:eastAsia="Times New Roman" w:hAnsi="Segoe UI" w:cs="Segoe UI"/>
                <w:b/>
                <w:bCs/>
                <w:color w:val="666666"/>
                <w:sz w:val="20"/>
                <w:szCs w:val="20"/>
              </w:rPr>
              <w:t>$19,800</w:t>
            </w:r>
            <w:r w:rsidRPr="000745C5">
              <w:rPr>
                <w:rFonts w:ascii="Segoe UI" w:eastAsia="Times New Roman" w:hAnsi="Segoe UI" w:cs="Segoe UI"/>
                <w:color w:val="666666"/>
                <w:sz w:val="20"/>
                <w:szCs w:val="20"/>
              </w:rPr>
              <w:t xml:space="preserve"> and $17,606</w:t>
            </w:r>
          </w:p>
        </w:tc>
        <w:tc>
          <w:tcPr>
            <w:tcW w:w="1460" w:type="dxa"/>
            <w:tcBorders>
              <w:top w:val="nil"/>
              <w:left w:val="nil"/>
              <w:bottom w:val="nil"/>
              <w:right w:val="nil"/>
            </w:tcBorders>
            <w:shd w:val="clear" w:color="auto" w:fill="auto"/>
            <w:noWrap/>
            <w:vAlign w:val="bottom"/>
            <w:hideMark/>
          </w:tcPr>
          <w:p w14:paraId="00A5DF2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18,356 </w:t>
            </w:r>
          </w:p>
        </w:tc>
        <w:tc>
          <w:tcPr>
            <w:tcW w:w="200" w:type="dxa"/>
            <w:tcBorders>
              <w:top w:val="nil"/>
              <w:left w:val="nil"/>
              <w:bottom w:val="nil"/>
              <w:right w:val="nil"/>
            </w:tcBorders>
            <w:shd w:val="clear" w:color="auto" w:fill="auto"/>
            <w:noWrap/>
            <w:vAlign w:val="bottom"/>
            <w:hideMark/>
          </w:tcPr>
          <w:p w14:paraId="766D9F9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66917E29"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14,731 </w:t>
            </w:r>
          </w:p>
        </w:tc>
      </w:tr>
      <w:tr w:rsidR="00702061" w:rsidRPr="000745C5" w14:paraId="26B642D6" w14:textId="77777777" w:rsidTr="00282FF2">
        <w:trPr>
          <w:trHeight w:val="285"/>
        </w:trPr>
        <w:tc>
          <w:tcPr>
            <w:tcW w:w="5020" w:type="dxa"/>
            <w:tcBorders>
              <w:top w:val="nil"/>
              <w:left w:val="nil"/>
              <w:bottom w:val="nil"/>
              <w:right w:val="nil"/>
            </w:tcBorders>
            <w:shd w:val="clear" w:color="auto" w:fill="auto"/>
            <w:noWrap/>
            <w:vAlign w:val="bottom"/>
            <w:hideMark/>
          </w:tcPr>
          <w:p w14:paraId="3C91321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Equity and other investments</w:t>
            </w:r>
          </w:p>
        </w:tc>
        <w:tc>
          <w:tcPr>
            <w:tcW w:w="1460" w:type="dxa"/>
            <w:tcBorders>
              <w:top w:val="nil"/>
              <w:left w:val="nil"/>
              <w:bottom w:val="nil"/>
              <w:right w:val="nil"/>
            </w:tcBorders>
            <w:shd w:val="clear" w:color="auto" w:fill="auto"/>
            <w:noWrap/>
            <w:vAlign w:val="bottom"/>
            <w:hideMark/>
          </w:tcPr>
          <w:p w14:paraId="293B267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10,431 </w:t>
            </w:r>
          </w:p>
        </w:tc>
        <w:tc>
          <w:tcPr>
            <w:tcW w:w="200" w:type="dxa"/>
            <w:tcBorders>
              <w:top w:val="nil"/>
              <w:left w:val="nil"/>
              <w:bottom w:val="nil"/>
              <w:right w:val="nil"/>
            </w:tcBorders>
            <w:shd w:val="clear" w:color="auto" w:fill="auto"/>
            <w:noWrap/>
            <w:vAlign w:val="bottom"/>
            <w:hideMark/>
          </w:tcPr>
          <w:p w14:paraId="5D3FB770"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706D2877"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12,053 </w:t>
            </w:r>
          </w:p>
        </w:tc>
      </w:tr>
      <w:tr w:rsidR="00702061" w:rsidRPr="000745C5" w14:paraId="6B7130FA" w14:textId="77777777" w:rsidTr="00282FF2">
        <w:trPr>
          <w:trHeight w:val="285"/>
        </w:trPr>
        <w:tc>
          <w:tcPr>
            <w:tcW w:w="5020" w:type="dxa"/>
            <w:tcBorders>
              <w:top w:val="nil"/>
              <w:left w:val="nil"/>
              <w:bottom w:val="nil"/>
              <w:right w:val="nil"/>
            </w:tcBorders>
            <w:shd w:val="clear" w:color="auto" w:fill="auto"/>
            <w:noWrap/>
            <w:vAlign w:val="bottom"/>
            <w:hideMark/>
          </w:tcPr>
          <w:p w14:paraId="392ECAE8"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Goodwill</w:t>
            </w:r>
          </w:p>
        </w:tc>
        <w:tc>
          <w:tcPr>
            <w:tcW w:w="1460" w:type="dxa"/>
            <w:tcBorders>
              <w:top w:val="nil"/>
              <w:left w:val="nil"/>
              <w:bottom w:val="nil"/>
              <w:right w:val="nil"/>
            </w:tcBorders>
            <w:shd w:val="clear" w:color="auto" w:fill="auto"/>
            <w:noWrap/>
            <w:vAlign w:val="bottom"/>
            <w:hideMark/>
          </w:tcPr>
          <w:p w14:paraId="532B04D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17,872 </w:t>
            </w:r>
          </w:p>
        </w:tc>
        <w:tc>
          <w:tcPr>
            <w:tcW w:w="200" w:type="dxa"/>
            <w:tcBorders>
              <w:top w:val="nil"/>
              <w:left w:val="nil"/>
              <w:bottom w:val="nil"/>
              <w:right w:val="nil"/>
            </w:tcBorders>
            <w:shd w:val="clear" w:color="auto" w:fill="auto"/>
            <w:noWrap/>
            <w:vAlign w:val="bottom"/>
            <w:hideMark/>
          </w:tcPr>
          <w:p w14:paraId="34658EC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37239754"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16,939 </w:t>
            </w:r>
          </w:p>
        </w:tc>
      </w:tr>
      <w:tr w:rsidR="00702061" w:rsidRPr="000745C5" w14:paraId="43B2977B" w14:textId="77777777" w:rsidTr="00282FF2">
        <w:trPr>
          <w:trHeight w:val="285"/>
        </w:trPr>
        <w:tc>
          <w:tcPr>
            <w:tcW w:w="5020" w:type="dxa"/>
            <w:tcBorders>
              <w:top w:val="nil"/>
              <w:left w:val="nil"/>
              <w:bottom w:val="nil"/>
              <w:right w:val="nil"/>
            </w:tcBorders>
            <w:shd w:val="clear" w:color="auto" w:fill="auto"/>
            <w:noWrap/>
            <w:vAlign w:val="bottom"/>
            <w:hideMark/>
          </w:tcPr>
          <w:p w14:paraId="7070E140"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Intangible assets, net</w:t>
            </w:r>
          </w:p>
        </w:tc>
        <w:tc>
          <w:tcPr>
            <w:tcW w:w="1460" w:type="dxa"/>
            <w:tcBorders>
              <w:top w:val="nil"/>
              <w:left w:val="nil"/>
              <w:bottom w:val="nil"/>
              <w:right w:val="nil"/>
            </w:tcBorders>
            <w:shd w:val="clear" w:color="auto" w:fill="auto"/>
            <w:noWrap/>
            <w:vAlign w:val="bottom"/>
            <w:hideMark/>
          </w:tcPr>
          <w:p w14:paraId="357E4CF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3,733 </w:t>
            </w:r>
          </w:p>
        </w:tc>
        <w:tc>
          <w:tcPr>
            <w:tcW w:w="200" w:type="dxa"/>
            <w:tcBorders>
              <w:top w:val="nil"/>
              <w:left w:val="nil"/>
              <w:bottom w:val="nil"/>
              <w:right w:val="nil"/>
            </w:tcBorders>
            <w:shd w:val="clear" w:color="auto" w:fill="auto"/>
            <w:noWrap/>
            <w:vAlign w:val="bottom"/>
            <w:hideMark/>
          </w:tcPr>
          <w:p w14:paraId="495B44D2"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4D6C02C1"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4,835 </w:t>
            </w:r>
          </w:p>
        </w:tc>
      </w:tr>
      <w:tr w:rsidR="00702061" w:rsidRPr="000745C5" w14:paraId="58D9AA84" w14:textId="77777777" w:rsidTr="00282FF2">
        <w:trPr>
          <w:trHeight w:val="285"/>
        </w:trPr>
        <w:tc>
          <w:tcPr>
            <w:tcW w:w="5020" w:type="dxa"/>
            <w:tcBorders>
              <w:top w:val="nil"/>
              <w:left w:val="nil"/>
              <w:bottom w:val="single" w:sz="4" w:space="0" w:color="auto"/>
              <w:right w:val="nil"/>
            </w:tcBorders>
            <w:shd w:val="clear" w:color="auto" w:fill="auto"/>
            <w:noWrap/>
            <w:vAlign w:val="bottom"/>
            <w:hideMark/>
          </w:tcPr>
          <w:p w14:paraId="356A1CB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Other long-term assets</w:t>
            </w:r>
          </w:p>
        </w:tc>
        <w:tc>
          <w:tcPr>
            <w:tcW w:w="1460" w:type="dxa"/>
            <w:tcBorders>
              <w:top w:val="nil"/>
              <w:left w:val="nil"/>
              <w:bottom w:val="single" w:sz="4" w:space="0" w:color="auto"/>
              <w:right w:val="nil"/>
            </w:tcBorders>
            <w:shd w:val="clear" w:color="auto" w:fill="auto"/>
            <w:noWrap/>
            <w:vAlign w:val="bottom"/>
            <w:hideMark/>
          </w:tcPr>
          <w:p w14:paraId="42DC091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3,642 </w:t>
            </w:r>
          </w:p>
        </w:tc>
        <w:tc>
          <w:tcPr>
            <w:tcW w:w="200" w:type="dxa"/>
            <w:tcBorders>
              <w:top w:val="nil"/>
              <w:left w:val="nil"/>
              <w:bottom w:val="nil"/>
              <w:right w:val="nil"/>
            </w:tcBorders>
            <w:shd w:val="clear" w:color="auto" w:fill="auto"/>
            <w:noWrap/>
            <w:vAlign w:val="bottom"/>
            <w:hideMark/>
          </w:tcPr>
          <w:p w14:paraId="0E56BB0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30521AC4"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3,117</w:t>
            </w:r>
            <w:r w:rsidRPr="000745C5">
              <w:rPr>
                <w:rFonts w:ascii="Segoe UI" w:eastAsia="Times New Roman" w:hAnsi="Segoe UI" w:cs="Segoe UI"/>
                <w:color w:val="666666"/>
                <w:sz w:val="20"/>
                <w:szCs w:val="20"/>
              </w:rPr>
              <w:t xml:space="preserve"> </w:t>
            </w:r>
          </w:p>
        </w:tc>
      </w:tr>
      <w:tr w:rsidR="00702061" w:rsidRPr="000745C5" w14:paraId="0A298DD9" w14:textId="77777777" w:rsidTr="00282FF2">
        <w:trPr>
          <w:trHeight w:val="300"/>
        </w:trPr>
        <w:tc>
          <w:tcPr>
            <w:tcW w:w="5020" w:type="dxa"/>
            <w:tcBorders>
              <w:top w:val="nil"/>
              <w:left w:val="nil"/>
              <w:bottom w:val="nil"/>
              <w:right w:val="nil"/>
            </w:tcBorders>
            <w:shd w:val="clear" w:color="auto" w:fill="auto"/>
            <w:noWrap/>
            <w:vAlign w:val="bottom"/>
            <w:hideMark/>
          </w:tcPr>
          <w:p w14:paraId="316F7793"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assets</w:t>
            </w:r>
          </w:p>
        </w:tc>
        <w:tc>
          <w:tcPr>
            <w:tcW w:w="1460" w:type="dxa"/>
            <w:tcBorders>
              <w:top w:val="nil"/>
              <w:left w:val="nil"/>
              <w:bottom w:val="single" w:sz="8" w:space="0" w:color="auto"/>
              <w:right w:val="nil"/>
            </w:tcBorders>
            <w:shd w:val="clear" w:color="auto" w:fill="auto"/>
            <w:noWrap/>
            <w:vAlign w:val="bottom"/>
            <w:hideMark/>
          </w:tcPr>
          <w:p w14:paraId="1C4B124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$193,694 </w:t>
            </w:r>
          </w:p>
        </w:tc>
        <w:tc>
          <w:tcPr>
            <w:tcW w:w="200" w:type="dxa"/>
            <w:tcBorders>
              <w:top w:val="nil"/>
              <w:left w:val="nil"/>
              <w:bottom w:val="nil"/>
              <w:right w:val="nil"/>
            </w:tcBorders>
            <w:shd w:val="clear" w:color="auto" w:fill="auto"/>
            <w:noWrap/>
            <w:vAlign w:val="bottom"/>
            <w:hideMark/>
          </w:tcPr>
          <w:p w14:paraId="0708F96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8" w:space="0" w:color="auto"/>
              <w:right w:val="nil"/>
            </w:tcBorders>
            <w:shd w:val="clear" w:color="auto" w:fill="auto"/>
            <w:noWrap/>
            <w:vAlign w:val="bottom"/>
            <w:hideMark/>
          </w:tcPr>
          <w:p w14:paraId="7E547C1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$17</w:t>
            </w:r>
            <w:r>
              <w:rPr>
                <w:rFonts w:ascii="Segoe UI" w:eastAsia="Times New Roman" w:hAnsi="Segoe UI" w:cs="Segoe UI"/>
                <w:color w:val="666666"/>
                <w:sz w:val="20"/>
                <w:szCs w:val="20"/>
              </w:rPr>
              <w:t>4,472</w:t>
            </w:r>
            <w:r w:rsidRPr="000745C5">
              <w:rPr>
                <w:rFonts w:ascii="Segoe UI" w:eastAsia="Times New Roman" w:hAnsi="Segoe UI" w:cs="Segoe UI"/>
                <w:color w:val="666666"/>
                <w:sz w:val="20"/>
                <w:szCs w:val="20"/>
              </w:rPr>
              <w:t xml:space="preserve"> </w:t>
            </w:r>
          </w:p>
        </w:tc>
      </w:tr>
      <w:tr w:rsidR="00702061" w:rsidRPr="000745C5" w14:paraId="27941F75" w14:textId="77777777" w:rsidTr="00282FF2">
        <w:trPr>
          <w:trHeight w:val="105"/>
        </w:trPr>
        <w:tc>
          <w:tcPr>
            <w:tcW w:w="5020" w:type="dxa"/>
            <w:tcBorders>
              <w:top w:val="nil"/>
              <w:left w:val="nil"/>
              <w:bottom w:val="nil"/>
              <w:right w:val="nil"/>
            </w:tcBorders>
            <w:shd w:val="clear" w:color="auto" w:fill="auto"/>
            <w:noWrap/>
            <w:vAlign w:val="bottom"/>
            <w:hideMark/>
          </w:tcPr>
          <w:p w14:paraId="77336B4F"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p>
        </w:tc>
        <w:tc>
          <w:tcPr>
            <w:tcW w:w="1460" w:type="dxa"/>
            <w:tcBorders>
              <w:top w:val="nil"/>
              <w:left w:val="nil"/>
              <w:bottom w:val="nil"/>
              <w:right w:val="nil"/>
            </w:tcBorders>
            <w:shd w:val="clear" w:color="auto" w:fill="auto"/>
            <w:noWrap/>
            <w:vAlign w:val="bottom"/>
            <w:hideMark/>
          </w:tcPr>
          <w:p w14:paraId="0AA8BFB9" w14:textId="77777777" w:rsidR="00702061" w:rsidRPr="000745C5" w:rsidRDefault="00702061" w:rsidP="00282FF2">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06CFBFCD"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6AFDD9A9"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4638DB6F" w14:textId="77777777" w:rsidTr="00282FF2">
        <w:trPr>
          <w:trHeight w:val="285"/>
        </w:trPr>
        <w:tc>
          <w:tcPr>
            <w:tcW w:w="5020" w:type="dxa"/>
            <w:tcBorders>
              <w:top w:val="nil"/>
              <w:left w:val="nil"/>
              <w:bottom w:val="nil"/>
              <w:right w:val="nil"/>
            </w:tcBorders>
            <w:shd w:val="clear" w:color="auto" w:fill="auto"/>
            <w:noWrap/>
            <w:vAlign w:val="bottom"/>
            <w:hideMark/>
          </w:tcPr>
          <w:p w14:paraId="7887971A" w14:textId="77777777" w:rsidR="00702061" w:rsidRPr="000745C5" w:rsidRDefault="00702061" w:rsidP="00282FF2">
            <w:pPr>
              <w:spacing w:after="0" w:line="240" w:lineRule="auto"/>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Liabilities and stockholders' equity</w:t>
            </w:r>
          </w:p>
        </w:tc>
        <w:tc>
          <w:tcPr>
            <w:tcW w:w="1460" w:type="dxa"/>
            <w:tcBorders>
              <w:top w:val="nil"/>
              <w:left w:val="nil"/>
              <w:bottom w:val="nil"/>
              <w:right w:val="nil"/>
            </w:tcBorders>
            <w:shd w:val="clear" w:color="auto" w:fill="auto"/>
            <w:noWrap/>
            <w:vAlign w:val="bottom"/>
            <w:hideMark/>
          </w:tcPr>
          <w:p w14:paraId="04BCCB37" w14:textId="77777777" w:rsidR="00702061" w:rsidRPr="000745C5" w:rsidRDefault="00702061" w:rsidP="00282FF2">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59CCBFBE"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1EE4AFCC"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2A2C8E51" w14:textId="77777777" w:rsidTr="00282FF2">
        <w:trPr>
          <w:trHeight w:val="285"/>
        </w:trPr>
        <w:tc>
          <w:tcPr>
            <w:tcW w:w="5020" w:type="dxa"/>
            <w:tcBorders>
              <w:top w:val="nil"/>
              <w:left w:val="nil"/>
              <w:bottom w:val="nil"/>
              <w:right w:val="nil"/>
            </w:tcBorders>
            <w:shd w:val="clear" w:color="auto" w:fill="auto"/>
            <w:noWrap/>
            <w:vAlign w:val="bottom"/>
            <w:hideMark/>
          </w:tcPr>
          <w:p w14:paraId="0E46FF41"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Current liabilities:</w:t>
            </w:r>
          </w:p>
        </w:tc>
        <w:tc>
          <w:tcPr>
            <w:tcW w:w="1460" w:type="dxa"/>
            <w:tcBorders>
              <w:top w:val="nil"/>
              <w:left w:val="nil"/>
              <w:bottom w:val="nil"/>
              <w:right w:val="nil"/>
            </w:tcBorders>
            <w:shd w:val="clear" w:color="auto" w:fill="auto"/>
            <w:noWrap/>
            <w:vAlign w:val="bottom"/>
            <w:hideMark/>
          </w:tcPr>
          <w:p w14:paraId="54BB107E" w14:textId="77777777" w:rsidR="00702061" w:rsidRPr="000745C5" w:rsidRDefault="00702061" w:rsidP="00282FF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27748E3D"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3D81732E"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4439B898" w14:textId="77777777" w:rsidTr="00282FF2">
        <w:trPr>
          <w:trHeight w:val="285"/>
        </w:trPr>
        <w:tc>
          <w:tcPr>
            <w:tcW w:w="5020" w:type="dxa"/>
            <w:tcBorders>
              <w:top w:val="nil"/>
              <w:left w:val="nil"/>
              <w:bottom w:val="nil"/>
              <w:right w:val="nil"/>
            </w:tcBorders>
            <w:shd w:val="clear" w:color="auto" w:fill="auto"/>
            <w:noWrap/>
            <w:vAlign w:val="bottom"/>
            <w:hideMark/>
          </w:tcPr>
          <w:p w14:paraId="0A5C94C4"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Accounts payable</w:t>
            </w:r>
          </w:p>
        </w:tc>
        <w:tc>
          <w:tcPr>
            <w:tcW w:w="1460" w:type="dxa"/>
            <w:tcBorders>
              <w:top w:val="nil"/>
              <w:left w:val="nil"/>
              <w:bottom w:val="nil"/>
              <w:right w:val="nil"/>
            </w:tcBorders>
            <w:shd w:val="clear" w:color="auto" w:fill="auto"/>
            <w:noWrap/>
            <w:vAlign w:val="bottom"/>
            <w:hideMark/>
          </w:tcPr>
          <w:p w14:paraId="1CC3E6C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$6,898 </w:t>
            </w:r>
          </w:p>
        </w:tc>
        <w:tc>
          <w:tcPr>
            <w:tcW w:w="200" w:type="dxa"/>
            <w:tcBorders>
              <w:top w:val="nil"/>
              <w:left w:val="nil"/>
              <w:bottom w:val="nil"/>
              <w:right w:val="nil"/>
            </w:tcBorders>
            <w:shd w:val="clear" w:color="auto" w:fill="auto"/>
            <w:noWrap/>
            <w:vAlign w:val="bottom"/>
            <w:hideMark/>
          </w:tcPr>
          <w:p w14:paraId="2279A714"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300B7FFC"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$6,591 </w:t>
            </w:r>
          </w:p>
        </w:tc>
      </w:tr>
      <w:tr w:rsidR="00702061" w:rsidRPr="000745C5" w14:paraId="5B210047" w14:textId="77777777" w:rsidTr="00282FF2">
        <w:trPr>
          <w:trHeight w:val="285"/>
        </w:trPr>
        <w:tc>
          <w:tcPr>
            <w:tcW w:w="5020" w:type="dxa"/>
            <w:tcBorders>
              <w:top w:val="nil"/>
              <w:left w:val="nil"/>
              <w:bottom w:val="nil"/>
              <w:right w:val="nil"/>
            </w:tcBorders>
            <w:shd w:val="clear" w:color="auto" w:fill="auto"/>
            <w:noWrap/>
            <w:vAlign w:val="bottom"/>
            <w:hideMark/>
          </w:tcPr>
          <w:p w14:paraId="756B751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Short-term debt</w:t>
            </w:r>
          </w:p>
        </w:tc>
        <w:tc>
          <w:tcPr>
            <w:tcW w:w="1460" w:type="dxa"/>
            <w:tcBorders>
              <w:top w:val="nil"/>
              <w:left w:val="nil"/>
              <w:bottom w:val="nil"/>
              <w:right w:val="nil"/>
            </w:tcBorders>
            <w:shd w:val="clear" w:color="auto" w:fill="auto"/>
            <w:noWrap/>
            <w:vAlign w:val="bottom"/>
            <w:hideMark/>
          </w:tcPr>
          <w:p w14:paraId="3677ACF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12,904 </w:t>
            </w:r>
          </w:p>
        </w:tc>
        <w:tc>
          <w:tcPr>
            <w:tcW w:w="200" w:type="dxa"/>
            <w:tcBorders>
              <w:top w:val="nil"/>
              <w:left w:val="nil"/>
              <w:bottom w:val="nil"/>
              <w:right w:val="nil"/>
            </w:tcBorders>
            <w:shd w:val="clear" w:color="auto" w:fill="auto"/>
            <w:noWrap/>
            <w:vAlign w:val="bottom"/>
            <w:hideMark/>
          </w:tcPr>
          <w:p w14:paraId="2833C08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646D9604"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4,985 </w:t>
            </w:r>
          </w:p>
        </w:tc>
      </w:tr>
      <w:tr w:rsidR="00702061" w:rsidRPr="000745C5" w14:paraId="07ECB0BB" w14:textId="77777777" w:rsidTr="00282FF2">
        <w:trPr>
          <w:trHeight w:val="285"/>
        </w:trPr>
        <w:tc>
          <w:tcPr>
            <w:tcW w:w="5020" w:type="dxa"/>
            <w:tcBorders>
              <w:top w:val="nil"/>
              <w:left w:val="nil"/>
              <w:bottom w:val="nil"/>
              <w:right w:val="nil"/>
            </w:tcBorders>
            <w:shd w:val="clear" w:color="auto" w:fill="auto"/>
            <w:noWrap/>
            <w:vAlign w:val="bottom"/>
            <w:hideMark/>
          </w:tcPr>
          <w:p w14:paraId="1C14820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Current portion of long-term debt</w:t>
            </w:r>
          </w:p>
        </w:tc>
        <w:tc>
          <w:tcPr>
            <w:tcW w:w="1460" w:type="dxa"/>
            <w:tcBorders>
              <w:top w:val="nil"/>
              <w:left w:val="nil"/>
              <w:bottom w:val="nil"/>
              <w:right w:val="nil"/>
            </w:tcBorders>
            <w:shd w:val="clear" w:color="auto" w:fill="auto"/>
            <w:noWrap/>
            <w:vAlign w:val="bottom"/>
            <w:hideMark/>
          </w:tcPr>
          <w:p w14:paraId="59CE19E4"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0 </w:t>
            </w:r>
          </w:p>
        </w:tc>
        <w:tc>
          <w:tcPr>
            <w:tcW w:w="200" w:type="dxa"/>
            <w:tcBorders>
              <w:top w:val="nil"/>
              <w:left w:val="nil"/>
              <w:bottom w:val="nil"/>
              <w:right w:val="nil"/>
            </w:tcBorders>
            <w:shd w:val="clear" w:color="auto" w:fill="auto"/>
            <w:noWrap/>
            <w:vAlign w:val="bottom"/>
            <w:hideMark/>
          </w:tcPr>
          <w:p w14:paraId="52C4329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4BD6BBBA"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2,499 </w:t>
            </w:r>
          </w:p>
        </w:tc>
      </w:tr>
      <w:tr w:rsidR="00702061" w:rsidRPr="000745C5" w14:paraId="03D5FCD5" w14:textId="77777777" w:rsidTr="00282FF2">
        <w:trPr>
          <w:trHeight w:val="285"/>
        </w:trPr>
        <w:tc>
          <w:tcPr>
            <w:tcW w:w="5020" w:type="dxa"/>
            <w:tcBorders>
              <w:top w:val="nil"/>
              <w:left w:val="nil"/>
              <w:bottom w:val="nil"/>
              <w:right w:val="nil"/>
            </w:tcBorders>
            <w:shd w:val="clear" w:color="auto" w:fill="auto"/>
            <w:noWrap/>
            <w:vAlign w:val="bottom"/>
            <w:hideMark/>
          </w:tcPr>
          <w:p w14:paraId="1E44A777"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Accrued compensation</w:t>
            </w:r>
          </w:p>
        </w:tc>
        <w:tc>
          <w:tcPr>
            <w:tcW w:w="1460" w:type="dxa"/>
            <w:tcBorders>
              <w:top w:val="nil"/>
              <w:left w:val="nil"/>
              <w:bottom w:val="nil"/>
              <w:right w:val="nil"/>
            </w:tcBorders>
            <w:shd w:val="clear" w:color="auto" w:fill="auto"/>
            <w:noWrap/>
            <w:vAlign w:val="bottom"/>
            <w:hideMark/>
          </w:tcPr>
          <w:p w14:paraId="4AD9362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5,264 </w:t>
            </w:r>
          </w:p>
        </w:tc>
        <w:tc>
          <w:tcPr>
            <w:tcW w:w="200" w:type="dxa"/>
            <w:tcBorders>
              <w:top w:val="nil"/>
              <w:left w:val="nil"/>
              <w:bottom w:val="nil"/>
              <w:right w:val="nil"/>
            </w:tcBorders>
            <w:shd w:val="clear" w:color="auto" w:fill="auto"/>
            <w:noWrap/>
            <w:vAlign w:val="bottom"/>
            <w:hideMark/>
          </w:tcPr>
          <w:p w14:paraId="0A00542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49A96D61"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5,096 </w:t>
            </w:r>
          </w:p>
        </w:tc>
      </w:tr>
      <w:tr w:rsidR="00702061" w:rsidRPr="000745C5" w14:paraId="4D2BA0A9" w14:textId="77777777" w:rsidTr="00282FF2">
        <w:trPr>
          <w:trHeight w:val="285"/>
        </w:trPr>
        <w:tc>
          <w:tcPr>
            <w:tcW w:w="5020" w:type="dxa"/>
            <w:tcBorders>
              <w:top w:val="nil"/>
              <w:left w:val="nil"/>
              <w:bottom w:val="nil"/>
              <w:right w:val="nil"/>
            </w:tcBorders>
            <w:shd w:val="clear" w:color="auto" w:fill="auto"/>
            <w:noWrap/>
            <w:vAlign w:val="bottom"/>
            <w:hideMark/>
          </w:tcPr>
          <w:p w14:paraId="43511BA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Income taxes</w:t>
            </w:r>
          </w:p>
        </w:tc>
        <w:tc>
          <w:tcPr>
            <w:tcW w:w="1460" w:type="dxa"/>
            <w:tcBorders>
              <w:top w:val="nil"/>
              <w:left w:val="nil"/>
              <w:bottom w:val="nil"/>
              <w:right w:val="nil"/>
            </w:tcBorders>
            <w:shd w:val="clear" w:color="auto" w:fill="auto"/>
            <w:noWrap/>
            <w:vAlign w:val="bottom"/>
            <w:hideMark/>
          </w:tcPr>
          <w:p w14:paraId="199E5F7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580 </w:t>
            </w:r>
          </w:p>
        </w:tc>
        <w:tc>
          <w:tcPr>
            <w:tcW w:w="200" w:type="dxa"/>
            <w:tcBorders>
              <w:top w:val="nil"/>
              <w:left w:val="nil"/>
              <w:bottom w:val="nil"/>
              <w:right w:val="nil"/>
            </w:tcBorders>
            <w:shd w:val="clear" w:color="auto" w:fill="auto"/>
            <w:noWrap/>
            <w:vAlign w:val="bottom"/>
            <w:hideMark/>
          </w:tcPr>
          <w:p w14:paraId="6BC1EA04"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093B90B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606 </w:t>
            </w:r>
          </w:p>
        </w:tc>
      </w:tr>
      <w:tr w:rsidR="00702061" w:rsidRPr="000745C5" w14:paraId="55F66802" w14:textId="77777777" w:rsidTr="00282FF2">
        <w:trPr>
          <w:trHeight w:val="285"/>
        </w:trPr>
        <w:tc>
          <w:tcPr>
            <w:tcW w:w="5020" w:type="dxa"/>
            <w:tcBorders>
              <w:top w:val="nil"/>
              <w:left w:val="nil"/>
              <w:bottom w:val="nil"/>
              <w:right w:val="nil"/>
            </w:tcBorders>
            <w:shd w:val="clear" w:color="auto" w:fill="auto"/>
            <w:noWrap/>
            <w:vAlign w:val="bottom"/>
            <w:hideMark/>
          </w:tcPr>
          <w:p w14:paraId="1DBF479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Short-term unearned revenue</w:t>
            </w:r>
          </w:p>
        </w:tc>
        <w:tc>
          <w:tcPr>
            <w:tcW w:w="1460" w:type="dxa"/>
            <w:tcBorders>
              <w:top w:val="nil"/>
              <w:left w:val="nil"/>
              <w:bottom w:val="nil"/>
              <w:right w:val="nil"/>
            </w:tcBorders>
            <w:shd w:val="clear" w:color="auto" w:fill="auto"/>
            <w:noWrap/>
            <w:vAlign w:val="bottom"/>
            <w:hideMark/>
          </w:tcPr>
          <w:p w14:paraId="4E2B322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27,468 </w:t>
            </w:r>
          </w:p>
        </w:tc>
        <w:tc>
          <w:tcPr>
            <w:tcW w:w="200" w:type="dxa"/>
            <w:tcBorders>
              <w:top w:val="nil"/>
              <w:left w:val="nil"/>
              <w:bottom w:val="nil"/>
              <w:right w:val="nil"/>
            </w:tcBorders>
            <w:shd w:val="clear" w:color="auto" w:fill="auto"/>
            <w:noWrap/>
            <w:vAlign w:val="bottom"/>
            <w:hideMark/>
          </w:tcPr>
          <w:p w14:paraId="6A30772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60591E90"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23,223 </w:t>
            </w:r>
          </w:p>
        </w:tc>
      </w:tr>
      <w:tr w:rsidR="00702061" w:rsidRPr="000745C5" w14:paraId="6391C351" w14:textId="77777777" w:rsidTr="00282FF2">
        <w:trPr>
          <w:trHeight w:val="285"/>
        </w:trPr>
        <w:tc>
          <w:tcPr>
            <w:tcW w:w="5020" w:type="dxa"/>
            <w:tcBorders>
              <w:top w:val="nil"/>
              <w:left w:val="nil"/>
              <w:bottom w:val="nil"/>
              <w:right w:val="nil"/>
            </w:tcBorders>
            <w:shd w:val="clear" w:color="auto" w:fill="auto"/>
            <w:noWrap/>
            <w:vAlign w:val="bottom"/>
            <w:hideMark/>
          </w:tcPr>
          <w:p w14:paraId="6900EB91"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Securities lending payable</w:t>
            </w:r>
          </w:p>
        </w:tc>
        <w:tc>
          <w:tcPr>
            <w:tcW w:w="1460" w:type="dxa"/>
            <w:tcBorders>
              <w:top w:val="nil"/>
              <w:left w:val="nil"/>
              <w:bottom w:val="nil"/>
              <w:right w:val="nil"/>
            </w:tcBorders>
            <w:shd w:val="clear" w:color="auto" w:fill="auto"/>
            <w:noWrap/>
            <w:vAlign w:val="bottom"/>
            <w:hideMark/>
          </w:tcPr>
          <w:p w14:paraId="635A0785"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294 </w:t>
            </w:r>
          </w:p>
        </w:tc>
        <w:tc>
          <w:tcPr>
            <w:tcW w:w="200" w:type="dxa"/>
            <w:tcBorders>
              <w:top w:val="nil"/>
              <w:left w:val="nil"/>
              <w:bottom w:val="nil"/>
              <w:right w:val="nil"/>
            </w:tcBorders>
            <w:shd w:val="clear" w:color="auto" w:fill="auto"/>
            <w:noWrap/>
            <w:vAlign w:val="bottom"/>
            <w:hideMark/>
          </w:tcPr>
          <w:p w14:paraId="0FDF5E1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0729A453"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92 </w:t>
            </w:r>
          </w:p>
        </w:tc>
      </w:tr>
      <w:tr w:rsidR="00702061" w:rsidRPr="000745C5" w14:paraId="5CDBF675" w14:textId="77777777" w:rsidTr="00282FF2">
        <w:trPr>
          <w:trHeight w:val="285"/>
        </w:trPr>
        <w:tc>
          <w:tcPr>
            <w:tcW w:w="5020" w:type="dxa"/>
            <w:tcBorders>
              <w:top w:val="nil"/>
              <w:left w:val="nil"/>
              <w:bottom w:val="single" w:sz="4" w:space="0" w:color="auto"/>
              <w:right w:val="nil"/>
            </w:tcBorders>
            <w:shd w:val="clear" w:color="auto" w:fill="auto"/>
            <w:noWrap/>
            <w:vAlign w:val="bottom"/>
            <w:hideMark/>
          </w:tcPr>
          <w:p w14:paraId="69FED8FC"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Other</w:t>
            </w:r>
          </w:p>
        </w:tc>
        <w:tc>
          <w:tcPr>
            <w:tcW w:w="1460" w:type="dxa"/>
            <w:tcBorders>
              <w:top w:val="nil"/>
              <w:left w:val="nil"/>
              <w:bottom w:val="single" w:sz="4" w:space="0" w:color="auto"/>
              <w:right w:val="nil"/>
            </w:tcBorders>
            <w:shd w:val="clear" w:color="auto" w:fill="auto"/>
            <w:noWrap/>
            <w:vAlign w:val="bottom"/>
            <w:hideMark/>
          </w:tcPr>
          <w:p w14:paraId="70D71E3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5,949 </w:t>
            </w:r>
          </w:p>
        </w:tc>
        <w:tc>
          <w:tcPr>
            <w:tcW w:w="200" w:type="dxa"/>
            <w:tcBorders>
              <w:top w:val="nil"/>
              <w:left w:val="nil"/>
              <w:bottom w:val="nil"/>
              <w:right w:val="nil"/>
            </w:tcBorders>
            <w:shd w:val="clear" w:color="auto" w:fill="auto"/>
            <w:noWrap/>
            <w:vAlign w:val="bottom"/>
            <w:hideMark/>
          </w:tcPr>
          <w:p w14:paraId="07AF796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71D03DB3"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6,</w:t>
            </w:r>
            <w:r>
              <w:rPr>
                <w:rFonts w:ascii="Segoe UI" w:eastAsia="Times New Roman" w:hAnsi="Segoe UI" w:cs="Segoe UI"/>
                <w:color w:val="666666"/>
                <w:sz w:val="20"/>
                <w:szCs w:val="20"/>
              </w:rPr>
              <w:t>555</w:t>
            </w:r>
            <w:r w:rsidRPr="000745C5">
              <w:rPr>
                <w:rFonts w:ascii="Segoe UI" w:eastAsia="Times New Roman" w:hAnsi="Segoe UI" w:cs="Segoe UI"/>
                <w:color w:val="666666"/>
                <w:sz w:val="20"/>
                <w:szCs w:val="20"/>
              </w:rPr>
              <w:t xml:space="preserve"> </w:t>
            </w:r>
          </w:p>
        </w:tc>
      </w:tr>
      <w:tr w:rsidR="00702061" w:rsidRPr="000745C5" w14:paraId="70662E59" w14:textId="77777777" w:rsidTr="00282FF2">
        <w:trPr>
          <w:trHeight w:val="285"/>
        </w:trPr>
        <w:tc>
          <w:tcPr>
            <w:tcW w:w="5020" w:type="dxa"/>
            <w:tcBorders>
              <w:top w:val="nil"/>
              <w:left w:val="nil"/>
              <w:bottom w:val="nil"/>
              <w:right w:val="nil"/>
            </w:tcBorders>
            <w:shd w:val="clear" w:color="auto" w:fill="auto"/>
            <w:noWrap/>
            <w:vAlign w:val="bottom"/>
            <w:hideMark/>
          </w:tcPr>
          <w:p w14:paraId="7D8ADF36"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current liabilities</w:t>
            </w:r>
          </w:p>
        </w:tc>
        <w:tc>
          <w:tcPr>
            <w:tcW w:w="1460" w:type="dxa"/>
            <w:tcBorders>
              <w:top w:val="nil"/>
              <w:left w:val="nil"/>
              <w:bottom w:val="nil"/>
              <w:right w:val="nil"/>
            </w:tcBorders>
            <w:shd w:val="clear" w:color="auto" w:fill="auto"/>
            <w:noWrap/>
            <w:vAlign w:val="bottom"/>
            <w:hideMark/>
          </w:tcPr>
          <w:p w14:paraId="53A20C5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59,357 </w:t>
            </w:r>
          </w:p>
        </w:tc>
        <w:tc>
          <w:tcPr>
            <w:tcW w:w="200" w:type="dxa"/>
            <w:tcBorders>
              <w:top w:val="nil"/>
              <w:left w:val="nil"/>
              <w:bottom w:val="nil"/>
              <w:right w:val="nil"/>
            </w:tcBorders>
            <w:shd w:val="clear" w:color="auto" w:fill="auto"/>
            <w:noWrap/>
            <w:vAlign w:val="bottom"/>
            <w:hideMark/>
          </w:tcPr>
          <w:p w14:paraId="0AC0F513"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2786909A"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49,</w:t>
            </w:r>
            <w:r>
              <w:rPr>
                <w:rFonts w:ascii="Segoe UI" w:eastAsia="Times New Roman" w:hAnsi="Segoe UI" w:cs="Segoe UI"/>
                <w:color w:val="666666"/>
                <w:sz w:val="20"/>
                <w:szCs w:val="20"/>
              </w:rPr>
              <w:t>647</w:t>
            </w:r>
            <w:r w:rsidRPr="000745C5">
              <w:rPr>
                <w:rFonts w:ascii="Segoe UI" w:eastAsia="Times New Roman" w:hAnsi="Segoe UI" w:cs="Segoe UI"/>
                <w:color w:val="666666"/>
                <w:sz w:val="20"/>
                <w:szCs w:val="20"/>
              </w:rPr>
              <w:t xml:space="preserve"> </w:t>
            </w:r>
          </w:p>
        </w:tc>
      </w:tr>
      <w:tr w:rsidR="00702061" w:rsidRPr="000745C5" w14:paraId="46B6ED5C" w14:textId="77777777" w:rsidTr="00282FF2">
        <w:trPr>
          <w:trHeight w:val="285"/>
        </w:trPr>
        <w:tc>
          <w:tcPr>
            <w:tcW w:w="5020" w:type="dxa"/>
            <w:tcBorders>
              <w:top w:val="nil"/>
              <w:left w:val="nil"/>
              <w:bottom w:val="nil"/>
              <w:right w:val="nil"/>
            </w:tcBorders>
            <w:shd w:val="clear" w:color="auto" w:fill="auto"/>
            <w:noWrap/>
            <w:vAlign w:val="bottom"/>
            <w:hideMark/>
          </w:tcPr>
          <w:p w14:paraId="1B0CF456"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Long-term debt</w:t>
            </w:r>
          </w:p>
        </w:tc>
        <w:tc>
          <w:tcPr>
            <w:tcW w:w="1460" w:type="dxa"/>
            <w:tcBorders>
              <w:top w:val="nil"/>
              <w:left w:val="nil"/>
              <w:bottom w:val="nil"/>
              <w:right w:val="nil"/>
            </w:tcBorders>
            <w:shd w:val="clear" w:color="auto" w:fill="auto"/>
            <w:noWrap/>
            <w:vAlign w:val="bottom"/>
            <w:hideMark/>
          </w:tcPr>
          <w:p w14:paraId="5B063F36"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40,783 </w:t>
            </w:r>
          </w:p>
        </w:tc>
        <w:tc>
          <w:tcPr>
            <w:tcW w:w="200" w:type="dxa"/>
            <w:tcBorders>
              <w:top w:val="nil"/>
              <w:left w:val="nil"/>
              <w:bottom w:val="nil"/>
              <w:right w:val="nil"/>
            </w:tcBorders>
            <w:shd w:val="clear" w:color="auto" w:fill="auto"/>
            <w:noWrap/>
            <w:vAlign w:val="bottom"/>
            <w:hideMark/>
          </w:tcPr>
          <w:p w14:paraId="19B3EEC2"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26DB50C9"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27,808 </w:t>
            </w:r>
          </w:p>
        </w:tc>
      </w:tr>
      <w:tr w:rsidR="00702061" w:rsidRPr="000745C5" w14:paraId="32CBA1CC" w14:textId="77777777" w:rsidTr="00282FF2">
        <w:trPr>
          <w:trHeight w:val="285"/>
        </w:trPr>
        <w:tc>
          <w:tcPr>
            <w:tcW w:w="5020" w:type="dxa"/>
            <w:tcBorders>
              <w:top w:val="nil"/>
              <w:left w:val="nil"/>
              <w:bottom w:val="nil"/>
              <w:right w:val="nil"/>
            </w:tcBorders>
            <w:shd w:val="clear" w:color="auto" w:fill="auto"/>
            <w:noWrap/>
            <w:vAlign w:val="bottom"/>
            <w:hideMark/>
          </w:tcPr>
          <w:p w14:paraId="72BCC10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Long-term unearned revenue</w:t>
            </w:r>
          </w:p>
        </w:tc>
        <w:tc>
          <w:tcPr>
            <w:tcW w:w="1460" w:type="dxa"/>
            <w:tcBorders>
              <w:top w:val="nil"/>
              <w:left w:val="nil"/>
              <w:bottom w:val="nil"/>
              <w:right w:val="nil"/>
            </w:tcBorders>
            <w:shd w:val="clear" w:color="auto" w:fill="auto"/>
            <w:noWrap/>
            <w:vAlign w:val="bottom"/>
            <w:hideMark/>
          </w:tcPr>
          <w:p w14:paraId="4E471FB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6,441 </w:t>
            </w:r>
          </w:p>
        </w:tc>
        <w:tc>
          <w:tcPr>
            <w:tcW w:w="200" w:type="dxa"/>
            <w:tcBorders>
              <w:top w:val="nil"/>
              <w:left w:val="nil"/>
              <w:bottom w:val="nil"/>
              <w:right w:val="nil"/>
            </w:tcBorders>
            <w:shd w:val="clear" w:color="auto" w:fill="auto"/>
            <w:noWrap/>
            <w:vAlign w:val="bottom"/>
            <w:hideMark/>
          </w:tcPr>
          <w:p w14:paraId="19994DA2"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29440DA1"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2,095 </w:t>
            </w:r>
          </w:p>
        </w:tc>
      </w:tr>
      <w:tr w:rsidR="00702061" w:rsidRPr="000745C5" w14:paraId="054181AB" w14:textId="77777777" w:rsidTr="00282FF2">
        <w:trPr>
          <w:trHeight w:val="285"/>
        </w:trPr>
        <w:tc>
          <w:tcPr>
            <w:tcW w:w="5020" w:type="dxa"/>
            <w:tcBorders>
              <w:top w:val="nil"/>
              <w:left w:val="nil"/>
              <w:bottom w:val="nil"/>
              <w:right w:val="nil"/>
            </w:tcBorders>
            <w:shd w:val="clear" w:color="auto" w:fill="auto"/>
            <w:noWrap/>
            <w:vAlign w:val="bottom"/>
            <w:hideMark/>
          </w:tcPr>
          <w:p w14:paraId="490ACD73"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Deferred income taxes</w:t>
            </w:r>
          </w:p>
        </w:tc>
        <w:tc>
          <w:tcPr>
            <w:tcW w:w="1460" w:type="dxa"/>
            <w:tcBorders>
              <w:top w:val="nil"/>
              <w:left w:val="nil"/>
              <w:bottom w:val="nil"/>
              <w:right w:val="nil"/>
            </w:tcBorders>
            <w:shd w:val="clear" w:color="auto" w:fill="auto"/>
            <w:noWrap/>
            <w:vAlign w:val="bottom"/>
            <w:hideMark/>
          </w:tcPr>
          <w:p w14:paraId="3E78936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696 </w:t>
            </w:r>
          </w:p>
        </w:tc>
        <w:tc>
          <w:tcPr>
            <w:tcW w:w="200" w:type="dxa"/>
            <w:tcBorders>
              <w:top w:val="nil"/>
              <w:left w:val="nil"/>
              <w:bottom w:val="nil"/>
              <w:right w:val="nil"/>
            </w:tcBorders>
            <w:shd w:val="clear" w:color="auto" w:fill="auto"/>
            <w:noWrap/>
            <w:vAlign w:val="bottom"/>
            <w:hideMark/>
          </w:tcPr>
          <w:p w14:paraId="32BC0CC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7343A5EE"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1,295</w:t>
            </w:r>
            <w:r w:rsidRPr="000745C5">
              <w:rPr>
                <w:rFonts w:ascii="Segoe UI" w:eastAsia="Times New Roman" w:hAnsi="Segoe UI" w:cs="Segoe UI"/>
                <w:color w:val="666666"/>
                <w:sz w:val="20"/>
                <w:szCs w:val="20"/>
              </w:rPr>
              <w:t xml:space="preserve"> </w:t>
            </w:r>
          </w:p>
        </w:tc>
      </w:tr>
      <w:tr w:rsidR="00702061" w:rsidRPr="000745C5" w14:paraId="3E5938DA" w14:textId="77777777" w:rsidTr="00282FF2">
        <w:trPr>
          <w:trHeight w:val="330"/>
        </w:trPr>
        <w:tc>
          <w:tcPr>
            <w:tcW w:w="5020" w:type="dxa"/>
            <w:tcBorders>
              <w:top w:val="nil"/>
              <w:left w:val="nil"/>
              <w:bottom w:val="single" w:sz="4" w:space="0" w:color="auto"/>
              <w:right w:val="nil"/>
            </w:tcBorders>
            <w:shd w:val="clear" w:color="auto" w:fill="auto"/>
            <w:noWrap/>
            <w:vAlign w:val="bottom"/>
            <w:hideMark/>
          </w:tcPr>
          <w:p w14:paraId="3D18274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Other long-term liabilities</w:t>
            </w:r>
          </w:p>
        </w:tc>
        <w:tc>
          <w:tcPr>
            <w:tcW w:w="1460" w:type="dxa"/>
            <w:tcBorders>
              <w:top w:val="nil"/>
              <w:left w:val="nil"/>
              <w:bottom w:val="single" w:sz="4" w:space="0" w:color="auto"/>
              <w:right w:val="nil"/>
            </w:tcBorders>
            <w:shd w:val="clear" w:color="auto" w:fill="auto"/>
            <w:noWrap/>
            <w:vAlign w:val="bottom"/>
            <w:hideMark/>
          </w:tcPr>
          <w:p w14:paraId="62A8BF4A"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14,420 </w:t>
            </w:r>
          </w:p>
        </w:tc>
        <w:tc>
          <w:tcPr>
            <w:tcW w:w="200" w:type="dxa"/>
            <w:tcBorders>
              <w:top w:val="nil"/>
              <w:left w:val="nil"/>
              <w:bottom w:val="nil"/>
              <w:right w:val="nil"/>
            </w:tcBorders>
            <w:shd w:val="clear" w:color="auto" w:fill="auto"/>
            <w:noWrap/>
            <w:vAlign w:val="bottom"/>
            <w:hideMark/>
          </w:tcPr>
          <w:p w14:paraId="7EBF5F8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0EC1DD73"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13,544 </w:t>
            </w:r>
          </w:p>
        </w:tc>
      </w:tr>
      <w:tr w:rsidR="00702061" w:rsidRPr="000745C5" w14:paraId="09EB4654" w14:textId="77777777" w:rsidTr="00282FF2">
        <w:trPr>
          <w:trHeight w:val="285"/>
        </w:trPr>
        <w:tc>
          <w:tcPr>
            <w:tcW w:w="5020" w:type="dxa"/>
            <w:tcBorders>
              <w:top w:val="nil"/>
              <w:left w:val="nil"/>
              <w:bottom w:val="single" w:sz="4" w:space="0" w:color="auto"/>
              <w:right w:val="nil"/>
            </w:tcBorders>
            <w:shd w:val="clear" w:color="auto" w:fill="auto"/>
            <w:noWrap/>
            <w:vAlign w:val="bottom"/>
            <w:hideMark/>
          </w:tcPr>
          <w:p w14:paraId="7FE6E63F"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liabilities</w:t>
            </w:r>
          </w:p>
        </w:tc>
        <w:tc>
          <w:tcPr>
            <w:tcW w:w="1460" w:type="dxa"/>
            <w:tcBorders>
              <w:top w:val="nil"/>
              <w:left w:val="nil"/>
              <w:bottom w:val="single" w:sz="4" w:space="0" w:color="auto"/>
              <w:right w:val="nil"/>
            </w:tcBorders>
            <w:shd w:val="clear" w:color="auto" w:fill="auto"/>
            <w:noWrap/>
            <w:vAlign w:val="bottom"/>
            <w:hideMark/>
          </w:tcPr>
          <w:p w14:paraId="581C0408"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121,697 </w:t>
            </w:r>
          </w:p>
        </w:tc>
        <w:tc>
          <w:tcPr>
            <w:tcW w:w="200" w:type="dxa"/>
            <w:tcBorders>
              <w:top w:val="nil"/>
              <w:left w:val="nil"/>
              <w:bottom w:val="nil"/>
              <w:right w:val="nil"/>
            </w:tcBorders>
            <w:shd w:val="clear" w:color="auto" w:fill="auto"/>
            <w:noWrap/>
            <w:vAlign w:val="bottom"/>
            <w:hideMark/>
          </w:tcPr>
          <w:p w14:paraId="45D39E9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4" w:space="0" w:color="auto"/>
              <w:right w:val="nil"/>
            </w:tcBorders>
            <w:shd w:val="clear" w:color="auto" w:fill="auto"/>
            <w:noWrap/>
            <w:vAlign w:val="bottom"/>
            <w:hideMark/>
          </w:tcPr>
          <w:p w14:paraId="6276FD96"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9</w:t>
            </w:r>
            <w:r>
              <w:rPr>
                <w:rFonts w:ascii="Segoe UI" w:eastAsia="Times New Roman" w:hAnsi="Segoe UI" w:cs="Segoe UI"/>
                <w:color w:val="666666"/>
                <w:sz w:val="20"/>
                <w:szCs w:val="20"/>
              </w:rPr>
              <w:t>4,389</w:t>
            </w:r>
            <w:r w:rsidRPr="000745C5">
              <w:rPr>
                <w:rFonts w:ascii="Segoe UI" w:eastAsia="Times New Roman" w:hAnsi="Segoe UI" w:cs="Segoe UI"/>
                <w:color w:val="666666"/>
                <w:sz w:val="20"/>
                <w:szCs w:val="20"/>
              </w:rPr>
              <w:t xml:space="preserve"> </w:t>
            </w:r>
          </w:p>
        </w:tc>
      </w:tr>
      <w:tr w:rsidR="00702061" w:rsidRPr="000745C5" w14:paraId="01E38579" w14:textId="77777777" w:rsidTr="00282FF2">
        <w:trPr>
          <w:trHeight w:val="285"/>
        </w:trPr>
        <w:tc>
          <w:tcPr>
            <w:tcW w:w="5020" w:type="dxa"/>
            <w:tcBorders>
              <w:top w:val="nil"/>
              <w:left w:val="nil"/>
              <w:bottom w:val="nil"/>
              <w:right w:val="nil"/>
            </w:tcBorders>
            <w:shd w:val="clear" w:color="auto" w:fill="auto"/>
            <w:noWrap/>
            <w:vAlign w:val="bottom"/>
            <w:hideMark/>
          </w:tcPr>
          <w:p w14:paraId="21F5A809"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Commitments and contingencies</w:t>
            </w:r>
          </w:p>
        </w:tc>
        <w:tc>
          <w:tcPr>
            <w:tcW w:w="1460" w:type="dxa"/>
            <w:tcBorders>
              <w:top w:val="nil"/>
              <w:left w:val="nil"/>
              <w:bottom w:val="nil"/>
              <w:right w:val="nil"/>
            </w:tcBorders>
            <w:shd w:val="clear" w:color="auto" w:fill="auto"/>
            <w:noWrap/>
            <w:vAlign w:val="bottom"/>
            <w:hideMark/>
          </w:tcPr>
          <w:p w14:paraId="683C187D" w14:textId="77777777" w:rsidR="00702061" w:rsidRPr="000745C5" w:rsidRDefault="00702061" w:rsidP="00282FF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64846E97"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4793885F"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0551D6E0" w14:textId="77777777" w:rsidTr="00282FF2">
        <w:trPr>
          <w:trHeight w:val="285"/>
        </w:trPr>
        <w:tc>
          <w:tcPr>
            <w:tcW w:w="5020" w:type="dxa"/>
            <w:tcBorders>
              <w:top w:val="nil"/>
              <w:left w:val="nil"/>
              <w:bottom w:val="nil"/>
              <w:right w:val="nil"/>
            </w:tcBorders>
            <w:shd w:val="clear" w:color="auto" w:fill="auto"/>
            <w:noWrap/>
            <w:vAlign w:val="bottom"/>
            <w:hideMark/>
          </w:tcPr>
          <w:p w14:paraId="10842816"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Stockholders' equity:</w:t>
            </w:r>
          </w:p>
        </w:tc>
        <w:tc>
          <w:tcPr>
            <w:tcW w:w="1460" w:type="dxa"/>
            <w:tcBorders>
              <w:top w:val="nil"/>
              <w:left w:val="nil"/>
              <w:bottom w:val="nil"/>
              <w:right w:val="nil"/>
            </w:tcBorders>
            <w:shd w:val="clear" w:color="auto" w:fill="auto"/>
            <w:noWrap/>
            <w:vAlign w:val="bottom"/>
            <w:hideMark/>
          </w:tcPr>
          <w:p w14:paraId="39027F27" w14:textId="77777777" w:rsidR="00702061" w:rsidRPr="000745C5" w:rsidRDefault="00702061" w:rsidP="00282FF2">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2FD4DDA0" w14:textId="77777777" w:rsidR="00702061" w:rsidRPr="000745C5" w:rsidRDefault="00702061" w:rsidP="00282FF2">
            <w:pPr>
              <w:spacing w:after="0" w:line="240" w:lineRule="auto"/>
              <w:jc w:val="right"/>
              <w:rPr>
                <w:rFonts w:ascii="Times New Roman" w:eastAsia="Times New Roman" w:hAnsi="Times New Roman"/>
                <w:sz w:val="20"/>
                <w:szCs w:val="20"/>
              </w:rPr>
            </w:pPr>
          </w:p>
        </w:tc>
        <w:tc>
          <w:tcPr>
            <w:tcW w:w="1140" w:type="dxa"/>
            <w:tcBorders>
              <w:top w:val="nil"/>
              <w:left w:val="nil"/>
              <w:bottom w:val="nil"/>
              <w:right w:val="nil"/>
            </w:tcBorders>
            <w:shd w:val="clear" w:color="auto" w:fill="auto"/>
            <w:noWrap/>
            <w:vAlign w:val="bottom"/>
            <w:hideMark/>
          </w:tcPr>
          <w:p w14:paraId="14471087" w14:textId="77777777" w:rsidR="00702061" w:rsidRPr="000745C5" w:rsidRDefault="00702061" w:rsidP="00282FF2">
            <w:pPr>
              <w:spacing w:after="0" w:line="240" w:lineRule="auto"/>
              <w:rPr>
                <w:rFonts w:ascii="Times New Roman" w:eastAsia="Times New Roman" w:hAnsi="Times New Roman"/>
                <w:sz w:val="20"/>
                <w:szCs w:val="20"/>
              </w:rPr>
            </w:pPr>
          </w:p>
        </w:tc>
      </w:tr>
      <w:tr w:rsidR="00702061" w:rsidRPr="000745C5" w14:paraId="7F2BF2B9" w14:textId="77777777" w:rsidTr="00282FF2">
        <w:trPr>
          <w:trHeight w:val="570"/>
        </w:trPr>
        <w:tc>
          <w:tcPr>
            <w:tcW w:w="5020" w:type="dxa"/>
            <w:tcBorders>
              <w:top w:val="nil"/>
              <w:left w:val="nil"/>
              <w:bottom w:val="nil"/>
              <w:right w:val="nil"/>
            </w:tcBorders>
            <w:shd w:val="clear" w:color="auto" w:fill="auto"/>
            <w:vAlign w:val="bottom"/>
            <w:hideMark/>
          </w:tcPr>
          <w:p w14:paraId="2FACFBF5"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Common stock and paid-in capital - shares</w:t>
            </w:r>
            <w:r w:rsidRPr="000745C5">
              <w:rPr>
                <w:rFonts w:ascii="Segoe UI" w:eastAsia="Times New Roman" w:hAnsi="Segoe UI" w:cs="Segoe UI"/>
                <w:color w:val="666666"/>
                <w:sz w:val="20"/>
                <w:szCs w:val="20"/>
              </w:rPr>
              <w:br/>
              <w:t xml:space="preserve">      authorized </w:t>
            </w:r>
            <w:r>
              <w:rPr>
                <w:rFonts w:ascii="Segoe UI" w:eastAsia="Times New Roman" w:hAnsi="Segoe UI" w:cs="Segoe UI"/>
                <w:color w:val="666666"/>
                <w:sz w:val="20"/>
                <w:szCs w:val="20"/>
              </w:rPr>
              <w:t>24,00</w:t>
            </w:r>
            <w:r w:rsidRPr="000745C5">
              <w:rPr>
                <w:rFonts w:ascii="Segoe UI" w:eastAsia="Times New Roman" w:hAnsi="Segoe UI" w:cs="Segoe UI"/>
                <w:color w:val="666666"/>
                <w:sz w:val="20"/>
                <w:szCs w:val="20"/>
              </w:rPr>
              <w:t xml:space="preserve">0; outstanding </w:t>
            </w:r>
            <w:r w:rsidRPr="00A17CE9">
              <w:rPr>
                <w:rFonts w:ascii="Segoe UI" w:eastAsia="Times New Roman" w:hAnsi="Segoe UI" w:cs="Segoe UI"/>
                <w:b/>
                <w:color w:val="666666"/>
                <w:sz w:val="20"/>
                <w:szCs w:val="20"/>
              </w:rPr>
              <w:t>7,808</w:t>
            </w:r>
            <w:r w:rsidRPr="000745C5">
              <w:rPr>
                <w:rFonts w:ascii="Segoe UI" w:eastAsia="Times New Roman" w:hAnsi="Segoe UI" w:cs="Segoe UI"/>
                <w:color w:val="666666"/>
                <w:sz w:val="20"/>
                <w:szCs w:val="20"/>
              </w:rPr>
              <w:t xml:space="preserve"> and 8,027</w:t>
            </w:r>
          </w:p>
        </w:tc>
        <w:tc>
          <w:tcPr>
            <w:tcW w:w="1460" w:type="dxa"/>
            <w:tcBorders>
              <w:top w:val="nil"/>
              <w:left w:val="nil"/>
              <w:bottom w:val="nil"/>
              <w:right w:val="nil"/>
            </w:tcBorders>
            <w:shd w:val="clear" w:color="auto" w:fill="auto"/>
            <w:noWrap/>
            <w:vAlign w:val="bottom"/>
            <w:hideMark/>
          </w:tcPr>
          <w:p w14:paraId="1A4AC2C5"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68,178 </w:t>
            </w:r>
          </w:p>
        </w:tc>
        <w:tc>
          <w:tcPr>
            <w:tcW w:w="200" w:type="dxa"/>
            <w:tcBorders>
              <w:top w:val="nil"/>
              <w:left w:val="nil"/>
              <w:bottom w:val="nil"/>
              <w:right w:val="nil"/>
            </w:tcBorders>
            <w:shd w:val="clear" w:color="auto" w:fill="auto"/>
            <w:noWrap/>
            <w:vAlign w:val="bottom"/>
            <w:hideMark/>
          </w:tcPr>
          <w:p w14:paraId="411EAE1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5109C734"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68,465 </w:t>
            </w:r>
          </w:p>
        </w:tc>
      </w:tr>
      <w:tr w:rsidR="00702061" w:rsidRPr="000745C5" w14:paraId="1FC34DCB" w14:textId="77777777" w:rsidTr="00282FF2">
        <w:trPr>
          <w:trHeight w:val="285"/>
        </w:trPr>
        <w:tc>
          <w:tcPr>
            <w:tcW w:w="5020" w:type="dxa"/>
            <w:tcBorders>
              <w:top w:val="nil"/>
              <w:left w:val="nil"/>
              <w:bottom w:val="nil"/>
              <w:right w:val="nil"/>
            </w:tcBorders>
            <w:shd w:val="clear" w:color="auto" w:fill="auto"/>
            <w:vAlign w:val="bottom"/>
            <w:hideMark/>
          </w:tcPr>
          <w:p w14:paraId="540BA56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Retained earnings</w:t>
            </w:r>
          </w:p>
        </w:tc>
        <w:tc>
          <w:tcPr>
            <w:tcW w:w="1460" w:type="dxa"/>
            <w:tcBorders>
              <w:top w:val="nil"/>
              <w:left w:val="nil"/>
              <w:bottom w:val="nil"/>
              <w:right w:val="nil"/>
            </w:tcBorders>
            <w:shd w:val="clear" w:color="auto" w:fill="auto"/>
            <w:noWrap/>
            <w:vAlign w:val="bottom"/>
            <w:hideMark/>
          </w:tcPr>
          <w:p w14:paraId="5DD66179"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2,282</w:t>
            </w:r>
            <w:r w:rsidRPr="000745C5">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auto" w:fill="auto"/>
            <w:noWrap/>
            <w:vAlign w:val="bottom"/>
            <w:hideMark/>
          </w:tcPr>
          <w:p w14:paraId="04664A1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6335BDE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9,096 </w:t>
            </w:r>
          </w:p>
        </w:tc>
      </w:tr>
      <w:tr w:rsidR="00702061" w:rsidRPr="000745C5" w14:paraId="0F01B340" w14:textId="77777777" w:rsidTr="00282FF2">
        <w:trPr>
          <w:trHeight w:val="285"/>
        </w:trPr>
        <w:tc>
          <w:tcPr>
            <w:tcW w:w="5020" w:type="dxa"/>
            <w:tcBorders>
              <w:top w:val="nil"/>
              <w:left w:val="nil"/>
              <w:bottom w:val="single" w:sz="4" w:space="0" w:color="auto"/>
              <w:right w:val="nil"/>
            </w:tcBorders>
            <w:shd w:val="clear" w:color="auto" w:fill="auto"/>
            <w:noWrap/>
            <w:vAlign w:val="bottom"/>
            <w:hideMark/>
          </w:tcPr>
          <w:p w14:paraId="228C166D"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Accumulated other comprehensive income</w:t>
            </w:r>
          </w:p>
        </w:tc>
        <w:tc>
          <w:tcPr>
            <w:tcW w:w="1460" w:type="dxa"/>
            <w:tcBorders>
              <w:top w:val="nil"/>
              <w:left w:val="nil"/>
              <w:bottom w:val="single" w:sz="4" w:space="0" w:color="auto"/>
              <w:right w:val="nil"/>
            </w:tcBorders>
            <w:shd w:val="clear" w:color="auto" w:fill="auto"/>
            <w:noWrap/>
            <w:vAlign w:val="bottom"/>
            <w:hideMark/>
          </w:tcPr>
          <w:p w14:paraId="7345177B"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1,53</w:t>
            </w:r>
            <w:r>
              <w:rPr>
                <w:rFonts w:ascii="Segoe UI" w:eastAsia="Times New Roman" w:hAnsi="Segoe UI" w:cs="Segoe UI"/>
                <w:b/>
                <w:bCs/>
                <w:color w:val="666666"/>
                <w:sz w:val="20"/>
                <w:szCs w:val="20"/>
              </w:rPr>
              <w:t>7</w:t>
            </w:r>
            <w:r w:rsidRPr="000745C5">
              <w:rPr>
                <w:rFonts w:ascii="Segoe UI" w:eastAsia="Times New Roman" w:hAnsi="Segoe UI" w:cs="Segoe UI"/>
                <w:b/>
                <w:bCs/>
                <w:color w:val="666666"/>
                <w:sz w:val="20"/>
                <w:szCs w:val="20"/>
              </w:rPr>
              <w:t xml:space="preserve"> </w:t>
            </w:r>
          </w:p>
        </w:tc>
        <w:tc>
          <w:tcPr>
            <w:tcW w:w="200" w:type="dxa"/>
            <w:tcBorders>
              <w:top w:val="nil"/>
              <w:left w:val="nil"/>
              <w:bottom w:val="nil"/>
              <w:right w:val="nil"/>
            </w:tcBorders>
            <w:shd w:val="clear" w:color="auto" w:fill="auto"/>
            <w:noWrap/>
            <w:vAlign w:val="bottom"/>
            <w:hideMark/>
          </w:tcPr>
          <w:p w14:paraId="3CA2B941"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nil"/>
              <w:right w:val="nil"/>
            </w:tcBorders>
            <w:shd w:val="clear" w:color="auto" w:fill="auto"/>
            <w:noWrap/>
            <w:vAlign w:val="bottom"/>
            <w:hideMark/>
          </w:tcPr>
          <w:p w14:paraId="49A9B7EC"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2,522 </w:t>
            </w:r>
          </w:p>
        </w:tc>
      </w:tr>
      <w:tr w:rsidR="00702061" w:rsidRPr="000745C5" w14:paraId="3F949541" w14:textId="77777777" w:rsidTr="00282FF2">
        <w:trPr>
          <w:trHeight w:val="330"/>
        </w:trPr>
        <w:tc>
          <w:tcPr>
            <w:tcW w:w="5020" w:type="dxa"/>
            <w:tcBorders>
              <w:top w:val="nil"/>
              <w:left w:val="nil"/>
              <w:bottom w:val="single" w:sz="4" w:space="0" w:color="auto"/>
              <w:right w:val="nil"/>
            </w:tcBorders>
            <w:shd w:val="clear" w:color="auto" w:fill="auto"/>
            <w:noWrap/>
            <w:vAlign w:val="bottom"/>
            <w:hideMark/>
          </w:tcPr>
          <w:p w14:paraId="4F4661E9"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stockholders' equity</w:t>
            </w:r>
          </w:p>
        </w:tc>
        <w:tc>
          <w:tcPr>
            <w:tcW w:w="1460" w:type="dxa"/>
            <w:tcBorders>
              <w:top w:val="nil"/>
              <w:left w:val="nil"/>
              <w:bottom w:val="single" w:sz="4" w:space="0" w:color="auto"/>
              <w:right w:val="nil"/>
            </w:tcBorders>
            <w:shd w:val="clear" w:color="auto" w:fill="auto"/>
            <w:noWrap/>
            <w:vAlign w:val="bottom"/>
            <w:hideMark/>
          </w:tcPr>
          <w:p w14:paraId="5A27024E"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71,997 </w:t>
            </w:r>
          </w:p>
        </w:tc>
        <w:tc>
          <w:tcPr>
            <w:tcW w:w="200" w:type="dxa"/>
            <w:tcBorders>
              <w:top w:val="nil"/>
              <w:left w:val="nil"/>
              <w:bottom w:val="nil"/>
              <w:right w:val="nil"/>
            </w:tcBorders>
            <w:shd w:val="clear" w:color="auto" w:fill="auto"/>
            <w:noWrap/>
            <w:vAlign w:val="bottom"/>
            <w:hideMark/>
          </w:tcPr>
          <w:p w14:paraId="2590624C"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single" w:sz="4" w:space="0" w:color="auto"/>
              <w:left w:val="nil"/>
              <w:bottom w:val="single" w:sz="4" w:space="0" w:color="auto"/>
              <w:right w:val="nil"/>
            </w:tcBorders>
            <w:shd w:val="clear" w:color="auto" w:fill="auto"/>
            <w:noWrap/>
            <w:vAlign w:val="bottom"/>
            <w:hideMark/>
          </w:tcPr>
          <w:p w14:paraId="2F17D008"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80,083 </w:t>
            </w:r>
          </w:p>
        </w:tc>
      </w:tr>
      <w:tr w:rsidR="00702061" w:rsidRPr="000745C5" w14:paraId="1DED3330" w14:textId="77777777" w:rsidTr="00282FF2">
        <w:trPr>
          <w:trHeight w:val="345"/>
        </w:trPr>
        <w:tc>
          <w:tcPr>
            <w:tcW w:w="5020" w:type="dxa"/>
            <w:tcBorders>
              <w:top w:val="nil"/>
              <w:left w:val="nil"/>
              <w:bottom w:val="nil"/>
              <w:right w:val="nil"/>
            </w:tcBorders>
            <w:shd w:val="clear" w:color="auto" w:fill="auto"/>
            <w:noWrap/>
            <w:vAlign w:val="bottom"/>
            <w:hideMark/>
          </w:tcPr>
          <w:p w14:paraId="422EA9FE" w14:textId="77777777" w:rsidR="00702061" w:rsidRPr="000745C5" w:rsidRDefault="00702061" w:rsidP="00282FF2">
            <w:pPr>
              <w:spacing w:after="0" w:line="240" w:lineRule="auto"/>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Total liabilities and stockholders' equity</w:t>
            </w:r>
          </w:p>
        </w:tc>
        <w:tc>
          <w:tcPr>
            <w:tcW w:w="1460" w:type="dxa"/>
            <w:tcBorders>
              <w:top w:val="nil"/>
              <w:left w:val="nil"/>
              <w:bottom w:val="single" w:sz="8" w:space="0" w:color="auto"/>
              <w:right w:val="nil"/>
            </w:tcBorders>
            <w:shd w:val="clear" w:color="auto" w:fill="auto"/>
            <w:noWrap/>
            <w:vAlign w:val="bottom"/>
            <w:hideMark/>
          </w:tcPr>
          <w:p w14:paraId="133C44C7"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r w:rsidRPr="000745C5">
              <w:rPr>
                <w:rFonts w:ascii="Segoe UI" w:eastAsia="Times New Roman" w:hAnsi="Segoe UI" w:cs="Segoe UI"/>
                <w:b/>
                <w:bCs/>
                <w:color w:val="666666"/>
                <w:sz w:val="20"/>
                <w:szCs w:val="20"/>
              </w:rPr>
              <w:t xml:space="preserve"> $193,694 </w:t>
            </w:r>
          </w:p>
        </w:tc>
        <w:tc>
          <w:tcPr>
            <w:tcW w:w="200" w:type="dxa"/>
            <w:tcBorders>
              <w:top w:val="nil"/>
              <w:left w:val="nil"/>
              <w:bottom w:val="nil"/>
              <w:right w:val="nil"/>
            </w:tcBorders>
            <w:shd w:val="clear" w:color="auto" w:fill="auto"/>
            <w:noWrap/>
            <w:vAlign w:val="bottom"/>
            <w:hideMark/>
          </w:tcPr>
          <w:p w14:paraId="0A272F0F" w14:textId="77777777" w:rsidR="00702061" w:rsidRPr="000745C5" w:rsidRDefault="00702061" w:rsidP="00282FF2">
            <w:pPr>
              <w:spacing w:after="0" w:line="240" w:lineRule="auto"/>
              <w:jc w:val="right"/>
              <w:rPr>
                <w:rFonts w:ascii="Segoe UI" w:eastAsia="Times New Roman" w:hAnsi="Segoe UI" w:cs="Segoe UI"/>
                <w:b/>
                <w:bCs/>
                <w:color w:val="666666"/>
                <w:sz w:val="20"/>
                <w:szCs w:val="20"/>
              </w:rPr>
            </w:pPr>
          </w:p>
        </w:tc>
        <w:tc>
          <w:tcPr>
            <w:tcW w:w="1140" w:type="dxa"/>
            <w:tcBorders>
              <w:top w:val="nil"/>
              <w:left w:val="nil"/>
              <w:bottom w:val="single" w:sz="8" w:space="0" w:color="auto"/>
              <w:right w:val="nil"/>
            </w:tcBorders>
            <w:shd w:val="clear" w:color="auto" w:fill="auto"/>
            <w:noWrap/>
            <w:vAlign w:val="bottom"/>
            <w:hideMark/>
          </w:tcPr>
          <w:p w14:paraId="1C44FEBC" w14:textId="77777777" w:rsidR="00702061" w:rsidRPr="000745C5" w:rsidRDefault="00702061" w:rsidP="00282FF2">
            <w:pPr>
              <w:spacing w:after="0" w:line="240" w:lineRule="auto"/>
              <w:jc w:val="right"/>
              <w:rPr>
                <w:rFonts w:ascii="Segoe UI" w:eastAsia="Times New Roman" w:hAnsi="Segoe UI" w:cs="Segoe UI"/>
                <w:color w:val="666666"/>
                <w:sz w:val="20"/>
                <w:szCs w:val="20"/>
              </w:rPr>
            </w:pPr>
            <w:r w:rsidRPr="000745C5">
              <w:rPr>
                <w:rFonts w:ascii="Segoe UI" w:eastAsia="Times New Roman" w:hAnsi="Segoe UI" w:cs="Segoe UI"/>
                <w:color w:val="666666"/>
                <w:sz w:val="20"/>
                <w:szCs w:val="20"/>
              </w:rPr>
              <w:t xml:space="preserve"> $17</w:t>
            </w:r>
            <w:r>
              <w:rPr>
                <w:rFonts w:ascii="Segoe UI" w:eastAsia="Times New Roman" w:hAnsi="Segoe UI" w:cs="Segoe UI"/>
                <w:color w:val="666666"/>
                <w:sz w:val="20"/>
                <w:szCs w:val="20"/>
              </w:rPr>
              <w:t>4,472</w:t>
            </w:r>
            <w:r w:rsidRPr="000745C5">
              <w:rPr>
                <w:rFonts w:ascii="Segoe UI" w:eastAsia="Times New Roman" w:hAnsi="Segoe UI" w:cs="Segoe UI"/>
                <w:color w:val="666666"/>
                <w:sz w:val="20"/>
                <w:szCs w:val="20"/>
              </w:rPr>
              <w:t xml:space="preserve"> </w:t>
            </w:r>
          </w:p>
        </w:tc>
      </w:tr>
    </w:tbl>
    <w:p w14:paraId="2FD17774" w14:textId="77777777" w:rsidR="00702061" w:rsidRDefault="00702061" w:rsidP="00702061">
      <w:r>
        <w:br w:type="page"/>
      </w:r>
    </w:p>
    <w:tbl>
      <w:tblPr>
        <w:tblW w:w="8652" w:type="dxa"/>
        <w:tblInd w:w="-15" w:type="dxa"/>
        <w:tblLook w:val="04A0" w:firstRow="1" w:lastRow="0" w:firstColumn="1" w:lastColumn="0" w:noHBand="0" w:noVBand="1"/>
      </w:tblPr>
      <w:tblGrid>
        <w:gridCol w:w="15"/>
        <w:gridCol w:w="3305"/>
        <w:gridCol w:w="15"/>
        <w:gridCol w:w="1045"/>
        <w:gridCol w:w="75"/>
        <w:gridCol w:w="272"/>
        <w:gridCol w:w="97"/>
        <w:gridCol w:w="883"/>
        <w:gridCol w:w="156"/>
        <w:gridCol w:w="116"/>
        <w:gridCol w:w="229"/>
        <w:gridCol w:w="1011"/>
        <w:gridCol w:w="134"/>
        <w:gridCol w:w="138"/>
        <w:gridCol w:w="221"/>
        <w:gridCol w:w="759"/>
        <w:gridCol w:w="181"/>
      </w:tblGrid>
      <w:tr w:rsidR="00702061" w:rsidRPr="00D146BC" w14:paraId="1E39F739" w14:textId="77777777" w:rsidTr="00282FF2">
        <w:trPr>
          <w:trHeight w:val="285"/>
        </w:trPr>
        <w:tc>
          <w:tcPr>
            <w:tcW w:w="3320" w:type="dxa"/>
            <w:gridSpan w:val="2"/>
            <w:tcBorders>
              <w:top w:val="nil"/>
              <w:left w:val="nil"/>
              <w:bottom w:val="nil"/>
              <w:right w:val="nil"/>
            </w:tcBorders>
            <w:shd w:val="clear" w:color="000000" w:fill="FFFFFF"/>
            <w:noWrap/>
            <w:vAlign w:val="bottom"/>
            <w:hideMark/>
          </w:tcPr>
          <w:p w14:paraId="11E06DC4" w14:textId="77777777" w:rsidR="00702061" w:rsidRPr="00D146BC" w:rsidRDefault="00702061" w:rsidP="00282FF2">
            <w:pPr>
              <w:spacing w:after="0" w:line="240" w:lineRule="auto"/>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MICROSOFT CORPORATION</w:t>
            </w:r>
          </w:p>
        </w:tc>
        <w:tc>
          <w:tcPr>
            <w:tcW w:w="1060" w:type="dxa"/>
            <w:gridSpan w:val="2"/>
            <w:tcBorders>
              <w:top w:val="nil"/>
              <w:left w:val="nil"/>
              <w:bottom w:val="nil"/>
              <w:right w:val="nil"/>
            </w:tcBorders>
            <w:shd w:val="clear" w:color="000000" w:fill="FFFFFF"/>
            <w:noWrap/>
            <w:vAlign w:val="bottom"/>
            <w:hideMark/>
          </w:tcPr>
          <w:p w14:paraId="69DFBCC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444" w:type="dxa"/>
            <w:gridSpan w:val="3"/>
            <w:tcBorders>
              <w:top w:val="nil"/>
              <w:left w:val="nil"/>
              <w:bottom w:val="nil"/>
              <w:right w:val="nil"/>
            </w:tcBorders>
            <w:shd w:val="clear" w:color="000000" w:fill="FFFFFF"/>
            <w:noWrap/>
            <w:vAlign w:val="bottom"/>
            <w:hideMark/>
          </w:tcPr>
          <w:p w14:paraId="47596665"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1039" w:type="dxa"/>
            <w:gridSpan w:val="2"/>
            <w:tcBorders>
              <w:top w:val="nil"/>
              <w:left w:val="nil"/>
              <w:bottom w:val="nil"/>
              <w:right w:val="nil"/>
            </w:tcBorders>
            <w:shd w:val="clear" w:color="000000" w:fill="FFFFFF"/>
            <w:noWrap/>
            <w:vAlign w:val="bottom"/>
            <w:hideMark/>
          </w:tcPr>
          <w:p w14:paraId="4BBA1D9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345" w:type="dxa"/>
            <w:gridSpan w:val="2"/>
            <w:tcBorders>
              <w:top w:val="nil"/>
              <w:left w:val="nil"/>
              <w:bottom w:val="nil"/>
              <w:right w:val="nil"/>
            </w:tcBorders>
            <w:shd w:val="clear" w:color="000000" w:fill="FFFFFF"/>
            <w:noWrap/>
            <w:vAlign w:val="bottom"/>
            <w:hideMark/>
          </w:tcPr>
          <w:p w14:paraId="3E0CF43B"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1145" w:type="dxa"/>
            <w:gridSpan w:val="2"/>
            <w:tcBorders>
              <w:top w:val="nil"/>
              <w:left w:val="nil"/>
              <w:bottom w:val="nil"/>
              <w:right w:val="nil"/>
            </w:tcBorders>
            <w:shd w:val="clear" w:color="000000" w:fill="FFFFFF"/>
            <w:noWrap/>
            <w:vAlign w:val="bottom"/>
            <w:hideMark/>
          </w:tcPr>
          <w:p w14:paraId="120249E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359" w:type="dxa"/>
            <w:gridSpan w:val="2"/>
            <w:tcBorders>
              <w:top w:val="nil"/>
              <w:left w:val="nil"/>
              <w:bottom w:val="nil"/>
              <w:right w:val="nil"/>
            </w:tcBorders>
            <w:shd w:val="clear" w:color="000000" w:fill="FFFFFF"/>
            <w:noWrap/>
            <w:vAlign w:val="bottom"/>
            <w:hideMark/>
          </w:tcPr>
          <w:p w14:paraId="7CD943C1"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940" w:type="dxa"/>
            <w:gridSpan w:val="2"/>
            <w:tcBorders>
              <w:top w:val="nil"/>
              <w:left w:val="nil"/>
              <w:bottom w:val="nil"/>
              <w:right w:val="nil"/>
            </w:tcBorders>
            <w:shd w:val="clear" w:color="000000" w:fill="FFFFFF"/>
            <w:noWrap/>
            <w:vAlign w:val="bottom"/>
            <w:hideMark/>
          </w:tcPr>
          <w:p w14:paraId="36094F74"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r>
      <w:tr w:rsidR="00702061" w:rsidRPr="00D146BC" w14:paraId="33946F58" w14:textId="77777777" w:rsidTr="00282FF2">
        <w:trPr>
          <w:trHeight w:val="285"/>
        </w:trPr>
        <w:tc>
          <w:tcPr>
            <w:tcW w:w="3320" w:type="dxa"/>
            <w:gridSpan w:val="2"/>
            <w:tcBorders>
              <w:top w:val="nil"/>
              <w:left w:val="nil"/>
              <w:bottom w:val="nil"/>
              <w:right w:val="nil"/>
            </w:tcBorders>
            <w:shd w:val="clear" w:color="000000" w:fill="FFFFFF"/>
            <w:noWrap/>
            <w:vAlign w:val="bottom"/>
            <w:hideMark/>
          </w:tcPr>
          <w:p w14:paraId="30CE16A1"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c>
          <w:tcPr>
            <w:tcW w:w="1060" w:type="dxa"/>
            <w:gridSpan w:val="2"/>
            <w:tcBorders>
              <w:top w:val="nil"/>
              <w:left w:val="nil"/>
              <w:bottom w:val="nil"/>
              <w:right w:val="nil"/>
            </w:tcBorders>
            <w:shd w:val="clear" w:color="000000" w:fill="FFFFFF"/>
            <w:noWrap/>
            <w:vAlign w:val="bottom"/>
            <w:hideMark/>
          </w:tcPr>
          <w:p w14:paraId="6D46FEE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444" w:type="dxa"/>
            <w:gridSpan w:val="3"/>
            <w:tcBorders>
              <w:top w:val="nil"/>
              <w:left w:val="nil"/>
              <w:bottom w:val="nil"/>
              <w:right w:val="nil"/>
            </w:tcBorders>
            <w:shd w:val="clear" w:color="000000" w:fill="FFFFFF"/>
            <w:noWrap/>
            <w:vAlign w:val="bottom"/>
            <w:hideMark/>
          </w:tcPr>
          <w:p w14:paraId="57AE74CE"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1039" w:type="dxa"/>
            <w:gridSpan w:val="2"/>
            <w:tcBorders>
              <w:top w:val="nil"/>
              <w:left w:val="nil"/>
              <w:bottom w:val="nil"/>
              <w:right w:val="nil"/>
            </w:tcBorders>
            <w:shd w:val="clear" w:color="000000" w:fill="FFFFFF"/>
            <w:noWrap/>
            <w:vAlign w:val="bottom"/>
            <w:hideMark/>
          </w:tcPr>
          <w:p w14:paraId="5AC3F15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345" w:type="dxa"/>
            <w:gridSpan w:val="2"/>
            <w:tcBorders>
              <w:top w:val="nil"/>
              <w:left w:val="nil"/>
              <w:bottom w:val="nil"/>
              <w:right w:val="nil"/>
            </w:tcBorders>
            <w:shd w:val="clear" w:color="000000" w:fill="FFFFFF"/>
            <w:noWrap/>
            <w:vAlign w:val="bottom"/>
            <w:hideMark/>
          </w:tcPr>
          <w:p w14:paraId="2A0F06D4"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1145" w:type="dxa"/>
            <w:gridSpan w:val="2"/>
            <w:tcBorders>
              <w:top w:val="nil"/>
              <w:left w:val="nil"/>
              <w:bottom w:val="nil"/>
              <w:right w:val="nil"/>
            </w:tcBorders>
            <w:shd w:val="clear" w:color="000000" w:fill="FFFFFF"/>
            <w:noWrap/>
            <w:vAlign w:val="bottom"/>
            <w:hideMark/>
          </w:tcPr>
          <w:p w14:paraId="1D85B38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359" w:type="dxa"/>
            <w:gridSpan w:val="2"/>
            <w:tcBorders>
              <w:top w:val="nil"/>
              <w:left w:val="nil"/>
              <w:bottom w:val="nil"/>
              <w:right w:val="nil"/>
            </w:tcBorders>
            <w:shd w:val="clear" w:color="000000" w:fill="FFFFFF"/>
            <w:noWrap/>
            <w:vAlign w:val="bottom"/>
            <w:hideMark/>
          </w:tcPr>
          <w:p w14:paraId="2D452AF2"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940" w:type="dxa"/>
            <w:gridSpan w:val="2"/>
            <w:tcBorders>
              <w:top w:val="nil"/>
              <w:left w:val="nil"/>
              <w:bottom w:val="nil"/>
              <w:right w:val="nil"/>
            </w:tcBorders>
            <w:shd w:val="clear" w:color="000000" w:fill="FFFFFF"/>
            <w:noWrap/>
            <w:vAlign w:val="bottom"/>
            <w:hideMark/>
          </w:tcPr>
          <w:p w14:paraId="518D44C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r>
      <w:tr w:rsidR="00702061" w:rsidRPr="00D146BC" w14:paraId="35811960" w14:textId="77777777" w:rsidTr="00282FF2">
        <w:trPr>
          <w:gridBefore w:val="1"/>
          <w:gridAfter w:val="1"/>
          <w:wBefore w:w="15" w:type="dxa"/>
          <w:wAfter w:w="181" w:type="dxa"/>
          <w:trHeight w:val="320"/>
        </w:trPr>
        <w:tc>
          <w:tcPr>
            <w:tcW w:w="8456" w:type="dxa"/>
            <w:gridSpan w:val="15"/>
            <w:tcBorders>
              <w:top w:val="nil"/>
              <w:left w:val="nil"/>
              <w:bottom w:val="nil"/>
              <w:right w:val="nil"/>
            </w:tcBorders>
            <w:shd w:val="clear" w:color="auto" w:fill="auto"/>
            <w:noWrap/>
            <w:vAlign w:val="bottom"/>
            <w:hideMark/>
          </w:tcPr>
          <w:p w14:paraId="60804FC5" w14:textId="77777777" w:rsidR="00702061" w:rsidRPr="00D146BC" w:rsidRDefault="00702061" w:rsidP="00282FF2">
            <w:pPr>
              <w:spacing w:after="0" w:line="240" w:lineRule="auto"/>
              <w:jc w:val="center"/>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CASH FLOWS STATEMENTS</w:t>
            </w:r>
          </w:p>
        </w:tc>
      </w:tr>
      <w:tr w:rsidR="00702061" w:rsidRPr="00D146BC" w14:paraId="75EF405C" w14:textId="77777777" w:rsidTr="00282FF2">
        <w:trPr>
          <w:gridBefore w:val="1"/>
          <w:gridAfter w:val="1"/>
          <w:wBefore w:w="15" w:type="dxa"/>
          <w:wAfter w:w="181" w:type="dxa"/>
          <w:trHeight w:val="320"/>
        </w:trPr>
        <w:tc>
          <w:tcPr>
            <w:tcW w:w="8456" w:type="dxa"/>
            <w:gridSpan w:val="15"/>
            <w:tcBorders>
              <w:top w:val="nil"/>
              <w:left w:val="nil"/>
              <w:bottom w:val="nil"/>
              <w:right w:val="nil"/>
            </w:tcBorders>
            <w:shd w:val="clear" w:color="auto" w:fill="auto"/>
            <w:noWrap/>
            <w:vAlign w:val="bottom"/>
            <w:hideMark/>
          </w:tcPr>
          <w:p w14:paraId="34B7456D" w14:textId="77777777" w:rsidR="00702061" w:rsidRPr="00D146BC" w:rsidRDefault="00702061" w:rsidP="00282FF2">
            <w:pPr>
              <w:spacing w:after="0" w:line="240" w:lineRule="auto"/>
              <w:jc w:val="center"/>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(In millions)(Unaudited)</w:t>
            </w:r>
          </w:p>
        </w:tc>
      </w:tr>
      <w:tr w:rsidR="00702061" w:rsidRPr="00D146BC" w14:paraId="7D4BEBF6" w14:textId="77777777" w:rsidTr="00282FF2">
        <w:trPr>
          <w:gridBefore w:val="1"/>
          <w:gridAfter w:val="1"/>
          <w:wBefore w:w="15" w:type="dxa"/>
          <w:wAfter w:w="181" w:type="dxa"/>
          <w:trHeight w:val="170"/>
        </w:trPr>
        <w:tc>
          <w:tcPr>
            <w:tcW w:w="3320" w:type="dxa"/>
            <w:gridSpan w:val="2"/>
            <w:tcBorders>
              <w:top w:val="nil"/>
              <w:left w:val="nil"/>
              <w:bottom w:val="nil"/>
              <w:right w:val="nil"/>
            </w:tcBorders>
            <w:shd w:val="clear" w:color="auto" w:fill="auto"/>
            <w:noWrap/>
            <w:vAlign w:val="bottom"/>
            <w:hideMark/>
          </w:tcPr>
          <w:p w14:paraId="7684FA7C" w14:textId="77777777" w:rsidR="00702061" w:rsidRPr="00D146BC" w:rsidRDefault="00702061" w:rsidP="00282FF2">
            <w:pPr>
              <w:spacing w:after="0" w:line="240" w:lineRule="auto"/>
              <w:jc w:val="center"/>
              <w:rPr>
                <w:rFonts w:ascii="Segoe UI" w:eastAsia="Times New Roman" w:hAnsi="Segoe UI" w:cs="Segoe UI"/>
                <w:color w:val="666666"/>
                <w:sz w:val="20"/>
                <w:szCs w:val="20"/>
              </w:rPr>
            </w:pPr>
          </w:p>
        </w:tc>
        <w:tc>
          <w:tcPr>
            <w:tcW w:w="1120" w:type="dxa"/>
            <w:gridSpan w:val="2"/>
            <w:tcBorders>
              <w:top w:val="nil"/>
              <w:left w:val="nil"/>
              <w:bottom w:val="nil"/>
              <w:right w:val="nil"/>
            </w:tcBorders>
            <w:shd w:val="clear" w:color="auto" w:fill="auto"/>
            <w:noWrap/>
            <w:vAlign w:val="bottom"/>
            <w:hideMark/>
          </w:tcPr>
          <w:p w14:paraId="668A6AFE"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7378D87"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593D6C87"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247953E2"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1240" w:type="dxa"/>
            <w:gridSpan w:val="2"/>
            <w:tcBorders>
              <w:top w:val="nil"/>
              <w:left w:val="nil"/>
              <w:bottom w:val="nil"/>
              <w:right w:val="nil"/>
            </w:tcBorders>
            <w:shd w:val="clear" w:color="auto" w:fill="auto"/>
            <w:noWrap/>
            <w:vAlign w:val="bottom"/>
            <w:hideMark/>
          </w:tcPr>
          <w:p w14:paraId="5D93BA99"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076A73F3"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19EEE821" w14:textId="77777777" w:rsidR="00702061" w:rsidRPr="00D146BC" w:rsidRDefault="00702061" w:rsidP="00282FF2">
            <w:pPr>
              <w:spacing w:after="0" w:line="240" w:lineRule="auto"/>
              <w:jc w:val="center"/>
              <w:rPr>
                <w:rFonts w:ascii="Times New Roman" w:eastAsia="Times New Roman" w:hAnsi="Times New Roman"/>
                <w:sz w:val="20"/>
                <w:szCs w:val="20"/>
              </w:rPr>
            </w:pPr>
          </w:p>
        </w:tc>
      </w:tr>
      <w:tr w:rsidR="00702061" w:rsidRPr="00D146BC" w14:paraId="1B879674" w14:textId="77777777" w:rsidTr="00282FF2">
        <w:trPr>
          <w:gridBefore w:val="1"/>
          <w:gridAfter w:val="1"/>
          <w:wBefore w:w="15" w:type="dxa"/>
          <w:wAfter w:w="181" w:type="dxa"/>
          <w:trHeight w:val="300"/>
        </w:trPr>
        <w:tc>
          <w:tcPr>
            <w:tcW w:w="3320" w:type="dxa"/>
            <w:gridSpan w:val="2"/>
            <w:tcBorders>
              <w:top w:val="nil"/>
              <w:left w:val="nil"/>
              <w:bottom w:val="nil"/>
              <w:right w:val="nil"/>
            </w:tcBorders>
            <w:shd w:val="clear" w:color="auto" w:fill="auto"/>
            <w:noWrap/>
            <w:vAlign w:val="bottom"/>
            <w:hideMark/>
          </w:tcPr>
          <w:p w14:paraId="64A8427D"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372" w:type="dxa"/>
            <w:gridSpan w:val="5"/>
            <w:vMerge w:val="restart"/>
            <w:tcBorders>
              <w:top w:val="nil"/>
              <w:left w:val="nil"/>
              <w:bottom w:val="nil"/>
              <w:right w:val="nil"/>
            </w:tcBorders>
            <w:shd w:val="clear" w:color="auto" w:fill="auto"/>
            <w:vAlign w:val="bottom"/>
            <w:hideMark/>
          </w:tcPr>
          <w:p w14:paraId="260B94A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Three Months Ended June 30,</w:t>
            </w:r>
          </w:p>
        </w:tc>
        <w:tc>
          <w:tcPr>
            <w:tcW w:w="272" w:type="dxa"/>
            <w:gridSpan w:val="2"/>
            <w:tcBorders>
              <w:top w:val="nil"/>
              <w:left w:val="nil"/>
              <w:bottom w:val="nil"/>
              <w:right w:val="nil"/>
            </w:tcBorders>
            <w:shd w:val="clear" w:color="auto" w:fill="auto"/>
            <w:noWrap/>
            <w:vAlign w:val="bottom"/>
            <w:hideMark/>
          </w:tcPr>
          <w:p w14:paraId="2552529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2492" w:type="dxa"/>
            <w:gridSpan w:val="6"/>
            <w:vMerge w:val="restart"/>
            <w:tcBorders>
              <w:top w:val="nil"/>
              <w:left w:val="nil"/>
              <w:bottom w:val="nil"/>
              <w:right w:val="nil"/>
            </w:tcBorders>
            <w:shd w:val="clear" w:color="auto" w:fill="auto"/>
            <w:vAlign w:val="bottom"/>
            <w:hideMark/>
          </w:tcPr>
          <w:p w14:paraId="62380E4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Twelve Months Ended June 30,</w:t>
            </w:r>
          </w:p>
        </w:tc>
      </w:tr>
      <w:tr w:rsidR="00702061" w:rsidRPr="00D146BC" w14:paraId="038E7D1F"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3BA3948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2372" w:type="dxa"/>
            <w:gridSpan w:val="5"/>
            <w:vMerge/>
            <w:tcBorders>
              <w:top w:val="nil"/>
              <w:left w:val="nil"/>
              <w:bottom w:val="nil"/>
              <w:right w:val="nil"/>
            </w:tcBorders>
            <w:vAlign w:val="center"/>
            <w:hideMark/>
          </w:tcPr>
          <w:p w14:paraId="0D856486"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c>
          <w:tcPr>
            <w:tcW w:w="272" w:type="dxa"/>
            <w:gridSpan w:val="2"/>
            <w:tcBorders>
              <w:top w:val="nil"/>
              <w:left w:val="nil"/>
              <w:bottom w:val="nil"/>
              <w:right w:val="nil"/>
            </w:tcBorders>
            <w:shd w:val="clear" w:color="auto" w:fill="auto"/>
            <w:noWrap/>
            <w:vAlign w:val="bottom"/>
            <w:hideMark/>
          </w:tcPr>
          <w:p w14:paraId="516E109E" w14:textId="77777777" w:rsidR="00702061" w:rsidRPr="00D146BC" w:rsidRDefault="00702061" w:rsidP="00282FF2">
            <w:pPr>
              <w:spacing w:after="0" w:line="240" w:lineRule="auto"/>
              <w:rPr>
                <w:rFonts w:ascii="Times New Roman" w:eastAsia="Times New Roman" w:hAnsi="Times New Roman"/>
                <w:sz w:val="20"/>
                <w:szCs w:val="20"/>
              </w:rPr>
            </w:pPr>
          </w:p>
        </w:tc>
        <w:tc>
          <w:tcPr>
            <w:tcW w:w="2492" w:type="dxa"/>
            <w:gridSpan w:val="6"/>
            <w:vMerge/>
            <w:tcBorders>
              <w:top w:val="nil"/>
              <w:left w:val="nil"/>
              <w:bottom w:val="nil"/>
              <w:right w:val="nil"/>
            </w:tcBorders>
            <w:vAlign w:val="center"/>
            <w:hideMark/>
          </w:tcPr>
          <w:p w14:paraId="06805020"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r>
      <w:tr w:rsidR="00702061" w:rsidRPr="00D146BC" w14:paraId="353FF259" w14:textId="77777777" w:rsidTr="00282FF2">
        <w:trPr>
          <w:gridBefore w:val="1"/>
          <w:gridAfter w:val="1"/>
          <w:wBefore w:w="15" w:type="dxa"/>
          <w:wAfter w:w="181" w:type="dxa"/>
          <w:trHeight w:val="320"/>
        </w:trPr>
        <w:tc>
          <w:tcPr>
            <w:tcW w:w="3320" w:type="dxa"/>
            <w:gridSpan w:val="2"/>
            <w:tcBorders>
              <w:top w:val="nil"/>
              <w:left w:val="nil"/>
              <w:bottom w:val="single" w:sz="4" w:space="0" w:color="auto"/>
              <w:right w:val="nil"/>
            </w:tcBorders>
            <w:shd w:val="clear" w:color="auto" w:fill="auto"/>
            <w:noWrap/>
            <w:vAlign w:val="bottom"/>
            <w:hideMark/>
          </w:tcPr>
          <w:p w14:paraId="0C62C929" w14:textId="77777777" w:rsidR="00702061" w:rsidRPr="00D146BC" w:rsidRDefault="00702061" w:rsidP="00282FF2">
            <w:pPr>
              <w:spacing w:after="0" w:line="240" w:lineRule="auto"/>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w:t>
            </w:r>
          </w:p>
        </w:tc>
        <w:tc>
          <w:tcPr>
            <w:tcW w:w="1120" w:type="dxa"/>
            <w:gridSpan w:val="2"/>
            <w:tcBorders>
              <w:top w:val="nil"/>
              <w:left w:val="nil"/>
              <w:bottom w:val="single" w:sz="4" w:space="0" w:color="auto"/>
              <w:right w:val="nil"/>
            </w:tcBorders>
            <w:shd w:val="clear" w:color="auto" w:fill="auto"/>
            <w:noWrap/>
            <w:vAlign w:val="bottom"/>
            <w:hideMark/>
          </w:tcPr>
          <w:p w14:paraId="44CBD48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2016</w:t>
            </w:r>
          </w:p>
        </w:tc>
        <w:tc>
          <w:tcPr>
            <w:tcW w:w="272" w:type="dxa"/>
            <w:tcBorders>
              <w:top w:val="nil"/>
              <w:left w:val="nil"/>
              <w:bottom w:val="single" w:sz="4" w:space="0" w:color="auto"/>
              <w:right w:val="nil"/>
            </w:tcBorders>
            <w:shd w:val="clear" w:color="auto" w:fill="auto"/>
            <w:noWrap/>
            <w:vAlign w:val="bottom"/>
            <w:hideMark/>
          </w:tcPr>
          <w:p w14:paraId="5AA5267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w:t>
            </w:r>
          </w:p>
        </w:tc>
        <w:tc>
          <w:tcPr>
            <w:tcW w:w="980" w:type="dxa"/>
            <w:gridSpan w:val="2"/>
            <w:tcBorders>
              <w:top w:val="nil"/>
              <w:left w:val="nil"/>
              <w:bottom w:val="single" w:sz="4" w:space="0" w:color="auto"/>
              <w:right w:val="nil"/>
            </w:tcBorders>
            <w:shd w:val="clear" w:color="auto" w:fill="auto"/>
            <w:noWrap/>
            <w:vAlign w:val="bottom"/>
            <w:hideMark/>
          </w:tcPr>
          <w:p w14:paraId="0CC0B05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2015</w:t>
            </w:r>
          </w:p>
        </w:tc>
        <w:tc>
          <w:tcPr>
            <w:tcW w:w="272" w:type="dxa"/>
            <w:gridSpan w:val="2"/>
            <w:tcBorders>
              <w:top w:val="nil"/>
              <w:left w:val="nil"/>
              <w:bottom w:val="single" w:sz="4" w:space="0" w:color="auto"/>
              <w:right w:val="nil"/>
            </w:tcBorders>
            <w:shd w:val="clear" w:color="auto" w:fill="auto"/>
            <w:noWrap/>
            <w:vAlign w:val="bottom"/>
            <w:hideMark/>
          </w:tcPr>
          <w:p w14:paraId="573ACE87" w14:textId="77777777" w:rsidR="00702061" w:rsidRPr="00D146BC" w:rsidRDefault="00702061" w:rsidP="00282FF2">
            <w:pPr>
              <w:spacing w:after="0" w:line="240" w:lineRule="auto"/>
              <w:jc w:val="center"/>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w:t>
            </w:r>
          </w:p>
        </w:tc>
        <w:tc>
          <w:tcPr>
            <w:tcW w:w="1240" w:type="dxa"/>
            <w:gridSpan w:val="2"/>
            <w:tcBorders>
              <w:top w:val="nil"/>
              <w:left w:val="nil"/>
              <w:bottom w:val="single" w:sz="4" w:space="0" w:color="auto"/>
              <w:right w:val="nil"/>
            </w:tcBorders>
            <w:shd w:val="clear" w:color="auto" w:fill="auto"/>
            <w:noWrap/>
            <w:vAlign w:val="bottom"/>
            <w:hideMark/>
          </w:tcPr>
          <w:p w14:paraId="0611FCB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2016</w:t>
            </w:r>
          </w:p>
        </w:tc>
        <w:tc>
          <w:tcPr>
            <w:tcW w:w="272" w:type="dxa"/>
            <w:gridSpan w:val="2"/>
            <w:tcBorders>
              <w:top w:val="nil"/>
              <w:left w:val="nil"/>
              <w:bottom w:val="single" w:sz="4" w:space="0" w:color="auto"/>
              <w:right w:val="nil"/>
            </w:tcBorders>
            <w:shd w:val="clear" w:color="auto" w:fill="auto"/>
            <w:noWrap/>
            <w:vAlign w:val="bottom"/>
            <w:hideMark/>
          </w:tcPr>
          <w:p w14:paraId="7B18D2F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w:t>
            </w:r>
          </w:p>
        </w:tc>
        <w:tc>
          <w:tcPr>
            <w:tcW w:w="980" w:type="dxa"/>
            <w:gridSpan w:val="2"/>
            <w:tcBorders>
              <w:top w:val="nil"/>
              <w:left w:val="nil"/>
              <w:bottom w:val="single" w:sz="4" w:space="0" w:color="auto"/>
              <w:right w:val="nil"/>
            </w:tcBorders>
            <w:shd w:val="clear" w:color="auto" w:fill="auto"/>
            <w:noWrap/>
            <w:vAlign w:val="bottom"/>
            <w:hideMark/>
          </w:tcPr>
          <w:p w14:paraId="0263444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2015</w:t>
            </w:r>
          </w:p>
        </w:tc>
      </w:tr>
      <w:tr w:rsidR="00702061" w:rsidRPr="00D146BC" w14:paraId="68FE7713"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714118E6" w14:textId="77777777" w:rsidR="00702061" w:rsidRPr="00D146BC" w:rsidRDefault="00702061" w:rsidP="00282FF2">
            <w:pPr>
              <w:spacing w:after="0" w:line="240" w:lineRule="auto"/>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Operations</w:t>
            </w:r>
          </w:p>
        </w:tc>
        <w:tc>
          <w:tcPr>
            <w:tcW w:w="1120" w:type="dxa"/>
            <w:gridSpan w:val="2"/>
            <w:tcBorders>
              <w:top w:val="nil"/>
              <w:left w:val="nil"/>
              <w:bottom w:val="nil"/>
              <w:right w:val="nil"/>
            </w:tcBorders>
            <w:shd w:val="clear" w:color="auto" w:fill="auto"/>
            <w:noWrap/>
            <w:vAlign w:val="bottom"/>
            <w:hideMark/>
          </w:tcPr>
          <w:p w14:paraId="696514DB"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5DE0593"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1188C773"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47584199"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1240" w:type="dxa"/>
            <w:gridSpan w:val="2"/>
            <w:tcBorders>
              <w:top w:val="nil"/>
              <w:left w:val="nil"/>
              <w:bottom w:val="nil"/>
              <w:right w:val="nil"/>
            </w:tcBorders>
            <w:shd w:val="clear" w:color="auto" w:fill="auto"/>
            <w:noWrap/>
            <w:vAlign w:val="bottom"/>
            <w:hideMark/>
          </w:tcPr>
          <w:p w14:paraId="1FD9549D" w14:textId="77777777" w:rsidR="00702061" w:rsidRPr="00D146BC" w:rsidRDefault="00702061" w:rsidP="00282FF2">
            <w:pPr>
              <w:spacing w:after="0" w:line="240" w:lineRule="auto"/>
              <w:jc w:val="center"/>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6F8FD031"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7B32DABD" w14:textId="77777777" w:rsidR="00702061" w:rsidRPr="00D146BC" w:rsidRDefault="00702061" w:rsidP="00282FF2">
            <w:pPr>
              <w:spacing w:after="0" w:line="240" w:lineRule="auto"/>
              <w:jc w:val="center"/>
              <w:rPr>
                <w:rFonts w:ascii="Times New Roman" w:eastAsia="Times New Roman" w:hAnsi="Times New Roman"/>
                <w:sz w:val="20"/>
                <w:szCs w:val="20"/>
              </w:rPr>
            </w:pPr>
          </w:p>
        </w:tc>
      </w:tr>
      <w:tr w:rsidR="00702061" w:rsidRPr="00D146BC" w14:paraId="73E95AE8"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052AFBD5"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Net income (loss)</w:t>
            </w:r>
          </w:p>
        </w:tc>
        <w:tc>
          <w:tcPr>
            <w:tcW w:w="1120" w:type="dxa"/>
            <w:gridSpan w:val="2"/>
            <w:tcBorders>
              <w:top w:val="nil"/>
              <w:left w:val="nil"/>
              <w:bottom w:val="nil"/>
              <w:right w:val="nil"/>
            </w:tcBorders>
            <w:shd w:val="clear" w:color="auto" w:fill="auto"/>
            <w:noWrap/>
            <w:vAlign w:val="bottom"/>
            <w:hideMark/>
          </w:tcPr>
          <w:p w14:paraId="5D0BCB6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 $3,122 </w:t>
            </w:r>
          </w:p>
        </w:tc>
        <w:tc>
          <w:tcPr>
            <w:tcW w:w="272" w:type="dxa"/>
            <w:tcBorders>
              <w:top w:val="nil"/>
              <w:left w:val="nil"/>
              <w:bottom w:val="nil"/>
              <w:right w:val="nil"/>
            </w:tcBorders>
            <w:shd w:val="clear" w:color="auto" w:fill="auto"/>
            <w:noWrap/>
            <w:vAlign w:val="bottom"/>
            <w:hideMark/>
          </w:tcPr>
          <w:p w14:paraId="2886408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4165366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$(3,195)</w:t>
            </w:r>
          </w:p>
        </w:tc>
        <w:tc>
          <w:tcPr>
            <w:tcW w:w="272" w:type="dxa"/>
            <w:gridSpan w:val="2"/>
            <w:tcBorders>
              <w:top w:val="nil"/>
              <w:left w:val="nil"/>
              <w:bottom w:val="nil"/>
              <w:right w:val="nil"/>
            </w:tcBorders>
            <w:shd w:val="clear" w:color="auto" w:fill="auto"/>
            <w:noWrap/>
            <w:vAlign w:val="bottom"/>
            <w:hideMark/>
          </w:tcPr>
          <w:p w14:paraId="62E6022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2CEEB85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 $16,798 </w:t>
            </w:r>
          </w:p>
        </w:tc>
        <w:tc>
          <w:tcPr>
            <w:tcW w:w="272" w:type="dxa"/>
            <w:gridSpan w:val="2"/>
            <w:tcBorders>
              <w:top w:val="nil"/>
              <w:left w:val="nil"/>
              <w:bottom w:val="nil"/>
              <w:right w:val="nil"/>
            </w:tcBorders>
            <w:shd w:val="clear" w:color="auto" w:fill="auto"/>
            <w:noWrap/>
            <w:vAlign w:val="bottom"/>
            <w:hideMark/>
          </w:tcPr>
          <w:p w14:paraId="5D21BCD6"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2564D8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$12,193 </w:t>
            </w:r>
          </w:p>
        </w:tc>
      </w:tr>
      <w:tr w:rsidR="00702061" w:rsidRPr="00D146BC" w14:paraId="74D11DB0" w14:textId="77777777" w:rsidTr="00282FF2">
        <w:trPr>
          <w:gridBefore w:val="1"/>
          <w:gridAfter w:val="1"/>
          <w:wBefore w:w="15" w:type="dxa"/>
          <w:wAfter w:w="181" w:type="dxa"/>
          <w:trHeight w:val="960"/>
        </w:trPr>
        <w:tc>
          <w:tcPr>
            <w:tcW w:w="3320" w:type="dxa"/>
            <w:gridSpan w:val="2"/>
            <w:tcBorders>
              <w:top w:val="nil"/>
              <w:left w:val="nil"/>
              <w:bottom w:val="nil"/>
              <w:right w:val="nil"/>
            </w:tcBorders>
            <w:shd w:val="clear" w:color="auto" w:fill="auto"/>
            <w:vAlign w:val="bottom"/>
            <w:hideMark/>
          </w:tcPr>
          <w:p w14:paraId="5A5163E6"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Adjustments to reconcile net </w:t>
            </w:r>
            <w:r w:rsidRPr="00D146BC">
              <w:rPr>
                <w:rFonts w:ascii="Segoe UI" w:eastAsia="Times New Roman" w:hAnsi="Segoe UI" w:cs="Segoe UI"/>
                <w:color w:val="666666"/>
                <w:sz w:val="20"/>
                <w:szCs w:val="20"/>
              </w:rPr>
              <w:br/>
              <w:t xml:space="preserve">   income (loss) to net cash from </w:t>
            </w:r>
            <w:r w:rsidRPr="00D146BC">
              <w:rPr>
                <w:rFonts w:ascii="Segoe UI" w:eastAsia="Times New Roman" w:hAnsi="Segoe UI" w:cs="Segoe UI"/>
                <w:color w:val="666666"/>
                <w:sz w:val="20"/>
                <w:szCs w:val="20"/>
              </w:rPr>
              <w:br/>
              <w:t xml:space="preserve">   operations:</w:t>
            </w:r>
          </w:p>
        </w:tc>
        <w:tc>
          <w:tcPr>
            <w:tcW w:w="1120" w:type="dxa"/>
            <w:gridSpan w:val="2"/>
            <w:tcBorders>
              <w:top w:val="nil"/>
              <w:left w:val="nil"/>
              <w:bottom w:val="nil"/>
              <w:right w:val="nil"/>
            </w:tcBorders>
            <w:shd w:val="clear" w:color="auto" w:fill="auto"/>
            <w:noWrap/>
            <w:vAlign w:val="bottom"/>
            <w:hideMark/>
          </w:tcPr>
          <w:p w14:paraId="7F7264DD"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2946B38"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72E223C6"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68835A5D"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1240" w:type="dxa"/>
            <w:gridSpan w:val="2"/>
            <w:tcBorders>
              <w:top w:val="nil"/>
              <w:left w:val="nil"/>
              <w:bottom w:val="nil"/>
              <w:right w:val="nil"/>
            </w:tcBorders>
            <w:shd w:val="clear" w:color="auto" w:fill="auto"/>
            <w:noWrap/>
            <w:vAlign w:val="bottom"/>
            <w:hideMark/>
          </w:tcPr>
          <w:p w14:paraId="122E904F"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1F62D71B"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2DE2E753" w14:textId="77777777" w:rsidR="00702061" w:rsidRPr="00D146BC" w:rsidRDefault="00702061" w:rsidP="00282FF2">
            <w:pPr>
              <w:spacing w:after="0" w:line="240" w:lineRule="auto"/>
              <w:rPr>
                <w:rFonts w:ascii="Times New Roman" w:eastAsia="Times New Roman" w:hAnsi="Times New Roman"/>
                <w:sz w:val="20"/>
                <w:szCs w:val="20"/>
              </w:rPr>
            </w:pPr>
          </w:p>
        </w:tc>
      </w:tr>
      <w:tr w:rsidR="00702061" w:rsidRPr="00D146BC" w14:paraId="3E360983" w14:textId="77777777" w:rsidTr="00282FF2">
        <w:trPr>
          <w:gridBefore w:val="1"/>
          <w:gridAfter w:val="1"/>
          <w:wBefore w:w="15" w:type="dxa"/>
          <w:wAfter w:w="181" w:type="dxa"/>
          <w:trHeight w:val="640"/>
        </w:trPr>
        <w:tc>
          <w:tcPr>
            <w:tcW w:w="3320" w:type="dxa"/>
            <w:gridSpan w:val="2"/>
            <w:tcBorders>
              <w:top w:val="nil"/>
              <w:left w:val="nil"/>
              <w:bottom w:val="nil"/>
              <w:right w:val="nil"/>
            </w:tcBorders>
            <w:shd w:val="clear" w:color="auto" w:fill="auto"/>
            <w:vAlign w:val="bottom"/>
            <w:hideMark/>
          </w:tcPr>
          <w:p w14:paraId="156CCE2B"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Goodwill and long-lived asset</w:t>
            </w:r>
            <w:r w:rsidRPr="00D146BC">
              <w:rPr>
                <w:rFonts w:ascii="Segoe UI" w:eastAsia="Times New Roman" w:hAnsi="Segoe UI" w:cs="Segoe UI"/>
                <w:color w:val="666666"/>
                <w:sz w:val="20"/>
                <w:szCs w:val="20"/>
              </w:rPr>
              <w:br/>
              <w:t xml:space="preserve">      impairment</w:t>
            </w:r>
          </w:p>
        </w:tc>
        <w:tc>
          <w:tcPr>
            <w:tcW w:w="1120" w:type="dxa"/>
            <w:gridSpan w:val="2"/>
            <w:tcBorders>
              <w:top w:val="nil"/>
              <w:left w:val="nil"/>
              <w:bottom w:val="nil"/>
              <w:right w:val="nil"/>
            </w:tcBorders>
            <w:shd w:val="clear" w:color="auto" w:fill="auto"/>
            <w:noWrap/>
            <w:vAlign w:val="bottom"/>
            <w:hideMark/>
          </w:tcPr>
          <w:p w14:paraId="0A2E0A6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630 </w:t>
            </w:r>
          </w:p>
        </w:tc>
        <w:tc>
          <w:tcPr>
            <w:tcW w:w="272" w:type="dxa"/>
            <w:tcBorders>
              <w:top w:val="nil"/>
              <w:left w:val="nil"/>
              <w:bottom w:val="nil"/>
              <w:right w:val="nil"/>
            </w:tcBorders>
            <w:shd w:val="clear" w:color="auto" w:fill="auto"/>
            <w:noWrap/>
            <w:vAlign w:val="bottom"/>
            <w:hideMark/>
          </w:tcPr>
          <w:p w14:paraId="2351256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B138A3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7,498 </w:t>
            </w:r>
          </w:p>
        </w:tc>
        <w:tc>
          <w:tcPr>
            <w:tcW w:w="272" w:type="dxa"/>
            <w:gridSpan w:val="2"/>
            <w:tcBorders>
              <w:top w:val="nil"/>
              <w:left w:val="nil"/>
              <w:bottom w:val="nil"/>
              <w:right w:val="nil"/>
            </w:tcBorders>
            <w:shd w:val="clear" w:color="auto" w:fill="auto"/>
            <w:noWrap/>
            <w:vAlign w:val="bottom"/>
            <w:hideMark/>
          </w:tcPr>
          <w:p w14:paraId="37A99474"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7FB0FC61" w14:textId="7C7555DC"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          630 </w:t>
            </w:r>
          </w:p>
        </w:tc>
        <w:tc>
          <w:tcPr>
            <w:tcW w:w="272" w:type="dxa"/>
            <w:gridSpan w:val="2"/>
            <w:tcBorders>
              <w:top w:val="nil"/>
              <w:left w:val="nil"/>
              <w:bottom w:val="nil"/>
              <w:right w:val="nil"/>
            </w:tcBorders>
            <w:shd w:val="clear" w:color="auto" w:fill="auto"/>
            <w:noWrap/>
            <w:vAlign w:val="bottom"/>
            <w:hideMark/>
          </w:tcPr>
          <w:p w14:paraId="43CF181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ADAFD5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7,498 </w:t>
            </w:r>
          </w:p>
        </w:tc>
      </w:tr>
      <w:tr w:rsidR="00702061" w:rsidRPr="00D146BC" w14:paraId="59A97B57" w14:textId="77777777" w:rsidTr="00282FF2">
        <w:trPr>
          <w:gridBefore w:val="1"/>
          <w:gridAfter w:val="1"/>
          <w:wBefore w:w="15" w:type="dxa"/>
          <w:wAfter w:w="181" w:type="dxa"/>
          <w:trHeight w:val="640"/>
        </w:trPr>
        <w:tc>
          <w:tcPr>
            <w:tcW w:w="3320" w:type="dxa"/>
            <w:gridSpan w:val="2"/>
            <w:tcBorders>
              <w:top w:val="nil"/>
              <w:left w:val="nil"/>
              <w:bottom w:val="nil"/>
              <w:right w:val="nil"/>
            </w:tcBorders>
            <w:shd w:val="clear" w:color="auto" w:fill="auto"/>
            <w:vAlign w:val="bottom"/>
            <w:hideMark/>
          </w:tcPr>
          <w:p w14:paraId="3A17B9D6"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Depreciation, amortization, and</w:t>
            </w:r>
            <w:r w:rsidRPr="00D146BC">
              <w:rPr>
                <w:rFonts w:ascii="Segoe UI" w:eastAsia="Times New Roman" w:hAnsi="Segoe UI" w:cs="Segoe UI"/>
                <w:color w:val="666666"/>
                <w:sz w:val="20"/>
                <w:szCs w:val="20"/>
              </w:rPr>
              <w:br/>
              <w:t xml:space="preserve">      other</w:t>
            </w:r>
          </w:p>
        </w:tc>
        <w:tc>
          <w:tcPr>
            <w:tcW w:w="1120" w:type="dxa"/>
            <w:gridSpan w:val="2"/>
            <w:tcBorders>
              <w:top w:val="nil"/>
              <w:left w:val="nil"/>
              <w:bottom w:val="nil"/>
              <w:right w:val="nil"/>
            </w:tcBorders>
            <w:shd w:val="clear" w:color="auto" w:fill="auto"/>
            <w:noWrap/>
            <w:vAlign w:val="bottom"/>
            <w:hideMark/>
          </w:tcPr>
          <w:p w14:paraId="3B41190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1,910 </w:t>
            </w:r>
          </w:p>
        </w:tc>
        <w:tc>
          <w:tcPr>
            <w:tcW w:w="272" w:type="dxa"/>
            <w:tcBorders>
              <w:top w:val="nil"/>
              <w:left w:val="nil"/>
              <w:bottom w:val="nil"/>
              <w:right w:val="nil"/>
            </w:tcBorders>
            <w:shd w:val="clear" w:color="auto" w:fill="auto"/>
            <w:noWrap/>
            <w:vAlign w:val="bottom"/>
            <w:hideMark/>
          </w:tcPr>
          <w:p w14:paraId="4B6972D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7685BE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1,493 </w:t>
            </w:r>
          </w:p>
        </w:tc>
        <w:tc>
          <w:tcPr>
            <w:tcW w:w="272" w:type="dxa"/>
            <w:gridSpan w:val="2"/>
            <w:tcBorders>
              <w:top w:val="nil"/>
              <w:left w:val="nil"/>
              <w:bottom w:val="nil"/>
              <w:right w:val="nil"/>
            </w:tcBorders>
            <w:shd w:val="clear" w:color="auto" w:fill="auto"/>
            <w:noWrap/>
            <w:vAlign w:val="bottom"/>
            <w:hideMark/>
          </w:tcPr>
          <w:p w14:paraId="699AA20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6C46E31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6,622 </w:t>
            </w:r>
          </w:p>
        </w:tc>
        <w:tc>
          <w:tcPr>
            <w:tcW w:w="272" w:type="dxa"/>
            <w:gridSpan w:val="2"/>
            <w:tcBorders>
              <w:top w:val="nil"/>
              <w:left w:val="nil"/>
              <w:bottom w:val="nil"/>
              <w:right w:val="nil"/>
            </w:tcBorders>
            <w:shd w:val="clear" w:color="auto" w:fill="auto"/>
            <w:noWrap/>
            <w:vAlign w:val="bottom"/>
            <w:hideMark/>
          </w:tcPr>
          <w:p w14:paraId="7682256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9E17745"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5,957 </w:t>
            </w:r>
          </w:p>
        </w:tc>
      </w:tr>
      <w:tr w:rsidR="00702061" w:rsidRPr="00D146BC" w14:paraId="3A1D34D7" w14:textId="77777777" w:rsidTr="00282FF2">
        <w:trPr>
          <w:gridBefore w:val="1"/>
          <w:gridAfter w:val="1"/>
          <w:wBefore w:w="15" w:type="dxa"/>
          <w:wAfter w:w="181" w:type="dxa"/>
          <w:trHeight w:val="640"/>
        </w:trPr>
        <w:tc>
          <w:tcPr>
            <w:tcW w:w="3320" w:type="dxa"/>
            <w:gridSpan w:val="2"/>
            <w:tcBorders>
              <w:top w:val="nil"/>
              <w:left w:val="nil"/>
              <w:bottom w:val="nil"/>
              <w:right w:val="nil"/>
            </w:tcBorders>
            <w:shd w:val="clear" w:color="auto" w:fill="auto"/>
            <w:vAlign w:val="bottom"/>
            <w:hideMark/>
          </w:tcPr>
          <w:p w14:paraId="55ED9A63"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Stock-based compensation</w:t>
            </w:r>
            <w:r w:rsidRPr="00D146BC">
              <w:rPr>
                <w:rFonts w:ascii="Segoe UI" w:eastAsia="Times New Roman" w:hAnsi="Segoe UI" w:cs="Segoe UI"/>
                <w:color w:val="666666"/>
                <w:sz w:val="20"/>
                <w:szCs w:val="20"/>
              </w:rPr>
              <w:br/>
              <w:t xml:space="preserve">      expense</w:t>
            </w:r>
          </w:p>
        </w:tc>
        <w:tc>
          <w:tcPr>
            <w:tcW w:w="1120" w:type="dxa"/>
            <w:gridSpan w:val="2"/>
            <w:tcBorders>
              <w:top w:val="nil"/>
              <w:left w:val="nil"/>
              <w:bottom w:val="nil"/>
              <w:right w:val="nil"/>
            </w:tcBorders>
            <w:shd w:val="clear" w:color="auto" w:fill="auto"/>
            <w:noWrap/>
            <w:vAlign w:val="bottom"/>
            <w:hideMark/>
          </w:tcPr>
          <w:p w14:paraId="1748A36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664 </w:t>
            </w:r>
          </w:p>
        </w:tc>
        <w:tc>
          <w:tcPr>
            <w:tcW w:w="272" w:type="dxa"/>
            <w:tcBorders>
              <w:top w:val="nil"/>
              <w:left w:val="nil"/>
              <w:bottom w:val="nil"/>
              <w:right w:val="nil"/>
            </w:tcBorders>
            <w:shd w:val="clear" w:color="auto" w:fill="auto"/>
            <w:noWrap/>
            <w:vAlign w:val="bottom"/>
            <w:hideMark/>
          </w:tcPr>
          <w:p w14:paraId="58B08AC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7C95D5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654 </w:t>
            </w:r>
          </w:p>
        </w:tc>
        <w:tc>
          <w:tcPr>
            <w:tcW w:w="272" w:type="dxa"/>
            <w:gridSpan w:val="2"/>
            <w:tcBorders>
              <w:top w:val="nil"/>
              <w:left w:val="nil"/>
              <w:bottom w:val="nil"/>
              <w:right w:val="nil"/>
            </w:tcBorders>
            <w:shd w:val="clear" w:color="auto" w:fill="auto"/>
            <w:noWrap/>
            <w:vAlign w:val="bottom"/>
            <w:hideMark/>
          </w:tcPr>
          <w:p w14:paraId="530DE8E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57ABF4A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2,668 </w:t>
            </w:r>
          </w:p>
        </w:tc>
        <w:tc>
          <w:tcPr>
            <w:tcW w:w="272" w:type="dxa"/>
            <w:gridSpan w:val="2"/>
            <w:tcBorders>
              <w:top w:val="nil"/>
              <w:left w:val="nil"/>
              <w:bottom w:val="nil"/>
              <w:right w:val="nil"/>
            </w:tcBorders>
            <w:shd w:val="clear" w:color="auto" w:fill="auto"/>
            <w:noWrap/>
            <w:vAlign w:val="bottom"/>
            <w:hideMark/>
          </w:tcPr>
          <w:p w14:paraId="7AD485B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461BF89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2,574 </w:t>
            </w:r>
          </w:p>
        </w:tc>
      </w:tr>
      <w:tr w:rsidR="00702061" w:rsidRPr="00D146BC" w14:paraId="223B41F4" w14:textId="77777777" w:rsidTr="00282FF2">
        <w:trPr>
          <w:gridBefore w:val="1"/>
          <w:gridAfter w:val="1"/>
          <w:wBefore w:w="15" w:type="dxa"/>
          <w:wAfter w:w="181" w:type="dxa"/>
          <w:trHeight w:val="635"/>
        </w:trPr>
        <w:tc>
          <w:tcPr>
            <w:tcW w:w="3320" w:type="dxa"/>
            <w:gridSpan w:val="2"/>
            <w:tcBorders>
              <w:top w:val="nil"/>
              <w:left w:val="nil"/>
              <w:bottom w:val="nil"/>
              <w:right w:val="nil"/>
            </w:tcBorders>
            <w:shd w:val="clear" w:color="auto" w:fill="auto"/>
            <w:vAlign w:val="bottom"/>
            <w:hideMark/>
          </w:tcPr>
          <w:p w14:paraId="0D80F07A"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Net recognized gains on</w:t>
            </w:r>
            <w:r w:rsidRPr="00D146BC">
              <w:rPr>
                <w:rFonts w:ascii="Segoe UI" w:eastAsia="Times New Roman" w:hAnsi="Segoe UI" w:cs="Segoe UI"/>
                <w:color w:val="666666"/>
                <w:sz w:val="20"/>
                <w:szCs w:val="20"/>
              </w:rPr>
              <w:br/>
              <w:t xml:space="preserve">      investments and derivatives</w:t>
            </w:r>
          </w:p>
        </w:tc>
        <w:tc>
          <w:tcPr>
            <w:tcW w:w="1120" w:type="dxa"/>
            <w:gridSpan w:val="2"/>
            <w:tcBorders>
              <w:top w:val="nil"/>
              <w:left w:val="nil"/>
              <w:bottom w:val="nil"/>
              <w:right w:val="nil"/>
            </w:tcBorders>
            <w:shd w:val="clear" w:color="auto" w:fill="auto"/>
            <w:noWrap/>
            <w:vAlign w:val="bottom"/>
            <w:hideMark/>
          </w:tcPr>
          <w:p w14:paraId="2696400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(439)</w:t>
            </w:r>
          </w:p>
        </w:tc>
        <w:tc>
          <w:tcPr>
            <w:tcW w:w="272" w:type="dxa"/>
            <w:tcBorders>
              <w:top w:val="nil"/>
              <w:left w:val="nil"/>
              <w:bottom w:val="nil"/>
              <w:right w:val="nil"/>
            </w:tcBorders>
            <w:shd w:val="clear" w:color="auto" w:fill="auto"/>
            <w:noWrap/>
            <w:vAlign w:val="bottom"/>
            <w:hideMark/>
          </w:tcPr>
          <w:p w14:paraId="6D231FD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78A3A8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(264)</w:t>
            </w:r>
          </w:p>
        </w:tc>
        <w:tc>
          <w:tcPr>
            <w:tcW w:w="272" w:type="dxa"/>
            <w:gridSpan w:val="2"/>
            <w:tcBorders>
              <w:top w:val="nil"/>
              <w:left w:val="nil"/>
              <w:bottom w:val="nil"/>
              <w:right w:val="nil"/>
            </w:tcBorders>
            <w:shd w:val="clear" w:color="auto" w:fill="auto"/>
            <w:noWrap/>
            <w:vAlign w:val="bottom"/>
            <w:hideMark/>
          </w:tcPr>
          <w:p w14:paraId="0CF40D6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09B329D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(223)</w:t>
            </w:r>
          </w:p>
        </w:tc>
        <w:tc>
          <w:tcPr>
            <w:tcW w:w="272" w:type="dxa"/>
            <w:gridSpan w:val="2"/>
            <w:tcBorders>
              <w:top w:val="nil"/>
              <w:left w:val="nil"/>
              <w:bottom w:val="nil"/>
              <w:right w:val="nil"/>
            </w:tcBorders>
            <w:shd w:val="clear" w:color="auto" w:fill="auto"/>
            <w:noWrap/>
            <w:vAlign w:val="bottom"/>
            <w:hideMark/>
          </w:tcPr>
          <w:p w14:paraId="39582B5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68472F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(443)</w:t>
            </w:r>
          </w:p>
        </w:tc>
      </w:tr>
      <w:tr w:rsidR="00702061" w:rsidRPr="00D146BC" w14:paraId="21565238"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565DE769"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Deferred income taxes</w:t>
            </w:r>
          </w:p>
        </w:tc>
        <w:tc>
          <w:tcPr>
            <w:tcW w:w="1120" w:type="dxa"/>
            <w:gridSpan w:val="2"/>
            <w:tcBorders>
              <w:top w:val="nil"/>
              <w:left w:val="nil"/>
              <w:bottom w:val="nil"/>
              <w:right w:val="nil"/>
            </w:tcBorders>
            <w:shd w:val="clear" w:color="auto" w:fill="auto"/>
            <w:noWrap/>
            <w:vAlign w:val="bottom"/>
            <w:hideMark/>
          </w:tcPr>
          <w:p w14:paraId="6B8382B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(625)</w:t>
            </w:r>
          </w:p>
        </w:tc>
        <w:tc>
          <w:tcPr>
            <w:tcW w:w="272" w:type="dxa"/>
            <w:tcBorders>
              <w:top w:val="nil"/>
              <w:left w:val="nil"/>
              <w:bottom w:val="nil"/>
              <w:right w:val="nil"/>
            </w:tcBorders>
            <w:shd w:val="clear" w:color="auto" w:fill="auto"/>
            <w:noWrap/>
            <w:vAlign w:val="bottom"/>
            <w:hideMark/>
          </w:tcPr>
          <w:p w14:paraId="2F3A323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66A6624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(644)</w:t>
            </w:r>
          </w:p>
        </w:tc>
        <w:tc>
          <w:tcPr>
            <w:tcW w:w="272" w:type="dxa"/>
            <w:gridSpan w:val="2"/>
            <w:tcBorders>
              <w:top w:val="nil"/>
              <w:left w:val="nil"/>
              <w:bottom w:val="nil"/>
              <w:right w:val="nil"/>
            </w:tcBorders>
            <w:shd w:val="clear" w:color="auto" w:fill="auto"/>
            <w:noWrap/>
            <w:vAlign w:val="bottom"/>
            <w:hideMark/>
          </w:tcPr>
          <w:p w14:paraId="1815B50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13CFC3D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(448)</w:t>
            </w:r>
          </w:p>
        </w:tc>
        <w:tc>
          <w:tcPr>
            <w:tcW w:w="272" w:type="dxa"/>
            <w:gridSpan w:val="2"/>
            <w:tcBorders>
              <w:top w:val="nil"/>
              <w:left w:val="nil"/>
              <w:bottom w:val="nil"/>
              <w:right w:val="nil"/>
            </w:tcBorders>
            <w:shd w:val="clear" w:color="auto" w:fill="auto"/>
            <w:noWrap/>
            <w:vAlign w:val="bottom"/>
            <w:hideMark/>
          </w:tcPr>
          <w:p w14:paraId="2497C15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6CE17BC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224 </w:t>
            </w:r>
          </w:p>
        </w:tc>
      </w:tr>
      <w:tr w:rsidR="00702061" w:rsidRPr="00D146BC" w14:paraId="662EF7B4"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079CE86B"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Deferral of unearned revenue</w:t>
            </w:r>
          </w:p>
        </w:tc>
        <w:tc>
          <w:tcPr>
            <w:tcW w:w="1120" w:type="dxa"/>
            <w:gridSpan w:val="2"/>
            <w:tcBorders>
              <w:top w:val="nil"/>
              <w:left w:val="nil"/>
              <w:bottom w:val="nil"/>
              <w:right w:val="nil"/>
            </w:tcBorders>
            <w:shd w:val="clear" w:color="auto" w:fill="auto"/>
            <w:noWrap/>
            <w:vAlign w:val="bottom"/>
            <w:hideMark/>
          </w:tcPr>
          <w:p w14:paraId="298CFB9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21,006 </w:t>
            </w:r>
          </w:p>
        </w:tc>
        <w:tc>
          <w:tcPr>
            <w:tcW w:w="272" w:type="dxa"/>
            <w:tcBorders>
              <w:top w:val="nil"/>
              <w:left w:val="nil"/>
              <w:bottom w:val="nil"/>
              <w:right w:val="nil"/>
            </w:tcBorders>
            <w:shd w:val="clear" w:color="auto" w:fill="auto"/>
            <w:noWrap/>
            <w:vAlign w:val="bottom"/>
            <w:hideMark/>
          </w:tcPr>
          <w:p w14:paraId="209C4B2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6FB468C"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16,687 </w:t>
            </w:r>
          </w:p>
        </w:tc>
        <w:tc>
          <w:tcPr>
            <w:tcW w:w="272" w:type="dxa"/>
            <w:gridSpan w:val="2"/>
            <w:tcBorders>
              <w:top w:val="nil"/>
              <w:left w:val="nil"/>
              <w:bottom w:val="nil"/>
              <w:right w:val="nil"/>
            </w:tcBorders>
            <w:shd w:val="clear" w:color="auto" w:fill="auto"/>
            <w:noWrap/>
            <w:vAlign w:val="bottom"/>
            <w:hideMark/>
          </w:tcPr>
          <w:p w14:paraId="10CE319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51523C2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57,072 </w:t>
            </w:r>
          </w:p>
        </w:tc>
        <w:tc>
          <w:tcPr>
            <w:tcW w:w="272" w:type="dxa"/>
            <w:gridSpan w:val="2"/>
            <w:tcBorders>
              <w:top w:val="nil"/>
              <w:left w:val="nil"/>
              <w:bottom w:val="nil"/>
              <w:right w:val="nil"/>
            </w:tcBorders>
            <w:shd w:val="clear" w:color="auto" w:fill="auto"/>
            <w:noWrap/>
            <w:vAlign w:val="bottom"/>
            <w:hideMark/>
          </w:tcPr>
          <w:p w14:paraId="5ADBC35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3BE1F2D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45,072 </w:t>
            </w:r>
          </w:p>
        </w:tc>
      </w:tr>
      <w:tr w:rsidR="00702061" w:rsidRPr="00D146BC" w14:paraId="2FEBC738" w14:textId="77777777" w:rsidTr="00282FF2">
        <w:trPr>
          <w:gridBefore w:val="1"/>
          <w:gridAfter w:val="1"/>
          <w:wBefore w:w="15" w:type="dxa"/>
          <w:wAfter w:w="181" w:type="dxa"/>
          <w:trHeight w:val="640"/>
        </w:trPr>
        <w:tc>
          <w:tcPr>
            <w:tcW w:w="3320" w:type="dxa"/>
            <w:gridSpan w:val="2"/>
            <w:tcBorders>
              <w:top w:val="nil"/>
              <w:left w:val="nil"/>
              <w:bottom w:val="nil"/>
              <w:right w:val="nil"/>
            </w:tcBorders>
            <w:shd w:val="clear" w:color="auto" w:fill="auto"/>
            <w:vAlign w:val="bottom"/>
            <w:hideMark/>
          </w:tcPr>
          <w:p w14:paraId="32E1920D"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Recognition of unearned</w:t>
            </w:r>
            <w:r w:rsidRPr="00D146BC">
              <w:rPr>
                <w:rFonts w:ascii="Segoe UI" w:eastAsia="Times New Roman" w:hAnsi="Segoe UI" w:cs="Segoe UI"/>
                <w:color w:val="666666"/>
                <w:sz w:val="20"/>
                <w:szCs w:val="20"/>
              </w:rPr>
              <w:br/>
              <w:t xml:space="preserve">      revenue</w:t>
            </w:r>
          </w:p>
        </w:tc>
        <w:tc>
          <w:tcPr>
            <w:tcW w:w="1120" w:type="dxa"/>
            <w:gridSpan w:val="2"/>
            <w:tcBorders>
              <w:top w:val="nil"/>
              <w:left w:val="nil"/>
              <w:bottom w:val="nil"/>
              <w:right w:val="nil"/>
            </w:tcBorders>
            <w:shd w:val="clear" w:color="auto" w:fill="auto"/>
            <w:noWrap/>
            <w:vAlign w:val="bottom"/>
            <w:hideMark/>
          </w:tcPr>
          <w:p w14:paraId="12ACD88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(13,004)</w:t>
            </w:r>
          </w:p>
        </w:tc>
        <w:tc>
          <w:tcPr>
            <w:tcW w:w="272" w:type="dxa"/>
            <w:tcBorders>
              <w:top w:val="nil"/>
              <w:left w:val="nil"/>
              <w:bottom w:val="nil"/>
              <w:right w:val="nil"/>
            </w:tcBorders>
            <w:shd w:val="clear" w:color="auto" w:fill="auto"/>
            <w:noWrap/>
            <w:vAlign w:val="bottom"/>
            <w:hideMark/>
          </w:tcPr>
          <w:p w14:paraId="0BFAE0A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3288151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(11,573)</w:t>
            </w:r>
          </w:p>
        </w:tc>
        <w:tc>
          <w:tcPr>
            <w:tcW w:w="272" w:type="dxa"/>
            <w:gridSpan w:val="2"/>
            <w:tcBorders>
              <w:top w:val="nil"/>
              <w:left w:val="nil"/>
              <w:bottom w:val="nil"/>
              <w:right w:val="nil"/>
            </w:tcBorders>
            <w:shd w:val="clear" w:color="auto" w:fill="auto"/>
            <w:noWrap/>
            <w:vAlign w:val="bottom"/>
            <w:hideMark/>
          </w:tcPr>
          <w:p w14:paraId="299E11B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301949D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(48,498)</w:t>
            </w:r>
          </w:p>
        </w:tc>
        <w:tc>
          <w:tcPr>
            <w:tcW w:w="272" w:type="dxa"/>
            <w:gridSpan w:val="2"/>
            <w:tcBorders>
              <w:top w:val="nil"/>
              <w:left w:val="nil"/>
              <w:bottom w:val="nil"/>
              <w:right w:val="nil"/>
            </w:tcBorders>
            <w:shd w:val="clear" w:color="auto" w:fill="auto"/>
            <w:noWrap/>
            <w:vAlign w:val="bottom"/>
            <w:hideMark/>
          </w:tcPr>
          <w:p w14:paraId="553323E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5F4805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(44,920)</w:t>
            </w:r>
          </w:p>
        </w:tc>
      </w:tr>
      <w:tr w:rsidR="00702061" w:rsidRPr="00D146BC" w14:paraId="72767462" w14:textId="77777777" w:rsidTr="00282FF2">
        <w:trPr>
          <w:gridBefore w:val="1"/>
          <w:gridAfter w:val="1"/>
          <w:wBefore w:w="15" w:type="dxa"/>
          <w:wAfter w:w="181" w:type="dxa"/>
          <w:trHeight w:val="640"/>
        </w:trPr>
        <w:tc>
          <w:tcPr>
            <w:tcW w:w="3320" w:type="dxa"/>
            <w:gridSpan w:val="2"/>
            <w:tcBorders>
              <w:top w:val="nil"/>
              <w:left w:val="nil"/>
              <w:bottom w:val="nil"/>
              <w:right w:val="nil"/>
            </w:tcBorders>
            <w:shd w:val="clear" w:color="auto" w:fill="auto"/>
            <w:vAlign w:val="bottom"/>
            <w:hideMark/>
          </w:tcPr>
          <w:p w14:paraId="03468BBC"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Changes in operating assets</w:t>
            </w:r>
            <w:r w:rsidRPr="00D146BC">
              <w:rPr>
                <w:rFonts w:ascii="Segoe UI" w:eastAsia="Times New Roman" w:hAnsi="Segoe UI" w:cs="Segoe UI"/>
                <w:color w:val="666666"/>
                <w:sz w:val="20"/>
                <w:szCs w:val="20"/>
              </w:rPr>
              <w:br/>
              <w:t xml:space="preserve">      and liabilities:</w:t>
            </w:r>
          </w:p>
        </w:tc>
        <w:tc>
          <w:tcPr>
            <w:tcW w:w="1120" w:type="dxa"/>
            <w:gridSpan w:val="2"/>
            <w:tcBorders>
              <w:top w:val="nil"/>
              <w:left w:val="nil"/>
              <w:bottom w:val="nil"/>
              <w:right w:val="nil"/>
            </w:tcBorders>
            <w:shd w:val="clear" w:color="auto" w:fill="auto"/>
            <w:noWrap/>
            <w:vAlign w:val="bottom"/>
            <w:hideMark/>
          </w:tcPr>
          <w:p w14:paraId="446B5D59" w14:textId="77777777" w:rsidR="00702061" w:rsidRPr="00D146BC" w:rsidRDefault="00702061" w:rsidP="00282FF2">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5E9060F"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379A5F6A"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384B49EA"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1240" w:type="dxa"/>
            <w:gridSpan w:val="2"/>
            <w:tcBorders>
              <w:top w:val="nil"/>
              <w:left w:val="nil"/>
              <w:bottom w:val="nil"/>
              <w:right w:val="nil"/>
            </w:tcBorders>
            <w:shd w:val="clear" w:color="auto" w:fill="auto"/>
            <w:noWrap/>
            <w:vAlign w:val="bottom"/>
            <w:hideMark/>
          </w:tcPr>
          <w:p w14:paraId="3B5F58C5"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53DD5156"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6C862CED" w14:textId="77777777" w:rsidR="00702061" w:rsidRPr="00D146BC" w:rsidRDefault="00702061" w:rsidP="00282FF2">
            <w:pPr>
              <w:spacing w:after="0" w:line="240" w:lineRule="auto"/>
              <w:rPr>
                <w:rFonts w:ascii="Times New Roman" w:eastAsia="Times New Roman" w:hAnsi="Times New Roman"/>
                <w:sz w:val="20"/>
                <w:szCs w:val="20"/>
              </w:rPr>
            </w:pPr>
          </w:p>
        </w:tc>
      </w:tr>
      <w:tr w:rsidR="00702061" w:rsidRPr="00D146BC" w14:paraId="707D0CFD"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455BD035"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Accounts receivable</w:t>
            </w:r>
          </w:p>
        </w:tc>
        <w:tc>
          <w:tcPr>
            <w:tcW w:w="1120" w:type="dxa"/>
            <w:gridSpan w:val="2"/>
            <w:tcBorders>
              <w:top w:val="nil"/>
              <w:left w:val="nil"/>
              <w:bottom w:val="nil"/>
              <w:right w:val="nil"/>
            </w:tcBorders>
            <w:shd w:val="clear" w:color="auto" w:fill="auto"/>
            <w:noWrap/>
            <w:vAlign w:val="bottom"/>
            <w:hideMark/>
          </w:tcPr>
          <w:p w14:paraId="6E4F5DC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(6,076)</w:t>
            </w:r>
          </w:p>
        </w:tc>
        <w:tc>
          <w:tcPr>
            <w:tcW w:w="272" w:type="dxa"/>
            <w:tcBorders>
              <w:top w:val="nil"/>
              <w:left w:val="nil"/>
              <w:bottom w:val="nil"/>
              <w:right w:val="nil"/>
            </w:tcBorders>
            <w:shd w:val="clear" w:color="auto" w:fill="auto"/>
            <w:noWrap/>
            <w:vAlign w:val="bottom"/>
            <w:hideMark/>
          </w:tcPr>
          <w:p w14:paraId="75CDF4B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932AEE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(5,448)</w:t>
            </w:r>
          </w:p>
        </w:tc>
        <w:tc>
          <w:tcPr>
            <w:tcW w:w="272" w:type="dxa"/>
            <w:gridSpan w:val="2"/>
            <w:tcBorders>
              <w:top w:val="nil"/>
              <w:left w:val="nil"/>
              <w:bottom w:val="nil"/>
              <w:right w:val="nil"/>
            </w:tcBorders>
            <w:shd w:val="clear" w:color="auto" w:fill="auto"/>
            <w:noWrap/>
            <w:vAlign w:val="bottom"/>
            <w:hideMark/>
          </w:tcPr>
          <w:p w14:paraId="286DCA3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16F2524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(530)</w:t>
            </w:r>
          </w:p>
        </w:tc>
        <w:tc>
          <w:tcPr>
            <w:tcW w:w="272" w:type="dxa"/>
            <w:gridSpan w:val="2"/>
            <w:tcBorders>
              <w:top w:val="nil"/>
              <w:left w:val="nil"/>
              <w:bottom w:val="nil"/>
              <w:right w:val="nil"/>
            </w:tcBorders>
            <w:shd w:val="clear" w:color="auto" w:fill="auto"/>
            <w:noWrap/>
            <w:vAlign w:val="bottom"/>
            <w:hideMark/>
          </w:tcPr>
          <w:p w14:paraId="694C3D0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CCDDBFC"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1,456 </w:t>
            </w:r>
          </w:p>
        </w:tc>
      </w:tr>
      <w:tr w:rsidR="00702061" w:rsidRPr="00D146BC" w14:paraId="4568CABE"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086839D4"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Inventories</w:t>
            </w:r>
          </w:p>
        </w:tc>
        <w:tc>
          <w:tcPr>
            <w:tcW w:w="1120" w:type="dxa"/>
            <w:gridSpan w:val="2"/>
            <w:tcBorders>
              <w:top w:val="nil"/>
              <w:left w:val="nil"/>
              <w:bottom w:val="nil"/>
              <w:right w:val="nil"/>
            </w:tcBorders>
            <w:shd w:val="clear" w:color="auto" w:fill="auto"/>
            <w:noWrap/>
            <w:vAlign w:val="bottom"/>
            <w:hideMark/>
          </w:tcPr>
          <w:p w14:paraId="217F2D7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192 </w:t>
            </w:r>
          </w:p>
        </w:tc>
        <w:tc>
          <w:tcPr>
            <w:tcW w:w="272" w:type="dxa"/>
            <w:tcBorders>
              <w:top w:val="nil"/>
              <w:left w:val="nil"/>
              <w:bottom w:val="nil"/>
              <w:right w:val="nil"/>
            </w:tcBorders>
            <w:shd w:val="clear" w:color="auto" w:fill="auto"/>
            <w:noWrap/>
            <w:vAlign w:val="bottom"/>
            <w:hideMark/>
          </w:tcPr>
          <w:p w14:paraId="27010C7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6E474ACD"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(429)</w:t>
            </w:r>
          </w:p>
        </w:tc>
        <w:tc>
          <w:tcPr>
            <w:tcW w:w="272" w:type="dxa"/>
            <w:gridSpan w:val="2"/>
            <w:tcBorders>
              <w:top w:val="nil"/>
              <w:left w:val="nil"/>
              <w:bottom w:val="nil"/>
              <w:right w:val="nil"/>
            </w:tcBorders>
            <w:shd w:val="clear" w:color="auto" w:fill="auto"/>
            <w:noWrap/>
            <w:vAlign w:val="bottom"/>
            <w:hideMark/>
          </w:tcPr>
          <w:p w14:paraId="400D8F1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6336249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600 </w:t>
            </w:r>
          </w:p>
        </w:tc>
        <w:tc>
          <w:tcPr>
            <w:tcW w:w="272" w:type="dxa"/>
            <w:gridSpan w:val="2"/>
            <w:tcBorders>
              <w:top w:val="nil"/>
              <w:left w:val="nil"/>
              <w:bottom w:val="nil"/>
              <w:right w:val="nil"/>
            </w:tcBorders>
            <w:shd w:val="clear" w:color="auto" w:fill="auto"/>
            <w:noWrap/>
            <w:vAlign w:val="bottom"/>
            <w:hideMark/>
          </w:tcPr>
          <w:p w14:paraId="2F259AA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50AAD98D"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(272)</w:t>
            </w:r>
          </w:p>
        </w:tc>
      </w:tr>
      <w:tr w:rsidR="00702061" w:rsidRPr="00D146BC" w14:paraId="451C8A84"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6036B0AA"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Other current assets</w:t>
            </w:r>
          </w:p>
        </w:tc>
        <w:tc>
          <w:tcPr>
            <w:tcW w:w="1120" w:type="dxa"/>
            <w:gridSpan w:val="2"/>
            <w:tcBorders>
              <w:top w:val="nil"/>
              <w:left w:val="nil"/>
              <w:bottom w:val="nil"/>
              <w:right w:val="nil"/>
            </w:tcBorders>
            <w:shd w:val="clear" w:color="auto" w:fill="auto"/>
            <w:noWrap/>
            <w:vAlign w:val="bottom"/>
            <w:hideMark/>
          </w:tcPr>
          <w:p w14:paraId="2D245B3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747 </w:t>
            </w:r>
          </w:p>
        </w:tc>
        <w:tc>
          <w:tcPr>
            <w:tcW w:w="272" w:type="dxa"/>
            <w:tcBorders>
              <w:top w:val="nil"/>
              <w:left w:val="nil"/>
              <w:bottom w:val="nil"/>
              <w:right w:val="nil"/>
            </w:tcBorders>
            <w:shd w:val="clear" w:color="auto" w:fill="auto"/>
            <w:noWrap/>
            <w:vAlign w:val="bottom"/>
            <w:hideMark/>
          </w:tcPr>
          <w:p w14:paraId="66CB8D8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A00E09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612 </w:t>
            </w:r>
          </w:p>
        </w:tc>
        <w:tc>
          <w:tcPr>
            <w:tcW w:w="272" w:type="dxa"/>
            <w:gridSpan w:val="2"/>
            <w:tcBorders>
              <w:top w:val="nil"/>
              <w:left w:val="nil"/>
              <w:bottom w:val="nil"/>
              <w:right w:val="nil"/>
            </w:tcBorders>
            <w:shd w:val="clear" w:color="auto" w:fill="auto"/>
            <w:noWrap/>
            <w:vAlign w:val="bottom"/>
            <w:hideMark/>
          </w:tcPr>
          <w:p w14:paraId="7EB3C575"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51AB0ED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(1,167)</w:t>
            </w:r>
          </w:p>
        </w:tc>
        <w:tc>
          <w:tcPr>
            <w:tcW w:w="272" w:type="dxa"/>
            <w:gridSpan w:val="2"/>
            <w:tcBorders>
              <w:top w:val="nil"/>
              <w:left w:val="nil"/>
              <w:bottom w:val="nil"/>
              <w:right w:val="nil"/>
            </w:tcBorders>
            <w:shd w:val="clear" w:color="auto" w:fill="auto"/>
            <w:noWrap/>
            <w:vAlign w:val="bottom"/>
            <w:hideMark/>
          </w:tcPr>
          <w:p w14:paraId="2A65395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855229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62 </w:t>
            </w:r>
          </w:p>
        </w:tc>
      </w:tr>
      <w:tr w:rsidR="00702061" w:rsidRPr="00D146BC" w14:paraId="25B5E117"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72FAC25E"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Other long-term assets</w:t>
            </w:r>
          </w:p>
        </w:tc>
        <w:tc>
          <w:tcPr>
            <w:tcW w:w="1120" w:type="dxa"/>
            <w:gridSpan w:val="2"/>
            <w:tcBorders>
              <w:top w:val="nil"/>
              <w:left w:val="nil"/>
              <w:bottom w:val="nil"/>
              <w:right w:val="nil"/>
            </w:tcBorders>
            <w:shd w:val="clear" w:color="auto" w:fill="auto"/>
            <w:noWrap/>
            <w:vAlign w:val="bottom"/>
            <w:hideMark/>
          </w:tcPr>
          <w:p w14:paraId="18FF76E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(99)</w:t>
            </w:r>
          </w:p>
        </w:tc>
        <w:tc>
          <w:tcPr>
            <w:tcW w:w="272" w:type="dxa"/>
            <w:tcBorders>
              <w:top w:val="nil"/>
              <w:left w:val="nil"/>
              <w:bottom w:val="nil"/>
              <w:right w:val="nil"/>
            </w:tcBorders>
            <w:shd w:val="clear" w:color="auto" w:fill="auto"/>
            <w:noWrap/>
            <w:vAlign w:val="bottom"/>
            <w:hideMark/>
          </w:tcPr>
          <w:p w14:paraId="1B804A6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3B3929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5 </w:t>
            </w:r>
          </w:p>
        </w:tc>
        <w:tc>
          <w:tcPr>
            <w:tcW w:w="272" w:type="dxa"/>
            <w:gridSpan w:val="2"/>
            <w:tcBorders>
              <w:top w:val="nil"/>
              <w:left w:val="nil"/>
              <w:bottom w:val="nil"/>
              <w:right w:val="nil"/>
            </w:tcBorders>
            <w:shd w:val="clear" w:color="auto" w:fill="auto"/>
            <w:noWrap/>
            <w:vAlign w:val="bottom"/>
            <w:hideMark/>
          </w:tcPr>
          <w:p w14:paraId="3B0B424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39FBA4E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(41)</w:t>
            </w:r>
          </w:p>
        </w:tc>
        <w:tc>
          <w:tcPr>
            <w:tcW w:w="272" w:type="dxa"/>
            <w:gridSpan w:val="2"/>
            <w:tcBorders>
              <w:top w:val="nil"/>
              <w:left w:val="nil"/>
              <w:bottom w:val="nil"/>
              <w:right w:val="nil"/>
            </w:tcBorders>
            <w:shd w:val="clear" w:color="auto" w:fill="auto"/>
            <w:noWrap/>
            <w:vAlign w:val="bottom"/>
            <w:hideMark/>
          </w:tcPr>
          <w:p w14:paraId="05F2AB8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49AA4F6D"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346 </w:t>
            </w:r>
          </w:p>
        </w:tc>
      </w:tr>
      <w:tr w:rsidR="00702061" w:rsidRPr="00D146BC" w14:paraId="0FBC04E2"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4D88F6B0"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Accounts payable</w:t>
            </w:r>
          </w:p>
        </w:tc>
        <w:tc>
          <w:tcPr>
            <w:tcW w:w="1120" w:type="dxa"/>
            <w:gridSpan w:val="2"/>
            <w:tcBorders>
              <w:top w:val="nil"/>
              <w:left w:val="nil"/>
              <w:bottom w:val="nil"/>
              <w:right w:val="nil"/>
            </w:tcBorders>
            <w:shd w:val="clear" w:color="auto" w:fill="auto"/>
            <w:noWrap/>
            <w:vAlign w:val="bottom"/>
            <w:hideMark/>
          </w:tcPr>
          <w:p w14:paraId="1A6C94C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(17)</w:t>
            </w:r>
          </w:p>
        </w:tc>
        <w:tc>
          <w:tcPr>
            <w:tcW w:w="272" w:type="dxa"/>
            <w:tcBorders>
              <w:top w:val="nil"/>
              <w:left w:val="nil"/>
              <w:bottom w:val="nil"/>
              <w:right w:val="nil"/>
            </w:tcBorders>
            <w:shd w:val="clear" w:color="auto" w:fill="auto"/>
            <w:noWrap/>
            <w:vAlign w:val="bottom"/>
            <w:hideMark/>
          </w:tcPr>
          <w:p w14:paraId="5294842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69E177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(142)</w:t>
            </w:r>
          </w:p>
        </w:tc>
        <w:tc>
          <w:tcPr>
            <w:tcW w:w="272" w:type="dxa"/>
            <w:gridSpan w:val="2"/>
            <w:tcBorders>
              <w:top w:val="nil"/>
              <w:left w:val="nil"/>
              <w:bottom w:val="nil"/>
              <w:right w:val="nil"/>
            </w:tcBorders>
            <w:shd w:val="clear" w:color="auto" w:fill="auto"/>
            <w:noWrap/>
            <w:vAlign w:val="bottom"/>
            <w:hideMark/>
          </w:tcPr>
          <w:p w14:paraId="19F8226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5F4BA26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88 </w:t>
            </w:r>
          </w:p>
        </w:tc>
        <w:tc>
          <w:tcPr>
            <w:tcW w:w="272" w:type="dxa"/>
            <w:gridSpan w:val="2"/>
            <w:tcBorders>
              <w:top w:val="nil"/>
              <w:left w:val="nil"/>
              <w:bottom w:val="nil"/>
              <w:right w:val="nil"/>
            </w:tcBorders>
            <w:shd w:val="clear" w:color="auto" w:fill="auto"/>
            <w:noWrap/>
            <w:vAlign w:val="bottom"/>
            <w:hideMark/>
          </w:tcPr>
          <w:p w14:paraId="73A227F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EE4848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(1,054)</w:t>
            </w:r>
          </w:p>
        </w:tc>
      </w:tr>
      <w:tr w:rsidR="00702061" w:rsidRPr="00D146BC" w14:paraId="6A9A415A"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3B141889"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Other current liabilities</w:t>
            </w:r>
          </w:p>
        </w:tc>
        <w:tc>
          <w:tcPr>
            <w:tcW w:w="1120" w:type="dxa"/>
            <w:gridSpan w:val="2"/>
            <w:tcBorders>
              <w:top w:val="nil"/>
              <w:left w:val="nil"/>
              <w:bottom w:val="nil"/>
              <w:right w:val="nil"/>
            </w:tcBorders>
            <w:shd w:val="clear" w:color="auto" w:fill="auto"/>
            <w:noWrap/>
            <w:vAlign w:val="bottom"/>
            <w:hideMark/>
          </w:tcPr>
          <w:p w14:paraId="0CFE0FB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1,033 </w:t>
            </w:r>
          </w:p>
        </w:tc>
        <w:tc>
          <w:tcPr>
            <w:tcW w:w="272" w:type="dxa"/>
            <w:tcBorders>
              <w:top w:val="nil"/>
              <w:left w:val="nil"/>
              <w:bottom w:val="nil"/>
              <w:right w:val="nil"/>
            </w:tcBorders>
            <w:shd w:val="clear" w:color="auto" w:fill="auto"/>
            <w:noWrap/>
            <w:vAlign w:val="bottom"/>
            <w:hideMark/>
          </w:tcPr>
          <w:p w14:paraId="09ADD86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6D543AC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1,328 </w:t>
            </w:r>
          </w:p>
        </w:tc>
        <w:tc>
          <w:tcPr>
            <w:tcW w:w="272" w:type="dxa"/>
            <w:gridSpan w:val="2"/>
            <w:tcBorders>
              <w:top w:val="nil"/>
              <w:left w:val="nil"/>
              <w:bottom w:val="nil"/>
              <w:right w:val="nil"/>
            </w:tcBorders>
            <w:shd w:val="clear" w:color="auto" w:fill="auto"/>
            <w:noWrap/>
            <w:vAlign w:val="bottom"/>
            <w:hideMark/>
          </w:tcPr>
          <w:p w14:paraId="536040E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2EA5EE5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(260)</w:t>
            </w:r>
          </w:p>
        </w:tc>
        <w:tc>
          <w:tcPr>
            <w:tcW w:w="272" w:type="dxa"/>
            <w:gridSpan w:val="2"/>
            <w:tcBorders>
              <w:top w:val="nil"/>
              <w:left w:val="nil"/>
              <w:bottom w:val="nil"/>
              <w:right w:val="nil"/>
            </w:tcBorders>
            <w:shd w:val="clear" w:color="auto" w:fill="auto"/>
            <w:noWrap/>
            <w:vAlign w:val="bottom"/>
            <w:hideMark/>
          </w:tcPr>
          <w:p w14:paraId="2EB5BAC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CCB341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(624)</w:t>
            </w:r>
          </w:p>
        </w:tc>
      </w:tr>
      <w:tr w:rsidR="00702061" w:rsidRPr="00D146BC" w14:paraId="7F67853A" w14:textId="77777777" w:rsidTr="00282FF2">
        <w:trPr>
          <w:gridBefore w:val="1"/>
          <w:gridAfter w:val="1"/>
          <w:wBefore w:w="15" w:type="dxa"/>
          <w:wAfter w:w="181" w:type="dxa"/>
          <w:trHeight w:val="320"/>
        </w:trPr>
        <w:tc>
          <w:tcPr>
            <w:tcW w:w="3320" w:type="dxa"/>
            <w:gridSpan w:val="2"/>
            <w:tcBorders>
              <w:top w:val="nil"/>
              <w:left w:val="nil"/>
              <w:bottom w:val="single" w:sz="4" w:space="0" w:color="auto"/>
              <w:right w:val="nil"/>
            </w:tcBorders>
            <w:shd w:val="clear" w:color="auto" w:fill="auto"/>
            <w:noWrap/>
            <w:vAlign w:val="bottom"/>
            <w:hideMark/>
          </w:tcPr>
          <w:p w14:paraId="3ACA0239"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Other long-term liabilities</w:t>
            </w:r>
          </w:p>
        </w:tc>
        <w:tc>
          <w:tcPr>
            <w:tcW w:w="1120" w:type="dxa"/>
            <w:gridSpan w:val="2"/>
            <w:tcBorders>
              <w:top w:val="nil"/>
              <w:left w:val="nil"/>
              <w:bottom w:val="single" w:sz="4" w:space="0" w:color="auto"/>
              <w:right w:val="nil"/>
            </w:tcBorders>
            <w:shd w:val="clear" w:color="auto" w:fill="auto"/>
            <w:noWrap/>
            <w:vAlign w:val="bottom"/>
            <w:hideMark/>
          </w:tcPr>
          <w:p w14:paraId="72C4071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(580)</w:t>
            </w:r>
          </w:p>
        </w:tc>
        <w:tc>
          <w:tcPr>
            <w:tcW w:w="272" w:type="dxa"/>
            <w:tcBorders>
              <w:top w:val="nil"/>
              <w:left w:val="nil"/>
              <w:bottom w:val="nil"/>
              <w:right w:val="nil"/>
            </w:tcBorders>
            <w:shd w:val="clear" w:color="auto" w:fill="auto"/>
            <w:noWrap/>
            <w:vAlign w:val="bottom"/>
            <w:hideMark/>
          </w:tcPr>
          <w:p w14:paraId="6550FB0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6EBA6D1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267 </w:t>
            </w:r>
          </w:p>
        </w:tc>
        <w:tc>
          <w:tcPr>
            <w:tcW w:w="272" w:type="dxa"/>
            <w:gridSpan w:val="2"/>
            <w:tcBorders>
              <w:top w:val="nil"/>
              <w:left w:val="nil"/>
              <w:bottom w:val="nil"/>
              <w:right w:val="nil"/>
            </w:tcBorders>
            <w:shd w:val="clear" w:color="auto" w:fill="auto"/>
            <w:noWrap/>
            <w:vAlign w:val="bottom"/>
            <w:hideMark/>
          </w:tcPr>
          <w:p w14:paraId="00F804B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single" w:sz="4" w:space="0" w:color="auto"/>
              <w:right w:val="nil"/>
            </w:tcBorders>
            <w:shd w:val="clear" w:color="auto" w:fill="auto"/>
            <w:noWrap/>
            <w:vAlign w:val="bottom"/>
            <w:hideMark/>
          </w:tcPr>
          <w:p w14:paraId="45DAAA6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14 </w:t>
            </w:r>
          </w:p>
        </w:tc>
        <w:tc>
          <w:tcPr>
            <w:tcW w:w="272" w:type="dxa"/>
            <w:gridSpan w:val="2"/>
            <w:tcBorders>
              <w:top w:val="nil"/>
              <w:left w:val="nil"/>
              <w:bottom w:val="nil"/>
              <w:right w:val="nil"/>
            </w:tcBorders>
            <w:shd w:val="clear" w:color="auto" w:fill="auto"/>
            <w:noWrap/>
            <w:vAlign w:val="bottom"/>
            <w:hideMark/>
          </w:tcPr>
          <w:p w14:paraId="70C78F1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32C9B66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1,599 </w:t>
            </w:r>
          </w:p>
        </w:tc>
      </w:tr>
      <w:tr w:rsidR="00702061" w:rsidRPr="00D146BC" w14:paraId="00709F49" w14:textId="77777777" w:rsidTr="00282FF2">
        <w:trPr>
          <w:gridBefore w:val="1"/>
          <w:gridAfter w:val="1"/>
          <w:wBefore w:w="15" w:type="dxa"/>
          <w:wAfter w:w="181" w:type="dxa"/>
          <w:trHeight w:val="320"/>
        </w:trPr>
        <w:tc>
          <w:tcPr>
            <w:tcW w:w="3320" w:type="dxa"/>
            <w:gridSpan w:val="2"/>
            <w:tcBorders>
              <w:top w:val="nil"/>
              <w:left w:val="nil"/>
              <w:bottom w:val="single" w:sz="4" w:space="0" w:color="auto"/>
              <w:right w:val="nil"/>
            </w:tcBorders>
            <w:shd w:val="clear" w:color="auto" w:fill="auto"/>
            <w:vAlign w:val="bottom"/>
            <w:hideMark/>
          </w:tcPr>
          <w:p w14:paraId="416EECEB"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Net cash from operations</w:t>
            </w:r>
          </w:p>
        </w:tc>
        <w:tc>
          <w:tcPr>
            <w:tcW w:w="1120" w:type="dxa"/>
            <w:gridSpan w:val="2"/>
            <w:tcBorders>
              <w:top w:val="nil"/>
              <w:left w:val="nil"/>
              <w:bottom w:val="single" w:sz="4" w:space="0" w:color="auto"/>
              <w:right w:val="nil"/>
            </w:tcBorders>
            <w:shd w:val="clear" w:color="auto" w:fill="auto"/>
            <w:noWrap/>
            <w:vAlign w:val="bottom"/>
            <w:hideMark/>
          </w:tcPr>
          <w:p w14:paraId="5783CE1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8,464 </w:t>
            </w:r>
          </w:p>
        </w:tc>
        <w:tc>
          <w:tcPr>
            <w:tcW w:w="272" w:type="dxa"/>
            <w:tcBorders>
              <w:top w:val="nil"/>
              <w:left w:val="nil"/>
              <w:bottom w:val="nil"/>
              <w:right w:val="nil"/>
            </w:tcBorders>
            <w:shd w:val="clear" w:color="auto" w:fill="auto"/>
            <w:noWrap/>
            <w:vAlign w:val="bottom"/>
            <w:hideMark/>
          </w:tcPr>
          <w:p w14:paraId="7686E0B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2F6880F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6,849 </w:t>
            </w:r>
          </w:p>
        </w:tc>
        <w:tc>
          <w:tcPr>
            <w:tcW w:w="272" w:type="dxa"/>
            <w:gridSpan w:val="2"/>
            <w:tcBorders>
              <w:top w:val="nil"/>
              <w:left w:val="nil"/>
              <w:bottom w:val="nil"/>
              <w:right w:val="nil"/>
            </w:tcBorders>
            <w:shd w:val="clear" w:color="auto" w:fill="auto"/>
            <w:noWrap/>
            <w:vAlign w:val="bottom"/>
            <w:hideMark/>
          </w:tcPr>
          <w:p w14:paraId="5728302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single" w:sz="4" w:space="0" w:color="auto"/>
              <w:right w:val="nil"/>
            </w:tcBorders>
            <w:shd w:val="clear" w:color="auto" w:fill="auto"/>
            <w:noWrap/>
            <w:vAlign w:val="bottom"/>
            <w:hideMark/>
          </w:tcPr>
          <w:p w14:paraId="3BCC8A1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33,325 </w:t>
            </w:r>
          </w:p>
        </w:tc>
        <w:tc>
          <w:tcPr>
            <w:tcW w:w="272" w:type="dxa"/>
            <w:gridSpan w:val="2"/>
            <w:tcBorders>
              <w:top w:val="nil"/>
              <w:left w:val="nil"/>
              <w:bottom w:val="nil"/>
              <w:right w:val="nil"/>
            </w:tcBorders>
            <w:shd w:val="clear" w:color="auto" w:fill="auto"/>
            <w:noWrap/>
            <w:vAlign w:val="bottom"/>
            <w:hideMark/>
          </w:tcPr>
          <w:p w14:paraId="30DA24C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3BC1449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29,668 </w:t>
            </w:r>
          </w:p>
        </w:tc>
      </w:tr>
      <w:tr w:rsidR="00702061" w:rsidRPr="00D146BC" w14:paraId="2E7B6399"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7B9B6BDD" w14:textId="77777777" w:rsidR="00702061" w:rsidRPr="00D146BC" w:rsidRDefault="00702061" w:rsidP="00282FF2">
            <w:pPr>
              <w:spacing w:after="0" w:line="240" w:lineRule="auto"/>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Financing</w:t>
            </w:r>
          </w:p>
        </w:tc>
        <w:tc>
          <w:tcPr>
            <w:tcW w:w="1120" w:type="dxa"/>
            <w:gridSpan w:val="2"/>
            <w:tcBorders>
              <w:top w:val="nil"/>
              <w:left w:val="nil"/>
              <w:bottom w:val="nil"/>
              <w:right w:val="nil"/>
            </w:tcBorders>
            <w:shd w:val="clear" w:color="auto" w:fill="auto"/>
            <w:noWrap/>
            <w:vAlign w:val="bottom"/>
            <w:hideMark/>
          </w:tcPr>
          <w:p w14:paraId="1485EDE8"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1049C98"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58F85FB7"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4B7CC9EB"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1240" w:type="dxa"/>
            <w:gridSpan w:val="2"/>
            <w:tcBorders>
              <w:top w:val="nil"/>
              <w:left w:val="nil"/>
              <w:bottom w:val="nil"/>
              <w:right w:val="nil"/>
            </w:tcBorders>
            <w:shd w:val="clear" w:color="auto" w:fill="auto"/>
            <w:noWrap/>
            <w:vAlign w:val="bottom"/>
            <w:hideMark/>
          </w:tcPr>
          <w:p w14:paraId="0D5B1F6E"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gridSpan w:val="2"/>
            <w:tcBorders>
              <w:top w:val="nil"/>
              <w:left w:val="nil"/>
              <w:bottom w:val="nil"/>
              <w:right w:val="nil"/>
            </w:tcBorders>
            <w:shd w:val="clear" w:color="auto" w:fill="auto"/>
            <w:noWrap/>
            <w:vAlign w:val="bottom"/>
            <w:hideMark/>
          </w:tcPr>
          <w:p w14:paraId="7BD17761"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gridSpan w:val="2"/>
            <w:tcBorders>
              <w:top w:val="nil"/>
              <w:left w:val="nil"/>
              <w:bottom w:val="nil"/>
              <w:right w:val="nil"/>
            </w:tcBorders>
            <w:shd w:val="clear" w:color="auto" w:fill="auto"/>
            <w:noWrap/>
            <w:vAlign w:val="bottom"/>
            <w:hideMark/>
          </w:tcPr>
          <w:p w14:paraId="2DDDBBD3" w14:textId="77777777" w:rsidR="00702061" w:rsidRPr="00D146BC" w:rsidRDefault="00702061" w:rsidP="00282FF2">
            <w:pPr>
              <w:spacing w:after="0" w:line="240" w:lineRule="auto"/>
              <w:rPr>
                <w:rFonts w:ascii="Times New Roman" w:eastAsia="Times New Roman" w:hAnsi="Times New Roman"/>
                <w:sz w:val="20"/>
                <w:szCs w:val="20"/>
              </w:rPr>
            </w:pPr>
          </w:p>
        </w:tc>
      </w:tr>
      <w:tr w:rsidR="00702061" w:rsidRPr="00D146BC" w14:paraId="7C17248D" w14:textId="77777777" w:rsidTr="00282FF2">
        <w:trPr>
          <w:gridBefore w:val="1"/>
          <w:gridAfter w:val="1"/>
          <w:wBefore w:w="15" w:type="dxa"/>
          <w:wAfter w:w="181" w:type="dxa"/>
          <w:trHeight w:val="935"/>
        </w:trPr>
        <w:tc>
          <w:tcPr>
            <w:tcW w:w="3320" w:type="dxa"/>
            <w:gridSpan w:val="2"/>
            <w:tcBorders>
              <w:top w:val="nil"/>
              <w:left w:val="nil"/>
              <w:bottom w:val="nil"/>
              <w:right w:val="nil"/>
            </w:tcBorders>
            <w:shd w:val="clear" w:color="auto" w:fill="auto"/>
            <w:vAlign w:val="bottom"/>
            <w:hideMark/>
          </w:tcPr>
          <w:p w14:paraId="4EA8A52B"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Proceeds from issuance of</w:t>
            </w:r>
            <w:r w:rsidRPr="00D146BC">
              <w:rPr>
                <w:rFonts w:ascii="Segoe UI" w:eastAsia="Times New Roman" w:hAnsi="Segoe UI" w:cs="Segoe UI"/>
                <w:color w:val="666666"/>
                <w:sz w:val="20"/>
                <w:szCs w:val="20"/>
              </w:rPr>
              <w:br/>
              <w:t xml:space="preserve">   short-term debt, maturities of</w:t>
            </w:r>
            <w:r w:rsidRPr="00D146BC">
              <w:rPr>
                <w:rFonts w:ascii="Segoe UI" w:eastAsia="Times New Roman" w:hAnsi="Segoe UI" w:cs="Segoe UI"/>
                <w:color w:val="666666"/>
                <w:sz w:val="20"/>
                <w:szCs w:val="20"/>
              </w:rPr>
              <w:br/>
              <w:t xml:space="preserve">   90 days or less, net</w:t>
            </w:r>
          </w:p>
        </w:tc>
        <w:tc>
          <w:tcPr>
            <w:tcW w:w="1120" w:type="dxa"/>
            <w:gridSpan w:val="2"/>
            <w:tcBorders>
              <w:top w:val="nil"/>
              <w:left w:val="nil"/>
              <w:bottom w:val="nil"/>
              <w:right w:val="nil"/>
            </w:tcBorders>
            <w:shd w:val="clear" w:color="auto" w:fill="auto"/>
            <w:noWrap/>
            <w:vAlign w:val="bottom"/>
            <w:hideMark/>
          </w:tcPr>
          <w:p w14:paraId="36D5527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6,714 </w:t>
            </w:r>
          </w:p>
        </w:tc>
        <w:tc>
          <w:tcPr>
            <w:tcW w:w="272" w:type="dxa"/>
            <w:tcBorders>
              <w:top w:val="nil"/>
              <w:left w:val="nil"/>
              <w:bottom w:val="nil"/>
              <w:right w:val="nil"/>
            </w:tcBorders>
            <w:shd w:val="clear" w:color="auto" w:fill="auto"/>
            <w:noWrap/>
            <w:vAlign w:val="bottom"/>
            <w:hideMark/>
          </w:tcPr>
          <w:p w14:paraId="30CA668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5FCBBF6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3,259 </w:t>
            </w:r>
          </w:p>
        </w:tc>
        <w:tc>
          <w:tcPr>
            <w:tcW w:w="272" w:type="dxa"/>
            <w:gridSpan w:val="2"/>
            <w:tcBorders>
              <w:top w:val="nil"/>
              <w:left w:val="nil"/>
              <w:bottom w:val="nil"/>
              <w:right w:val="nil"/>
            </w:tcBorders>
            <w:shd w:val="clear" w:color="auto" w:fill="auto"/>
            <w:noWrap/>
            <w:vAlign w:val="bottom"/>
            <w:hideMark/>
          </w:tcPr>
          <w:p w14:paraId="2679B585"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26357B8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7,195 </w:t>
            </w:r>
          </w:p>
        </w:tc>
        <w:tc>
          <w:tcPr>
            <w:tcW w:w="272" w:type="dxa"/>
            <w:gridSpan w:val="2"/>
            <w:tcBorders>
              <w:top w:val="nil"/>
              <w:left w:val="nil"/>
              <w:bottom w:val="nil"/>
              <w:right w:val="nil"/>
            </w:tcBorders>
            <w:shd w:val="clear" w:color="auto" w:fill="auto"/>
            <w:noWrap/>
            <w:vAlign w:val="bottom"/>
            <w:hideMark/>
          </w:tcPr>
          <w:p w14:paraId="6CD06CB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12E87D2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4,481 </w:t>
            </w:r>
          </w:p>
        </w:tc>
      </w:tr>
      <w:tr w:rsidR="00702061" w:rsidRPr="00D146BC" w14:paraId="427EC35A"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1EE22312"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Proceeds from issuance of debt</w:t>
            </w:r>
          </w:p>
        </w:tc>
        <w:tc>
          <w:tcPr>
            <w:tcW w:w="1120" w:type="dxa"/>
            <w:gridSpan w:val="2"/>
            <w:tcBorders>
              <w:top w:val="nil"/>
              <w:left w:val="nil"/>
              <w:bottom w:val="nil"/>
              <w:right w:val="nil"/>
            </w:tcBorders>
            <w:shd w:val="clear" w:color="auto" w:fill="auto"/>
            <w:noWrap/>
            <w:vAlign w:val="bottom"/>
            <w:hideMark/>
          </w:tcPr>
          <w:p w14:paraId="6468281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610 </w:t>
            </w:r>
          </w:p>
        </w:tc>
        <w:tc>
          <w:tcPr>
            <w:tcW w:w="272" w:type="dxa"/>
            <w:tcBorders>
              <w:top w:val="nil"/>
              <w:left w:val="nil"/>
              <w:bottom w:val="nil"/>
              <w:right w:val="nil"/>
            </w:tcBorders>
            <w:shd w:val="clear" w:color="auto" w:fill="auto"/>
            <w:noWrap/>
            <w:vAlign w:val="bottom"/>
            <w:hideMark/>
          </w:tcPr>
          <w:p w14:paraId="0AD760F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3B080D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0 </w:t>
            </w:r>
          </w:p>
        </w:tc>
        <w:tc>
          <w:tcPr>
            <w:tcW w:w="272" w:type="dxa"/>
            <w:gridSpan w:val="2"/>
            <w:tcBorders>
              <w:top w:val="nil"/>
              <w:left w:val="nil"/>
              <w:bottom w:val="nil"/>
              <w:right w:val="nil"/>
            </w:tcBorders>
            <w:shd w:val="clear" w:color="auto" w:fill="auto"/>
            <w:noWrap/>
            <w:vAlign w:val="bottom"/>
            <w:hideMark/>
          </w:tcPr>
          <w:p w14:paraId="254B4AB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547D1D9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13,884 </w:t>
            </w:r>
          </w:p>
        </w:tc>
        <w:tc>
          <w:tcPr>
            <w:tcW w:w="272" w:type="dxa"/>
            <w:gridSpan w:val="2"/>
            <w:tcBorders>
              <w:top w:val="nil"/>
              <w:left w:val="nil"/>
              <w:bottom w:val="nil"/>
              <w:right w:val="nil"/>
            </w:tcBorders>
            <w:shd w:val="clear" w:color="auto" w:fill="auto"/>
            <w:noWrap/>
            <w:vAlign w:val="bottom"/>
            <w:hideMark/>
          </w:tcPr>
          <w:p w14:paraId="5EE46FD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CA4347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10,680 </w:t>
            </w:r>
          </w:p>
        </w:tc>
      </w:tr>
      <w:tr w:rsidR="00702061" w:rsidRPr="00D146BC" w14:paraId="2BC27B1C"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vAlign w:val="bottom"/>
            <w:hideMark/>
          </w:tcPr>
          <w:p w14:paraId="14193E06"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Repayments of debt</w:t>
            </w:r>
          </w:p>
        </w:tc>
        <w:tc>
          <w:tcPr>
            <w:tcW w:w="1120" w:type="dxa"/>
            <w:gridSpan w:val="2"/>
            <w:tcBorders>
              <w:top w:val="nil"/>
              <w:left w:val="nil"/>
              <w:bottom w:val="nil"/>
              <w:right w:val="nil"/>
            </w:tcBorders>
            <w:shd w:val="clear" w:color="auto" w:fill="auto"/>
            <w:noWrap/>
            <w:vAlign w:val="bottom"/>
            <w:hideMark/>
          </w:tcPr>
          <w:p w14:paraId="276D15F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(25)</w:t>
            </w:r>
          </w:p>
        </w:tc>
        <w:tc>
          <w:tcPr>
            <w:tcW w:w="272" w:type="dxa"/>
            <w:tcBorders>
              <w:top w:val="nil"/>
              <w:left w:val="nil"/>
              <w:bottom w:val="nil"/>
              <w:right w:val="nil"/>
            </w:tcBorders>
            <w:shd w:val="clear" w:color="auto" w:fill="auto"/>
            <w:noWrap/>
            <w:vAlign w:val="bottom"/>
            <w:hideMark/>
          </w:tcPr>
          <w:p w14:paraId="1EF1726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FBE13E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0 </w:t>
            </w:r>
          </w:p>
        </w:tc>
        <w:tc>
          <w:tcPr>
            <w:tcW w:w="272" w:type="dxa"/>
            <w:gridSpan w:val="2"/>
            <w:tcBorders>
              <w:top w:val="nil"/>
              <w:left w:val="nil"/>
              <w:bottom w:val="nil"/>
              <w:right w:val="nil"/>
            </w:tcBorders>
            <w:shd w:val="clear" w:color="auto" w:fill="auto"/>
            <w:noWrap/>
            <w:vAlign w:val="bottom"/>
            <w:hideMark/>
          </w:tcPr>
          <w:p w14:paraId="2A0DAFB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6A1B384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(2,796)</w:t>
            </w:r>
          </w:p>
        </w:tc>
        <w:tc>
          <w:tcPr>
            <w:tcW w:w="272" w:type="dxa"/>
            <w:gridSpan w:val="2"/>
            <w:tcBorders>
              <w:top w:val="nil"/>
              <w:left w:val="nil"/>
              <w:bottom w:val="nil"/>
              <w:right w:val="nil"/>
            </w:tcBorders>
            <w:shd w:val="clear" w:color="auto" w:fill="auto"/>
            <w:noWrap/>
            <w:vAlign w:val="bottom"/>
            <w:hideMark/>
          </w:tcPr>
          <w:p w14:paraId="3149EC9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7C06CBB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(1,500)</w:t>
            </w:r>
          </w:p>
        </w:tc>
      </w:tr>
      <w:tr w:rsidR="00702061" w:rsidRPr="00D146BC" w14:paraId="031A1EDD"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5EF9A13C"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Common stock issued</w:t>
            </w:r>
          </w:p>
        </w:tc>
        <w:tc>
          <w:tcPr>
            <w:tcW w:w="1120" w:type="dxa"/>
            <w:gridSpan w:val="2"/>
            <w:tcBorders>
              <w:top w:val="nil"/>
              <w:left w:val="nil"/>
              <w:bottom w:val="nil"/>
              <w:right w:val="nil"/>
            </w:tcBorders>
            <w:shd w:val="clear" w:color="auto" w:fill="auto"/>
            <w:noWrap/>
            <w:vAlign w:val="bottom"/>
            <w:hideMark/>
          </w:tcPr>
          <w:p w14:paraId="29AB604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173 </w:t>
            </w:r>
          </w:p>
        </w:tc>
        <w:tc>
          <w:tcPr>
            <w:tcW w:w="272" w:type="dxa"/>
            <w:tcBorders>
              <w:top w:val="nil"/>
              <w:left w:val="nil"/>
              <w:bottom w:val="nil"/>
              <w:right w:val="nil"/>
            </w:tcBorders>
            <w:shd w:val="clear" w:color="auto" w:fill="auto"/>
            <w:noWrap/>
            <w:vAlign w:val="bottom"/>
            <w:hideMark/>
          </w:tcPr>
          <w:p w14:paraId="2E984ED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41574E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151 </w:t>
            </w:r>
          </w:p>
        </w:tc>
        <w:tc>
          <w:tcPr>
            <w:tcW w:w="272" w:type="dxa"/>
            <w:gridSpan w:val="2"/>
            <w:tcBorders>
              <w:top w:val="nil"/>
              <w:left w:val="nil"/>
              <w:bottom w:val="nil"/>
              <w:right w:val="nil"/>
            </w:tcBorders>
            <w:shd w:val="clear" w:color="auto" w:fill="auto"/>
            <w:noWrap/>
            <w:vAlign w:val="bottom"/>
            <w:hideMark/>
          </w:tcPr>
          <w:p w14:paraId="6632CA3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458462F7"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668 </w:t>
            </w:r>
          </w:p>
        </w:tc>
        <w:tc>
          <w:tcPr>
            <w:tcW w:w="272" w:type="dxa"/>
            <w:gridSpan w:val="2"/>
            <w:tcBorders>
              <w:top w:val="nil"/>
              <w:left w:val="nil"/>
              <w:bottom w:val="nil"/>
              <w:right w:val="nil"/>
            </w:tcBorders>
            <w:shd w:val="clear" w:color="auto" w:fill="auto"/>
            <w:noWrap/>
            <w:vAlign w:val="bottom"/>
            <w:hideMark/>
          </w:tcPr>
          <w:p w14:paraId="02D5866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5492141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634 </w:t>
            </w:r>
          </w:p>
        </w:tc>
      </w:tr>
      <w:tr w:rsidR="00702061" w:rsidRPr="00D146BC" w14:paraId="5CE839B2"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1C1EC09B"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Common stock repurchased</w:t>
            </w:r>
          </w:p>
        </w:tc>
        <w:tc>
          <w:tcPr>
            <w:tcW w:w="1120" w:type="dxa"/>
            <w:gridSpan w:val="2"/>
            <w:tcBorders>
              <w:top w:val="nil"/>
              <w:left w:val="nil"/>
              <w:bottom w:val="nil"/>
              <w:right w:val="nil"/>
            </w:tcBorders>
            <w:shd w:val="clear" w:color="auto" w:fill="auto"/>
            <w:noWrap/>
            <w:vAlign w:val="bottom"/>
            <w:hideMark/>
          </w:tcPr>
          <w:p w14:paraId="62CFB64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(3,677)</w:t>
            </w:r>
          </w:p>
        </w:tc>
        <w:tc>
          <w:tcPr>
            <w:tcW w:w="272" w:type="dxa"/>
            <w:tcBorders>
              <w:top w:val="nil"/>
              <w:left w:val="nil"/>
              <w:bottom w:val="nil"/>
              <w:right w:val="nil"/>
            </w:tcBorders>
            <w:shd w:val="clear" w:color="auto" w:fill="auto"/>
            <w:noWrap/>
            <w:vAlign w:val="bottom"/>
            <w:hideMark/>
          </w:tcPr>
          <w:p w14:paraId="558FB21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4AF9AA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(4,279)</w:t>
            </w:r>
          </w:p>
        </w:tc>
        <w:tc>
          <w:tcPr>
            <w:tcW w:w="272" w:type="dxa"/>
            <w:gridSpan w:val="2"/>
            <w:tcBorders>
              <w:top w:val="nil"/>
              <w:left w:val="nil"/>
              <w:bottom w:val="nil"/>
              <w:right w:val="nil"/>
            </w:tcBorders>
            <w:shd w:val="clear" w:color="auto" w:fill="auto"/>
            <w:noWrap/>
            <w:vAlign w:val="bottom"/>
            <w:hideMark/>
          </w:tcPr>
          <w:p w14:paraId="5FCC0BD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31F04DB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(15,969)</w:t>
            </w:r>
          </w:p>
        </w:tc>
        <w:tc>
          <w:tcPr>
            <w:tcW w:w="272" w:type="dxa"/>
            <w:gridSpan w:val="2"/>
            <w:tcBorders>
              <w:top w:val="nil"/>
              <w:left w:val="nil"/>
              <w:bottom w:val="nil"/>
              <w:right w:val="nil"/>
            </w:tcBorders>
            <w:shd w:val="clear" w:color="auto" w:fill="auto"/>
            <w:noWrap/>
            <w:vAlign w:val="bottom"/>
            <w:hideMark/>
          </w:tcPr>
          <w:p w14:paraId="6AE342C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B865E9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(14,443)</w:t>
            </w:r>
          </w:p>
        </w:tc>
      </w:tr>
      <w:tr w:rsidR="00702061" w:rsidRPr="00D146BC" w14:paraId="29047E61" w14:textId="77777777" w:rsidTr="00282FF2">
        <w:trPr>
          <w:gridBefore w:val="1"/>
          <w:gridAfter w:val="1"/>
          <w:wBefore w:w="15" w:type="dxa"/>
          <w:wAfter w:w="181" w:type="dxa"/>
          <w:trHeight w:val="320"/>
        </w:trPr>
        <w:tc>
          <w:tcPr>
            <w:tcW w:w="3320" w:type="dxa"/>
            <w:gridSpan w:val="2"/>
            <w:tcBorders>
              <w:top w:val="nil"/>
              <w:left w:val="nil"/>
              <w:bottom w:val="nil"/>
              <w:right w:val="nil"/>
            </w:tcBorders>
            <w:shd w:val="clear" w:color="auto" w:fill="auto"/>
            <w:noWrap/>
            <w:vAlign w:val="bottom"/>
            <w:hideMark/>
          </w:tcPr>
          <w:p w14:paraId="53FA5640"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Common stock cash dividends paid</w:t>
            </w:r>
          </w:p>
        </w:tc>
        <w:tc>
          <w:tcPr>
            <w:tcW w:w="1120" w:type="dxa"/>
            <w:gridSpan w:val="2"/>
            <w:tcBorders>
              <w:top w:val="nil"/>
              <w:left w:val="nil"/>
              <w:bottom w:val="nil"/>
              <w:right w:val="nil"/>
            </w:tcBorders>
            <w:shd w:val="clear" w:color="auto" w:fill="auto"/>
            <w:noWrap/>
            <w:vAlign w:val="bottom"/>
            <w:hideMark/>
          </w:tcPr>
          <w:p w14:paraId="45CBC75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(2,821)</w:t>
            </w:r>
          </w:p>
        </w:tc>
        <w:tc>
          <w:tcPr>
            <w:tcW w:w="272" w:type="dxa"/>
            <w:tcBorders>
              <w:top w:val="nil"/>
              <w:left w:val="nil"/>
              <w:bottom w:val="nil"/>
              <w:right w:val="nil"/>
            </w:tcBorders>
            <w:shd w:val="clear" w:color="auto" w:fill="auto"/>
            <w:noWrap/>
            <w:vAlign w:val="bottom"/>
            <w:hideMark/>
          </w:tcPr>
          <w:p w14:paraId="35AC2D2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294C058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(2,496)</w:t>
            </w:r>
          </w:p>
        </w:tc>
        <w:tc>
          <w:tcPr>
            <w:tcW w:w="272" w:type="dxa"/>
            <w:gridSpan w:val="2"/>
            <w:tcBorders>
              <w:top w:val="nil"/>
              <w:left w:val="nil"/>
              <w:bottom w:val="nil"/>
              <w:right w:val="nil"/>
            </w:tcBorders>
            <w:shd w:val="clear" w:color="auto" w:fill="auto"/>
            <w:noWrap/>
            <w:vAlign w:val="bottom"/>
            <w:hideMark/>
          </w:tcPr>
          <w:p w14:paraId="647C20B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nil"/>
              <w:right w:val="nil"/>
            </w:tcBorders>
            <w:shd w:val="clear" w:color="auto" w:fill="auto"/>
            <w:noWrap/>
            <w:vAlign w:val="bottom"/>
            <w:hideMark/>
          </w:tcPr>
          <w:p w14:paraId="0901150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(11,006)</w:t>
            </w:r>
          </w:p>
        </w:tc>
        <w:tc>
          <w:tcPr>
            <w:tcW w:w="272" w:type="dxa"/>
            <w:gridSpan w:val="2"/>
            <w:tcBorders>
              <w:top w:val="nil"/>
              <w:left w:val="nil"/>
              <w:bottom w:val="nil"/>
              <w:right w:val="nil"/>
            </w:tcBorders>
            <w:shd w:val="clear" w:color="auto" w:fill="auto"/>
            <w:noWrap/>
            <w:vAlign w:val="bottom"/>
            <w:hideMark/>
          </w:tcPr>
          <w:p w14:paraId="09909EF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nil"/>
              <w:right w:val="nil"/>
            </w:tcBorders>
            <w:shd w:val="clear" w:color="auto" w:fill="auto"/>
            <w:noWrap/>
            <w:vAlign w:val="bottom"/>
            <w:hideMark/>
          </w:tcPr>
          <w:p w14:paraId="0C30038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(9,882)</w:t>
            </w:r>
          </w:p>
        </w:tc>
      </w:tr>
      <w:tr w:rsidR="00702061" w:rsidRPr="00D146BC" w14:paraId="62472D62" w14:textId="77777777" w:rsidTr="00282FF2">
        <w:trPr>
          <w:gridBefore w:val="1"/>
          <w:gridAfter w:val="1"/>
          <w:wBefore w:w="15" w:type="dxa"/>
          <w:wAfter w:w="181" w:type="dxa"/>
          <w:trHeight w:val="320"/>
        </w:trPr>
        <w:tc>
          <w:tcPr>
            <w:tcW w:w="3320" w:type="dxa"/>
            <w:gridSpan w:val="2"/>
            <w:tcBorders>
              <w:top w:val="nil"/>
              <w:left w:val="nil"/>
              <w:bottom w:val="single" w:sz="4" w:space="0" w:color="auto"/>
              <w:right w:val="nil"/>
            </w:tcBorders>
            <w:shd w:val="clear" w:color="auto" w:fill="auto"/>
            <w:vAlign w:val="bottom"/>
            <w:hideMark/>
          </w:tcPr>
          <w:p w14:paraId="2C712063"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Other</w:t>
            </w:r>
          </w:p>
        </w:tc>
        <w:tc>
          <w:tcPr>
            <w:tcW w:w="1120" w:type="dxa"/>
            <w:gridSpan w:val="2"/>
            <w:tcBorders>
              <w:top w:val="nil"/>
              <w:left w:val="nil"/>
              <w:bottom w:val="single" w:sz="4" w:space="0" w:color="auto"/>
              <w:right w:val="nil"/>
            </w:tcBorders>
            <w:shd w:val="clear" w:color="auto" w:fill="auto"/>
            <w:noWrap/>
            <w:vAlign w:val="bottom"/>
            <w:hideMark/>
          </w:tcPr>
          <w:p w14:paraId="0AF444F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(3)</w:t>
            </w:r>
          </w:p>
        </w:tc>
        <w:tc>
          <w:tcPr>
            <w:tcW w:w="272" w:type="dxa"/>
            <w:tcBorders>
              <w:top w:val="nil"/>
              <w:left w:val="nil"/>
              <w:bottom w:val="nil"/>
              <w:right w:val="nil"/>
            </w:tcBorders>
            <w:shd w:val="clear" w:color="auto" w:fill="auto"/>
            <w:noWrap/>
            <w:vAlign w:val="bottom"/>
            <w:hideMark/>
          </w:tcPr>
          <w:p w14:paraId="5805964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6962517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(239)</w:t>
            </w:r>
          </w:p>
        </w:tc>
        <w:tc>
          <w:tcPr>
            <w:tcW w:w="272" w:type="dxa"/>
            <w:gridSpan w:val="2"/>
            <w:tcBorders>
              <w:top w:val="nil"/>
              <w:left w:val="nil"/>
              <w:bottom w:val="nil"/>
              <w:right w:val="nil"/>
            </w:tcBorders>
            <w:shd w:val="clear" w:color="auto" w:fill="auto"/>
            <w:noWrap/>
            <w:vAlign w:val="bottom"/>
            <w:hideMark/>
          </w:tcPr>
          <w:p w14:paraId="7BDC4D3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single" w:sz="4" w:space="0" w:color="auto"/>
              <w:right w:val="nil"/>
            </w:tcBorders>
            <w:shd w:val="clear" w:color="auto" w:fill="auto"/>
            <w:noWrap/>
            <w:vAlign w:val="bottom"/>
            <w:hideMark/>
          </w:tcPr>
          <w:p w14:paraId="4D8B5B5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(369)</w:t>
            </w:r>
          </w:p>
        </w:tc>
        <w:tc>
          <w:tcPr>
            <w:tcW w:w="272" w:type="dxa"/>
            <w:gridSpan w:val="2"/>
            <w:tcBorders>
              <w:top w:val="nil"/>
              <w:left w:val="nil"/>
              <w:bottom w:val="nil"/>
              <w:right w:val="nil"/>
            </w:tcBorders>
            <w:shd w:val="clear" w:color="auto" w:fill="auto"/>
            <w:noWrap/>
            <w:vAlign w:val="bottom"/>
            <w:hideMark/>
          </w:tcPr>
          <w:p w14:paraId="763D396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25D11CB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362 </w:t>
            </w:r>
          </w:p>
        </w:tc>
      </w:tr>
      <w:tr w:rsidR="00702061" w:rsidRPr="00D146BC" w14:paraId="2899A1BF" w14:textId="77777777" w:rsidTr="00282FF2">
        <w:trPr>
          <w:gridBefore w:val="1"/>
          <w:gridAfter w:val="1"/>
          <w:wBefore w:w="15" w:type="dxa"/>
          <w:wAfter w:w="181" w:type="dxa"/>
          <w:trHeight w:val="320"/>
        </w:trPr>
        <w:tc>
          <w:tcPr>
            <w:tcW w:w="3320" w:type="dxa"/>
            <w:gridSpan w:val="2"/>
            <w:tcBorders>
              <w:top w:val="nil"/>
              <w:left w:val="nil"/>
              <w:bottom w:val="single" w:sz="4" w:space="0" w:color="auto"/>
              <w:right w:val="nil"/>
            </w:tcBorders>
            <w:shd w:val="clear" w:color="auto" w:fill="auto"/>
            <w:vAlign w:val="bottom"/>
            <w:hideMark/>
          </w:tcPr>
          <w:p w14:paraId="5FA4FC70" w14:textId="77777777" w:rsidR="00702061" w:rsidRPr="00D146BC" w:rsidRDefault="00702061" w:rsidP="00282FF2">
            <w:pPr>
              <w:spacing w:after="0" w:line="240" w:lineRule="auto"/>
              <w:ind w:left="792" w:hanging="792"/>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Net cash </w:t>
            </w:r>
            <w:r>
              <w:rPr>
                <w:rFonts w:ascii="Segoe UI" w:eastAsia="Times New Roman" w:hAnsi="Segoe UI" w:cs="Segoe UI"/>
                <w:color w:val="666666"/>
                <w:sz w:val="20"/>
                <w:szCs w:val="20"/>
              </w:rPr>
              <w:t>from (</w:t>
            </w:r>
            <w:r w:rsidRPr="00D146BC">
              <w:rPr>
                <w:rFonts w:ascii="Segoe UI" w:eastAsia="Times New Roman" w:hAnsi="Segoe UI" w:cs="Segoe UI"/>
                <w:color w:val="666666"/>
                <w:sz w:val="20"/>
                <w:szCs w:val="20"/>
              </w:rPr>
              <w:t>used in</w:t>
            </w:r>
            <w:r>
              <w:rPr>
                <w:rFonts w:ascii="Segoe UI" w:eastAsia="Times New Roman" w:hAnsi="Segoe UI" w:cs="Segoe UI"/>
                <w:color w:val="666666"/>
                <w:sz w:val="20"/>
                <w:szCs w:val="20"/>
              </w:rPr>
              <w:t>)</w:t>
            </w:r>
            <w:r w:rsidRPr="00D146BC">
              <w:rPr>
                <w:rFonts w:ascii="Segoe UI" w:eastAsia="Times New Roman" w:hAnsi="Segoe UI" w:cs="Segoe UI"/>
                <w:color w:val="666666"/>
                <w:sz w:val="20"/>
                <w:szCs w:val="20"/>
              </w:rPr>
              <w:t xml:space="preserve"> financing</w:t>
            </w:r>
          </w:p>
        </w:tc>
        <w:tc>
          <w:tcPr>
            <w:tcW w:w="1120" w:type="dxa"/>
            <w:gridSpan w:val="2"/>
            <w:tcBorders>
              <w:top w:val="nil"/>
              <w:left w:val="nil"/>
              <w:bottom w:val="single" w:sz="4" w:space="0" w:color="auto"/>
              <w:right w:val="nil"/>
            </w:tcBorders>
            <w:shd w:val="clear" w:color="auto" w:fill="auto"/>
            <w:noWrap/>
            <w:vAlign w:val="bottom"/>
            <w:hideMark/>
          </w:tcPr>
          <w:p w14:paraId="57754DD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971 </w:t>
            </w:r>
          </w:p>
        </w:tc>
        <w:tc>
          <w:tcPr>
            <w:tcW w:w="272" w:type="dxa"/>
            <w:tcBorders>
              <w:top w:val="nil"/>
              <w:left w:val="nil"/>
              <w:bottom w:val="nil"/>
              <w:right w:val="nil"/>
            </w:tcBorders>
            <w:shd w:val="clear" w:color="auto" w:fill="auto"/>
            <w:noWrap/>
            <w:vAlign w:val="bottom"/>
            <w:hideMark/>
          </w:tcPr>
          <w:p w14:paraId="4A384CA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6CE1A62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(3,604)</w:t>
            </w:r>
          </w:p>
        </w:tc>
        <w:tc>
          <w:tcPr>
            <w:tcW w:w="272" w:type="dxa"/>
            <w:gridSpan w:val="2"/>
            <w:tcBorders>
              <w:top w:val="nil"/>
              <w:left w:val="nil"/>
              <w:bottom w:val="nil"/>
              <w:right w:val="nil"/>
            </w:tcBorders>
            <w:shd w:val="clear" w:color="auto" w:fill="auto"/>
            <w:noWrap/>
            <w:vAlign w:val="bottom"/>
            <w:hideMark/>
          </w:tcPr>
          <w:p w14:paraId="27B090FF"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gridSpan w:val="2"/>
            <w:tcBorders>
              <w:top w:val="nil"/>
              <w:left w:val="nil"/>
              <w:bottom w:val="single" w:sz="4" w:space="0" w:color="auto"/>
              <w:right w:val="nil"/>
            </w:tcBorders>
            <w:shd w:val="clear" w:color="auto" w:fill="auto"/>
            <w:noWrap/>
            <w:vAlign w:val="bottom"/>
            <w:hideMark/>
          </w:tcPr>
          <w:p w14:paraId="3BB7444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(8,393)</w:t>
            </w:r>
          </w:p>
        </w:tc>
        <w:tc>
          <w:tcPr>
            <w:tcW w:w="272" w:type="dxa"/>
            <w:gridSpan w:val="2"/>
            <w:tcBorders>
              <w:top w:val="nil"/>
              <w:left w:val="nil"/>
              <w:bottom w:val="nil"/>
              <w:right w:val="nil"/>
            </w:tcBorders>
            <w:shd w:val="clear" w:color="auto" w:fill="auto"/>
            <w:noWrap/>
            <w:vAlign w:val="bottom"/>
            <w:hideMark/>
          </w:tcPr>
          <w:p w14:paraId="00C42A9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gridSpan w:val="2"/>
            <w:tcBorders>
              <w:top w:val="nil"/>
              <w:left w:val="nil"/>
              <w:bottom w:val="single" w:sz="4" w:space="0" w:color="auto"/>
              <w:right w:val="nil"/>
            </w:tcBorders>
            <w:shd w:val="clear" w:color="auto" w:fill="auto"/>
            <w:noWrap/>
            <w:vAlign w:val="bottom"/>
            <w:hideMark/>
          </w:tcPr>
          <w:p w14:paraId="00A3D7C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(9,668)</w:t>
            </w:r>
          </w:p>
        </w:tc>
      </w:tr>
    </w:tbl>
    <w:p w14:paraId="5DFE20A5" w14:textId="77777777" w:rsidR="00567E9D" w:rsidRDefault="00567E9D">
      <w:r>
        <w:br w:type="page"/>
      </w:r>
    </w:p>
    <w:tbl>
      <w:tblPr>
        <w:tblW w:w="8456" w:type="dxa"/>
        <w:tblLook w:val="04A0" w:firstRow="1" w:lastRow="0" w:firstColumn="1" w:lastColumn="0" w:noHBand="0" w:noVBand="1"/>
      </w:tblPr>
      <w:tblGrid>
        <w:gridCol w:w="3320"/>
        <w:gridCol w:w="1120"/>
        <w:gridCol w:w="272"/>
        <w:gridCol w:w="980"/>
        <w:gridCol w:w="272"/>
        <w:gridCol w:w="1240"/>
        <w:gridCol w:w="272"/>
        <w:gridCol w:w="980"/>
      </w:tblGrid>
      <w:tr w:rsidR="00702061" w:rsidRPr="00D146BC" w14:paraId="3A387185" w14:textId="77777777" w:rsidTr="00567E9D">
        <w:trPr>
          <w:trHeight w:val="320"/>
        </w:trPr>
        <w:tc>
          <w:tcPr>
            <w:tcW w:w="3320" w:type="dxa"/>
            <w:tcBorders>
              <w:top w:val="nil"/>
              <w:left w:val="nil"/>
              <w:bottom w:val="nil"/>
              <w:right w:val="nil"/>
            </w:tcBorders>
            <w:shd w:val="clear" w:color="auto" w:fill="auto"/>
            <w:noWrap/>
            <w:vAlign w:val="bottom"/>
            <w:hideMark/>
          </w:tcPr>
          <w:p w14:paraId="28DEE10F" w14:textId="5A64898F" w:rsidR="00702061" w:rsidRPr="00D146BC" w:rsidRDefault="00702061" w:rsidP="00282FF2">
            <w:pPr>
              <w:spacing w:after="0" w:line="240" w:lineRule="auto"/>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Investing</w:t>
            </w:r>
          </w:p>
        </w:tc>
        <w:tc>
          <w:tcPr>
            <w:tcW w:w="1120" w:type="dxa"/>
            <w:tcBorders>
              <w:top w:val="nil"/>
              <w:left w:val="nil"/>
              <w:bottom w:val="nil"/>
              <w:right w:val="nil"/>
            </w:tcBorders>
            <w:shd w:val="clear" w:color="auto" w:fill="auto"/>
            <w:noWrap/>
            <w:vAlign w:val="bottom"/>
            <w:hideMark/>
          </w:tcPr>
          <w:p w14:paraId="096CBE47" w14:textId="77777777" w:rsidR="00702061" w:rsidRPr="00D146BC" w:rsidRDefault="00702061" w:rsidP="00282FF2">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BCC6001"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A8BDD04"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2AAD20F"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1240" w:type="dxa"/>
            <w:tcBorders>
              <w:top w:val="nil"/>
              <w:left w:val="nil"/>
              <w:bottom w:val="nil"/>
              <w:right w:val="nil"/>
            </w:tcBorders>
            <w:shd w:val="clear" w:color="auto" w:fill="auto"/>
            <w:noWrap/>
            <w:vAlign w:val="bottom"/>
            <w:hideMark/>
          </w:tcPr>
          <w:p w14:paraId="2E496550" w14:textId="77777777" w:rsidR="00702061" w:rsidRPr="00D146BC" w:rsidRDefault="00702061" w:rsidP="00282FF2">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0C07C10" w14:textId="77777777" w:rsidR="00702061" w:rsidRPr="00D146BC" w:rsidRDefault="00702061" w:rsidP="00282FF2">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3644F07" w14:textId="77777777" w:rsidR="00702061" w:rsidRPr="00D146BC" w:rsidRDefault="00702061" w:rsidP="00282FF2">
            <w:pPr>
              <w:spacing w:after="0" w:line="240" w:lineRule="auto"/>
              <w:rPr>
                <w:rFonts w:ascii="Times New Roman" w:eastAsia="Times New Roman" w:hAnsi="Times New Roman"/>
                <w:sz w:val="20"/>
                <w:szCs w:val="20"/>
              </w:rPr>
            </w:pPr>
          </w:p>
        </w:tc>
      </w:tr>
      <w:tr w:rsidR="00702061" w:rsidRPr="00D146BC" w14:paraId="2836F50F" w14:textId="77777777" w:rsidTr="00567E9D">
        <w:trPr>
          <w:trHeight w:val="640"/>
        </w:trPr>
        <w:tc>
          <w:tcPr>
            <w:tcW w:w="3320" w:type="dxa"/>
            <w:tcBorders>
              <w:top w:val="nil"/>
              <w:left w:val="nil"/>
              <w:bottom w:val="nil"/>
              <w:right w:val="nil"/>
            </w:tcBorders>
            <w:shd w:val="clear" w:color="auto" w:fill="auto"/>
            <w:vAlign w:val="bottom"/>
            <w:hideMark/>
          </w:tcPr>
          <w:p w14:paraId="2267DB14"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Additions to property and</w:t>
            </w:r>
            <w:r w:rsidRPr="00D146BC">
              <w:rPr>
                <w:rFonts w:ascii="Segoe UI" w:eastAsia="Times New Roman" w:hAnsi="Segoe UI" w:cs="Segoe UI"/>
                <w:color w:val="666666"/>
                <w:sz w:val="20"/>
                <w:szCs w:val="20"/>
              </w:rPr>
              <w:br/>
              <w:t xml:space="preserve">   equipment</w:t>
            </w:r>
          </w:p>
        </w:tc>
        <w:tc>
          <w:tcPr>
            <w:tcW w:w="1120" w:type="dxa"/>
            <w:tcBorders>
              <w:top w:val="nil"/>
              <w:left w:val="nil"/>
              <w:bottom w:val="nil"/>
              <w:right w:val="nil"/>
            </w:tcBorders>
            <w:shd w:val="clear" w:color="auto" w:fill="auto"/>
            <w:noWrap/>
            <w:vAlign w:val="bottom"/>
            <w:hideMark/>
          </w:tcPr>
          <w:p w14:paraId="054C46FE"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(2,655)</w:t>
            </w:r>
          </w:p>
        </w:tc>
        <w:tc>
          <w:tcPr>
            <w:tcW w:w="272" w:type="dxa"/>
            <w:tcBorders>
              <w:top w:val="nil"/>
              <w:left w:val="nil"/>
              <w:bottom w:val="nil"/>
              <w:right w:val="nil"/>
            </w:tcBorders>
            <w:shd w:val="clear" w:color="auto" w:fill="auto"/>
            <w:noWrap/>
            <w:vAlign w:val="bottom"/>
            <w:hideMark/>
          </w:tcPr>
          <w:p w14:paraId="5A4C1EA4"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40656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(1,781)</w:t>
            </w:r>
          </w:p>
        </w:tc>
        <w:tc>
          <w:tcPr>
            <w:tcW w:w="272" w:type="dxa"/>
            <w:tcBorders>
              <w:top w:val="nil"/>
              <w:left w:val="nil"/>
              <w:bottom w:val="nil"/>
              <w:right w:val="nil"/>
            </w:tcBorders>
            <w:shd w:val="clear" w:color="auto" w:fill="auto"/>
            <w:noWrap/>
            <w:vAlign w:val="bottom"/>
            <w:hideMark/>
          </w:tcPr>
          <w:p w14:paraId="027EE28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58C450A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(8,343)</w:t>
            </w:r>
          </w:p>
        </w:tc>
        <w:tc>
          <w:tcPr>
            <w:tcW w:w="272" w:type="dxa"/>
            <w:tcBorders>
              <w:top w:val="nil"/>
              <w:left w:val="nil"/>
              <w:bottom w:val="nil"/>
              <w:right w:val="nil"/>
            </w:tcBorders>
            <w:shd w:val="clear" w:color="auto" w:fill="auto"/>
            <w:noWrap/>
            <w:vAlign w:val="bottom"/>
            <w:hideMark/>
          </w:tcPr>
          <w:p w14:paraId="7E56A55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D12759D"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(5,944)</w:t>
            </w:r>
          </w:p>
        </w:tc>
      </w:tr>
      <w:tr w:rsidR="00702061" w:rsidRPr="00D146BC" w14:paraId="4614F020" w14:textId="77777777" w:rsidTr="00567E9D">
        <w:trPr>
          <w:trHeight w:val="960"/>
        </w:trPr>
        <w:tc>
          <w:tcPr>
            <w:tcW w:w="3320" w:type="dxa"/>
            <w:tcBorders>
              <w:top w:val="nil"/>
              <w:left w:val="nil"/>
              <w:bottom w:val="nil"/>
              <w:right w:val="nil"/>
            </w:tcBorders>
            <w:shd w:val="clear" w:color="auto" w:fill="auto"/>
            <w:vAlign w:val="bottom"/>
            <w:hideMark/>
          </w:tcPr>
          <w:p w14:paraId="5F63FEF0"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Acquisition of companies, net of</w:t>
            </w:r>
            <w:r w:rsidRPr="00D146BC">
              <w:rPr>
                <w:rFonts w:ascii="Segoe UI" w:eastAsia="Times New Roman" w:hAnsi="Segoe UI" w:cs="Segoe UI"/>
                <w:color w:val="666666"/>
                <w:sz w:val="20"/>
                <w:szCs w:val="20"/>
              </w:rPr>
              <w:br/>
              <w:t xml:space="preserve">   cash acquired, and purchases of</w:t>
            </w:r>
            <w:r w:rsidRPr="00D146BC">
              <w:rPr>
                <w:rFonts w:ascii="Segoe UI" w:eastAsia="Times New Roman" w:hAnsi="Segoe UI" w:cs="Segoe UI"/>
                <w:color w:val="666666"/>
                <w:sz w:val="20"/>
                <w:szCs w:val="20"/>
              </w:rPr>
              <w:br/>
              <w:t xml:space="preserve">   intangible and other assets</w:t>
            </w:r>
          </w:p>
        </w:tc>
        <w:tc>
          <w:tcPr>
            <w:tcW w:w="1120" w:type="dxa"/>
            <w:tcBorders>
              <w:top w:val="nil"/>
              <w:left w:val="nil"/>
              <w:bottom w:val="nil"/>
              <w:right w:val="nil"/>
            </w:tcBorders>
            <w:shd w:val="clear" w:color="auto" w:fill="auto"/>
            <w:noWrap/>
            <w:vAlign w:val="bottom"/>
            <w:hideMark/>
          </w:tcPr>
          <w:p w14:paraId="1A3829C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(63)</w:t>
            </w:r>
          </w:p>
        </w:tc>
        <w:tc>
          <w:tcPr>
            <w:tcW w:w="272" w:type="dxa"/>
            <w:tcBorders>
              <w:top w:val="nil"/>
              <w:left w:val="nil"/>
              <w:bottom w:val="nil"/>
              <w:right w:val="nil"/>
            </w:tcBorders>
            <w:shd w:val="clear" w:color="auto" w:fill="auto"/>
            <w:noWrap/>
            <w:vAlign w:val="bottom"/>
            <w:hideMark/>
          </w:tcPr>
          <w:p w14:paraId="77A6D8E1"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DB350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(626)</w:t>
            </w:r>
          </w:p>
        </w:tc>
        <w:tc>
          <w:tcPr>
            <w:tcW w:w="272" w:type="dxa"/>
            <w:tcBorders>
              <w:top w:val="nil"/>
              <w:left w:val="nil"/>
              <w:bottom w:val="nil"/>
              <w:right w:val="nil"/>
            </w:tcBorders>
            <w:shd w:val="clear" w:color="auto" w:fill="auto"/>
            <w:noWrap/>
            <w:vAlign w:val="bottom"/>
            <w:hideMark/>
          </w:tcPr>
          <w:p w14:paraId="328E798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1ED81E8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(1,393)</w:t>
            </w:r>
          </w:p>
        </w:tc>
        <w:tc>
          <w:tcPr>
            <w:tcW w:w="272" w:type="dxa"/>
            <w:tcBorders>
              <w:top w:val="nil"/>
              <w:left w:val="nil"/>
              <w:bottom w:val="nil"/>
              <w:right w:val="nil"/>
            </w:tcBorders>
            <w:shd w:val="clear" w:color="auto" w:fill="auto"/>
            <w:noWrap/>
            <w:vAlign w:val="bottom"/>
            <w:hideMark/>
          </w:tcPr>
          <w:p w14:paraId="64182AF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E35EEC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(3,723)</w:t>
            </w:r>
          </w:p>
        </w:tc>
      </w:tr>
      <w:tr w:rsidR="00702061" w:rsidRPr="00D146BC" w14:paraId="1FAD29C7" w14:textId="77777777" w:rsidTr="00567E9D">
        <w:trPr>
          <w:trHeight w:val="320"/>
        </w:trPr>
        <w:tc>
          <w:tcPr>
            <w:tcW w:w="3320" w:type="dxa"/>
            <w:tcBorders>
              <w:top w:val="nil"/>
              <w:left w:val="nil"/>
              <w:bottom w:val="nil"/>
              <w:right w:val="nil"/>
            </w:tcBorders>
            <w:shd w:val="clear" w:color="auto" w:fill="auto"/>
            <w:noWrap/>
            <w:vAlign w:val="bottom"/>
            <w:hideMark/>
          </w:tcPr>
          <w:p w14:paraId="2C4CD431"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Purchases of investments</w:t>
            </w:r>
          </w:p>
        </w:tc>
        <w:tc>
          <w:tcPr>
            <w:tcW w:w="1120" w:type="dxa"/>
            <w:tcBorders>
              <w:top w:val="nil"/>
              <w:left w:val="nil"/>
              <w:bottom w:val="nil"/>
              <w:right w:val="nil"/>
            </w:tcBorders>
            <w:shd w:val="clear" w:color="auto" w:fill="auto"/>
            <w:noWrap/>
            <w:vAlign w:val="bottom"/>
            <w:hideMark/>
          </w:tcPr>
          <w:p w14:paraId="1A752A1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(30,097)</w:t>
            </w:r>
          </w:p>
        </w:tc>
        <w:tc>
          <w:tcPr>
            <w:tcW w:w="272" w:type="dxa"/>
            <w:tcBorders>
              <w:top w:val="nil"/>
              <w:left w:val="nil"/>
              <w:bottom w:val="nil"/>
              <w:right w:val="nil"/>
            </w:tcBorders>
            <w:shd w:val="clear" w:color="auto" w:fill="auto"/>
            <w:noWrap/>
            <w:vAlign w:val="bottom"/>
            <w:hideMark/>
          </w:tcPr>
          <w:p w14:paraId="1BDCFA2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7760B7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(25,259)</w:t>
            </w:r>
          </w:p>
        </w:tc>
        <w:tc>
          <w:tcPr>
            <w:tcW w:w="272" w:type="dxa"/>
            <w:tcBorders>
              <w:top w:val="nil"/>
              <w:left w:val="nil"/>
              <w:bottom w:val="nil"/>
              <w:right w:val="nil"/>
            </w:tcBorders>
            <w:shd w:val="clear" w:color="auto" w:fill="auto"/>
            <w:noWrap/>
            <w:vAlign w:val="bottom"/>
            <w:hideMark/>
          </w:tcPr>
          <w:p w14:paraId="56A32894"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4C5886C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(129,758)</w:t>
            </w:r>
          </w:p>
        </w:tc>
        <w:tc>
          <w:tcPr>
            <w:tcW w:w="272" w:type="dxa"/>
            <w:tcBorders>
              <w:top w:val="nil"/>
              <w:left w:val="nil"/>
              <w:bottom w:val="nil"/>
              <w:right w:val="nil"/>
            </w:tcBorders>
            <w:shd w:val="clear" w:color="auto" w:fill="auto"/>
            <w:noWrap/>
            <w:vAlign w:val="bottom"/>
            <w:hideMark/>
          </w:tcPr>
          <w:p w14:paraId="7B36CE3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092ED7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(98,729)</w:t>
            </w:r>
          </w:p>
        </w:tc>
      </w:tr>
      <w:tr w:rsidR="00702061" w:rsidRPr="00D146BC" w14:paraId="1237A88C" w14:textId="77777777" w:rsidTr="00567E9D">
        <w:trPr>
          <w:trHeight w:val="320"/>
        </w:trPr>
        <w:tc>
          <w:tcPr>
            <w:tcW w:w="3320" w:type="dxa"/>
            <w:tcBorders>
              <w:top w:val="nil"/>
              <w:left w:val="nil"/>
              <w:bottom w:val="nil"/>
              <w:right w:val="nil"/>
            </w:tcBorders>
            <w:shd w:val="clear" w:color="auto" w:fill="auto"/>
            <w:noWrap/>
            <w:vAlign w:val="bottom"/>
            <w:hideMark/>
          </w:tcPr>
          <w:p w14:paraId="51288392"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Maturities of investments</w:t>
            </w:r>
          </w:p>
        </w:tc>
        <w:tc>
          <w:tcPr>
            <w:tcW w:w="1120" w:type="dxa"/>
            <w:tcBorders>
              <w:top w:val="nil"/>
              <w:left w:val="nil"/>
              <w:bottom w:val="nil"/>
              <w:right w:val="nil"/>
            </w:tcBorders>
            <w:shd w:val="clear" w:color="auto" w:fill="auto"/>
            <w:noWrap/>
            <w:vAlign w:val="bottom"/>
            <w:hideMark/>
          </w:tcPr>
          <w:p w14:paraId="1A4C59E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5,825 </w:t>
            </w:r>
          </w:p>
        </w:tc>
        <w:tc>
          <w:tcPr>
            <w:tcW w:w="272" w:type="dxa"/>
            <w:tcBorders>
              <w:top w:val="nil"/>
              <w:left w:val="nil"/>
              <w:bottom w:val="nil"/>
              <w:right w:val="nil"/>
            </w:tcBorders>
            <w:shd w:val="clear" w:color="auto" w:fill="auto"/>
            <w:noWrap/>
            <w:vAlign w:val="bottom"/>
            <w:hideMark/>
          </w:tcPr>
          <w:p w14:paraId="7E22F88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EA5DAB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5,370 </w:t>
            </w:r>
          </w:p>
        </w:tc>
        <w:tc>
          <w:tcPr>
            <w:tcW w:w="272" w:type="dxa"/>
            <w:tcBorders>
              <w:top w:val="nil"/>
              <w:left w:val="nil"/>
              <w:bottom w:val="nil"/>
              <w:right w:val="nil"/>
            </w:tcBorders>
            <w:shd w:val="clear" w:color="auto" w:fill="auto"/>
            <w:noWrap/>
            <w:vAlign w:val="bottom"/>
            <w:hideMark/>
          </w:tcPr>
          <w:p w14:paraId="5BC47FD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1C68268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22,054 </w:t>
            </w:r>
          </w:p>
        </w:tc>
        <w:tc>
          <w:tcPr>
            <w:tcW w:w="272" w:type="dxa"/>
            <w:tcBorders>
              <w:top w:val="nil"/>
              <w:left w:val="nil"/>
              <w:bottom w:val="nil"/>
              <w:right w:val="nil"/>
            </w:tcBorders>
            <w:shd w:val="clear" w:color="auto" w:fill="auto"/>
            <w:noWrap/>
            <w:vAlign w:val="bottom"/>
            <w:hideMark/>
          </w:tcPr>
          <w:p w14:paraId="629AEC5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C68F97A"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15,013 </w:t>
            </w:r>
          </w:p>
        </w:tc>
      </w:tr>
      <w:tr w:rsidR="00702061" w:rsidRPr="00D146BC" w14:paraId="213E3019" w14:textId="77777777" w:rsidTr="00567E9D">
        <w:trPr>
          <w:trHeight w:val="320"/>
        </w:trPr>
        <w:tc>
          <w:tcPr>
            <w:tcW w:w="3320" w:type="dxa"/>
            <w:tcBorders>
              <w:top w:val="nil"/>
              <w:left w:val="nil"/>
              <w:bottom w:val="nil"/>
              <w:right w:val="nil"/>
            </w:tcBorders>
            <w:shd w:val="clear" w:color="auto" w:fill="auto"/>
            <w:noWrap/>
            <w:vAlign w:val="bottom"/>
            <w:hideMark/>
          </w:tcPr>
          <w:p w14:paraId="7C49B3A2"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Sales of investments</w:t>
            </w:r>
          </w:p>
        </w:tc>
        <w:tc>
          <w:tcPr>
            <w:tcW w:w="1120" w:type="dxa"/>
            <w:tcBorders>
              <w:top w:val="nil"/>
              <w:left w:val="nil"/>
              <w:bottom w:val="nil"/>
              <w:right w:val="nil"/>
            </w:tcBorders>
            <w:shd w:val="clear" w:color="auto" w:fill="auto"/>
            <w:noWrap/>
            <w:vAlign w:val="bottom"/>
            <w:hideMark/>
          </w:tcPr>
          <w:p w14:paraId="327D579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16,995 </w:t>
            </w:r>
          </w:p>
        </w:tc>
        <w:tc>
          <w:tcPr>
            <w:tcW w:w="272" w:type="dxa"/>
            <w:tcBorders>
              <w:top w:val="nil"/>
              <w:left w:val="nil"/>
              <w:bottom w:val="nil"/>
              <w:right w:val="nil"/>
            </w:tcBorders>
            <w:shd w:val="clear" w:color="auto" w:fill="auto"/>
            <w:noWrap/>
            <w:vAlign w:val="bottom"/>
            <w:hideMark/>
          </w:tcPr>
          <w:p w14:paraId="0D95507D"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43D73B9"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17,232 </w:t>
            </w:r>
          </w:p>
        </w:tc>
        <w:tc>
          <w:tcPr>
            <w:tcW w:w="272" w:type="dxa"/>
            <w:tcBorders>
              <w:top w:val="nil"/>
              <w:left w:val="nil"/>
              <w:bottom w:val="nil"/>
              <w:right w:val="nil"/>
            </w:tcBorders>
            <w:shd w:val="clear" w:color="auto" w:fill="auto"/>
            <w:noWrap/>
            <w:vAlign w:val="bottom"/>
            <w:hideMark/>
          </w:tcPr>
          <w:p w14:paraId="348D4F6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2C2C2266"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93,287 </w:t>
            </w:r>
          </w:p>
        </w:tc>
        <w:tc>
          <w:tcPr>
            <w:tcW w:w="272" w:type="dxa"/>
            <w:tcBorders>
              <w:top w:val="nil"/>
              <w:left w:val="nil"/>
              <w:bottom w:val="nil"/>
              <w:right w:val="nil"/>
            </w:tcBorders>
            <w:shd w:val="clear" w:color="auto" w:fill="auto"/>
            <w:noWrap/>
            <w:vAlign w:val="bottom"/>
            <w:hideMark/>
          </w:tcPr>
          <w:p w14:paraId="34305FD3"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D8E10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70,848 </w:t>
            </w:r>
          </w:p>
        </w:tc>
      </w:tr>
      <w:tr w:rsidR="00702061" w:rsidRPr="00D146BC" w14:paraId="5FA3BA3D" w14:textId="77777777" w:rsidTr="00567E9D">
        <w:trPr>
          <w:trHeight w:val="320"/>
        </w:trPr>
        <w:tc>
          <w:tcPr>
            <w:tcW w:w="3320" w:type="dxa"/>
            <w:tcBorders>
              <w:top w:val="nil"/>
              <w:left w:val="nil"/>
              <w:bottom w:val="single" w:sz="4" w:space="0" w:color="auto"/>
              <w:right w:val="nil"/>
            </w:tcBorders>
            <w:shd w:val="clear" w:color="auto" w:fill="auto"/>
            <w:noWrap/>
            <w:vAlign w:val="bottom"/>
            <w:hideMark/>
          </w:tcPr>
          <w:p w14:paraId="69C80566"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Securities lending payable</w:t>
            </w:r>
          </w:p>
        </w:tc>
        <w:tc>
          <w:tcPr>
            <w:tcW w:w="1120" w:type="dxa"/>
            <w:tcBorders>
              <w:top w:val="nil"/>
              <w:left w:val="nil"/>
              <w:bottom w:val="single" w:sz="4" w:space="0" w:color="auto"/>
              <w:right w:val="nil"/>
            </w:tcBorders>
            <w:shd w:val="clear" w:color="auto" w:fill="auto"/>
            <w:noWrap/>
            <w:vAlign w:val="bottom"/>
            <w:hideMark/>
          </w:tcPr>
          <w:p w14:paraId="3983FD7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(78)</w:t>
            </w:r>
          </w:p>
        </w:tc>
        <w:tc>
          <w:tcPr>
            <w:tcW w:w="272" w:type="dxa"/>
            <w:tcBorders>
              <w:top w:val="nil"/>
              <w:left w:val="nil"/>
              <w:bottom w:val="nil"/>
              <w:right w:val="nil"/>
            </w:tcBorders>
            <w:shd w:val="clear" w:color="auto" w:fill="auto"/>
            <w:noWrap/>
            <w:vAlign w:val="bottom"/>
            <w:hideMark/>
          </w:tcPr>
          <w:p w14:paraId="17A05950"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7D8F0EAD"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(3)</w:t>
            </w:r>
          </w:p>
        </w:tc>
        <w:tc>
          <w:tcPr>
            <w:tcW w:w="272" w:type="dxa"/>
            <w:tcBorders>
              <w:top w:val="nil"/>
              <w:left w:val="nil"/>
              <w:bottom w:val="nil"/>
              <w:right w:val="nil"/>
            </w:tcBorders>
            <w:shd w:val="clear" w:color="auto" w:fill="auto"/>
            <w:noWrap/>
            <w:vAlign w:val="bottom"/>
            <w:hideMark/>
          </w:tcPr>
          <w:p w14:paraId="74330106"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single" w:sz="4" w:space="0" w:color="auto"/>
              <w:right w:val="nil"/>
            </w:tcBorders>
            <w:shd w:val="clear" w:color="auto" w:fill="auto"/>
            <w:noWrap/>
            <w:vAlign w:val="bottom"/>
            <w:hideMark/>
          </w:tcPr>
          <w:p w14:paraId="63BB3EE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203 </w:t>
            </w:r>
          </w:p>
        </w:tc>
        <w:tc>
          <w:tcPr>
            <w:tcW w:w="272" w:type="dxa"/>
            <w:tcBorders>
              <w:top w:val="nil"/>
              <w:left w:val="nil"/>
              <w:bottom w:val="nil"/>
              <w:right w:val="nil"/>
            </w:tcBorders>
            <w:shd w:val="clear" w:color="auto" w:fill="auto"/>
            <w:noWrap/>
            <w:vAlign w:val="bottom"/>
            <w:hideMark/>
          </w:tcPr>
          <w:p w14:paraId="2168601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3C3BDD4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(466)</w:t>
            </w:r>
          </w:p>
        </w:tc>
      </w:tr>
      <w:tr w:rsidR="00702061" w:rsidRPr="00D146BC" w14:paraId="1F4EF8AC" w14:textId="77777777" w:rsidTr="00567E9D">
        <w:trPr>
          <w:trHeight w:val="320"/>
        </w:trPr>
        <w:tc>
          <w:tcPr>
            <w:tcW w:w="3320" w:type="dxa"/>
            <w:tcBorders>
              <w:top w:val="nil"/>
              <w:left w:val="nil"/>
              <w:bottom w:val="single" w:sz="4" w:space="0" w:color="auto"/>
              <w:right w:val="nil"/>
            </w:tcBorders>
            <w:shd w:val="clear" w:color="auto" w:fill="auto"/>
            <w:vAlign w:val="bottom"/>
            <w:hideMark/>
          </w:tcPr>
          <w:p w14:paraId="272C95C5"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Net cash used in investing</w:t>
            </w:r>
          </w:p>
        </w:tc>
        <w:tc>
          <w:tcPr>
            <w:tcW w:w="1120" w:type="dxa"/>
            <w:tcBorders>
              <w:top w:val="nil"/>
              <w:left w:val="nil"/>
              <w:bottom w:val="single" w:sz="4" w:space="0" w:color="auto"/>
              <w:right w:val="nil"/>
            </w:tcBorders>
            <w:shd w:val="clear" w:color="auto" w:fill="auto"/>
            <w:noWrap/>
            <w:vAlign w:val="bottom"/>
            <w:hideMark/>
          </w:tcPr>
          <w:p w14:paraId="747A77B6"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(10,073)</w:t>
            </w:r>
          </w:p>
        </w:tc>
        <w:tc>
          <w:tcPr>
            <w:tcW w:w="272" w:type="dxa"/>
            <w:tcBorders>
              <w:top w:val="nil"/>
              <w:left w:val="nil"/>
              <w:bottom w:val="nil"/>
              <w:right w:val="nil"/>
            </w:tcBorders>
            <w:shd w:val="clear" w:color="auto" w:fill="auto"/>
            <w:noWrap/>
            <w:vAlign w:val="bottom"/>
            <w:hideMark/>
          </w:tcPr>
          <w:p w14:paraId="194F767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18802B5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(5,067)</w:t>
            </w:r>
          </w:p>
        </w:tc>
        <w:tc>
          <w:tcPr>
            <w:tcW w:w="272" w:type="dxa"/>
            <w:tcBorders>
              <w:top w:val="nil"/>
              <w:left w:val="nil"/>
              <w:bottom w:val="nil"/>
              <w:right w:val="nil"/>
            </w:tcBorders>
            <w:shd w:val="clear" w:color="auto" w:fill="auto"/>
            <w:noWrap/>
            <w:vAlign w:val="bottom"/>
            <w:hideMark/>
          </w:tcPr>
          <w:p w14:paraId="080C65D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single" w:sz="4" w:space="0" w:color="auto"/>
              <w:right w:val="nil"/>
            </w:tcBorders>
            <w:shd w:val="clear" w:color="auto" w:fill="auto"/>
            <w:noWrap/>
            <w:vAlign w:val="bottom"/>
            <w:hideMark/>
          </w:tcPr>
          <w:p w14:paraId="5EAC389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(23,950)</w:t>
            </w:r>
          </w:p>
        </w:tc>
        <w:tc>
          <w:tcPr>
            <w:tcW w:w="272" w:type="dxa"/>
            <w:tcBorders>
              <w:top w:val="nil"/>
              <w:left w:val="nil"/>
              <w:bottom w:val="nil"/>
              <w:right w:val="nil"/>
            </w:tcBorders>
            <w:shd w:val="clear" w:color="auto" w:fill="auto"/>
            <w:noWrap/>
            <w:vAlign w:val="bottom"/>
            <w:hideMark/>
          </w:tcPr>
          <w:p w14:paraId="1003848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7200AF38"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(23,001)</w:t>
            </w:r>
          </w:p>
        </w:tc>
      </w:tr>
      <w:tr w:rsidR="00702061" w:rsidRPr="00D146BC" w14:paraId="79D3EE8A" w14:textId="77777777" w:rsidTr="00567E9D">
        <w:trPr>
          <w:trHeight w:val="640"/>
        </w:trPr>
        <w:tc>
          <w:tcPr>
            <w:tcW w:w="3320" w:type="dxa"/>
            <w:tcBorders>
              <w:top w:val="nil"/>
              <w:left w:val="nil"/>
              <w:bottom w:val="single" w:sz="4" w:space="0" w:color="auto"/>
              <w:right w:val="nil"/>
            </w:tcBorders>
            <w:shd w:val="clear" w:color="auto" w:fill="auto"/>
            <w:vAlign w:val="bottom"/>
            <w:hideMark/>
          </w:tcPr>
          <w:p w14:paraId="33A6A5BE" w14:textId="783FF7A4" w:rsidR="00702061" w:rsidRPr="00D146BC" w:rsidRDefault="00702061" w:rsidP="00C22F33">
            <w:pPr>
              <w:spacing w:after="0" w:line="240" w:lineRule="auto"/>
              <w:ind w:left="163" w:hanging="163"/>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Effect of </w:t>
            </w:r>
            <w:r w:rsidR="00C22F33">
              <w:rPr>
                <w:rFonts w:ascii="Segoe UI" w:eastAsia="Times New Roman" w:hAnsi="Segoe UI" w:cs="Segoe UI"/>
                <w:color w:val="666666"/>
                <w:sz w:val="20"/>
                <w:szCs w:val="20"/>
              </w:rPr>
              <w:t xml:space="preserve">foreign </w:t>
            </w:r>
            <w:r w:rsidRPr="00D146BC">
              <w:rPr>
                <w:rFonts w:ascii="Segoe UI" w:eastAsia="Times New Roman" w:hAnsi="Segoe UI" w:cs="Segoe UI"/>
                <w:color w:val="666666"/>
                <w:sz w:val="20"/>
                <w:szCs w:val="20"/>
              </w:rPr>
              <w:t>exchange rates on cash and cash equivalents</w:t>
            </w:r>
          </w:p>
        </w:tc>
        <w:tc>
          <w:tcPr>
            <w:tcW w:w="1120" w:type="dxa"/>
            <w:tcBorders>
              <w:top w:val="nil"/>
              <w:left w:val="nil"/>
              <w:bottom w:val="single" w:sz="4" w:space="0" w:color="auto"/>
              <w:right w:val="nil"/>
            </w:tcBorders>
            <w:shd w:val="clear" w:color="auto" w:fill="auto"/>
            <w:noWrap/>
            <w:vAlign w:val="bottom"/>
            <w:hideMark/>
          </w:tcPr>
          <w:p w14:paraId="1B3139E6"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(22)</w:t>
            </w:r>
          </w:p>
        </w:tc>
        <w:tc>
          <w:tcPr>
            <w:tcW w:w="272" w:type="dxa"/>
            <w:tcBorders>
              <w:top w:val="nil"/>
              <w:left w:val="nil"/>
              <w:bottom w:val="nil"/>
              <w:right w:val="nil"/>
            </w:tcBorders>
            <w:shd w:val="clear" w:color="auto" w:fill="auto"/>
            <w:noWrap/>
            <w:vAlign w:val="bottom"/>
            <w:hideMark/>
          </w:tcPr>
          <w:p w14:paraId="4A86F82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36EAFAF0"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3 </w:t>
            </w:r>
          </w:p>
        </w:tc>
        <w:tc>
          <w:tcPr>
            <w:tcW w:w="272" w:type="dxa"/>
            <w:tcBorders>
              <w:top w:val="nil"/>
              <w:left w:val="nil"/>
              <w:bottom w:val="nil"/>
              <w:right w:val="nil"/>
            </w:tcBorders>
            <w:shd w:val="clear" w:color="auto" w:fill="auto"/>
            <w:noWrap/>
            <w:vAlign w:val="bottom"/>
            <w:hideMark/>
          </w:tcPr>
          <w:p w14:paraId="6FA98BF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single" w:sz="4" w:space="0" w:color="auto"/>
              <w:right w:val="nil"/>
            </w:tcBorders>
            <w:shd w:val="clear" w:color="auto" w:fill="auto"/>
            <w:noWrap/>
            <w:vAlign w:val="bottom"/>
            <w:hideMark/>
          </w:tcPr>
          <w:p w14:paraId="566ABD0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(67)</w:t>
            </w:r>
          </w:p>
        </w:tc>
        <w:tc>
          <w:tcPr>
            <w:tcW w:w="272" w:type="dxa"/>
            <w:tcBorders>
              <w:top w:val="nil"/>
              <w:left w:val="nil"/>
              <w:bottom w:val="nil"/>
              <w:right w:val="nil"/>
            </w:tcBorders>
            <w:shd w:val="clear" w:color="auto" w:fill="auto"/>
            <w:noWrap/>
            <w:vAlign w:val="bottom"/>
            <w:hideMark/>
          </w:tcPr>
          <w:p w14:paraId="57E3523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46D5240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(73)</w:t>
            </w:r>
          </w:p>
        </w:tc>
      </w:tr>
      <w:tr w:rsidR="00702061" w:rsidRPr="00D146BC" w14:paraId="4357AA6A" w14:textId="77777777" w:rsidTr="00567E9D">
        <w:trPr>
          <w:trHeight w:val="640"/>
        </w:trPr>
        <w:tc>
          <w:tcPr>
            <w:tcW w:w="3320" w:type="dxa"/>
            <w:tcBorders>
              <w:top w:val="nil"/>
              <w:left w:val="nil"/>
              <w:bottom w:val="nil"/>
              <w:right w:val="nil"/>
            </w:tcBorders>
            <w:shd w:val="clear" w:color="auto" w:fill="auto"/>
            <w:vAlign w:val="bottom"/>
            <w:hideMark/>
          </w:tcPr>
          <w:p w14:paraId="527327B5"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Net change in cash and cash</w:t>
            </w:r>
            <w:r w:rsidRPr="00D146BC">
              <w:rPr>
                <w:rFonts w:ascii="Segoe UI" w:eastAsia="Times New Roman" w:hAnsi="Segoe UI" w:cs="Segoe UI"/>
                <w:color w:val="666666"/>
                <w:sz w:val="20"/>
                <w:szCs w:val="20"/>
              </w:rPr>
              <w:br/>
              <w:t xml:space="preserve">   equivalents</w:t>
            </w:r>
          </w:p>
        </w:tc>
        <w:tc>
          <w:tcPr>
            <w:tcW w:w="1120" w:type="dxa"/>
            <w:tcBorders>
              <w:top w:val="nil"/>
              <w:left w:val="nil"/>
              <w:bottom w:val="nil"/>
              <w:right w:val="nil"/>
            </w:tcBorders>
            <w:shd w:val="clear" w:color="auto" w:fill="auto"/>
            <w:noWrap/>
            <w:vAlign w:val="bottom"/>
            <w:hideMark/>
          </w:tcPr>
          <w:p w14:paraId="26C72319"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(660)</w:t>
            </w:r>
          </w:p>
        </w:tc>
        <w:tc>
          <w:tcPr>
            <w:tcW w:w="272" w:type="dxa"/>
            <w:tcBorders>
              <w:top w:val="nil"/>
              <w:left w:val="nil"/>
              <w:bottom w:val="nil"/>
              <w:right w:val="nil"/>
            </w:tcBorders>
            <w:shd w:val="clear" w:color="auto" w:fill="auto"/>
            <w:noWrap/>
            <w:vAlign w:val="bottom"/>
            <w:hideMark/>
          </w:tcPr>
          <w:p w14:paraId="409A2F7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61C3A6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(1,819)</w:t>
            </w:r>
          </w:p>
        </w:tc>
        <w:tc>
          <w:tcPr>
            <w:tcW w:w="272" w:type="dxa"/>
            <w:tcBorders>
              <w:top w:val="nil"/>
              <w:left w:val="nil"/>
              <w:bottom w:val="nil"/>
              <w:right w:val="nil"/>
            </w:tcBorders>
            <w:shd w:val="clear" w:color="auto" w:fill="auto"/>
            <w:noWrap/>
            <w:vAlign w:val="bottom"/>
            <w:hideMark/>
          </w:tcPr>
          <w:p w14:paraId="33F96E84"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nil"/>
              <w:right w:val="nil"/>
            </w:tcBorders>
            <w:shd w:val="clear" w:color="auto" w:fill="auto"/>
            <w:noWrap/>
            <w:vAlign w:val="bottom"/>
            <w:hideMark/>
          </w:tcPr>
          <w:p w14:paraId="0311836A"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915 </w:t>
            </w:r>
          </w:p>
        </w:tc>
        <w:tc>
          <w:tcPr>
            <w:tcW w:w="272" w:type="dxa"/>
            <w:tcBorders>
              <w:top w:val="nil"/>
              <w:left w:val="nil"/>
              <w:bottom w:val="nil"/>
              <w:right w:val="nil"/>
            </w:tcBorders>
            <w:shd w:val="clear" w:color="auto" w:fill="auto"/>
            <w:noWrap/>
            <w:vAlign w:val="bottom"/>
            <w:hideMark/>
          </w:tcPr>
          <w:p w14:paraId="51EB3B9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85A1801"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(3,074)</w:t>
            </w:r>
          </w:p>
        </w:tc>
      </w:tr>
      <w:tr w:rsidR="00702061" w:rsidRPr="00D146BC" w14:paraId="72D9987B" w14:textId="77777777" w:rsidTr="00567E9D">
        <w:trPr>
          <w:trHeight w:val="640"/>
        </w:trPr>
        <w:tc>
          <w:tcPr>
            <w:tcW w:w="3320" w:type="dxa"/>
            <w:tcBorders>
              <w:top w:val="nil"/>
              <w:left w:val="nil"/>
              <w:bottom w:val="single" w:sz="4" w:space="0" w:color="auto"/>
              <w:right w:val="nil"/>
            </w:tcBorders>
            <w:shd w:val="clear" w:color="auto" w:fill="auto"/>
            <w:vAlign w:val="bottom"/>
            <w:hideMark/>
          </w:tcPr>
          <w:p w14:paraId="15318C5D"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Cash and cash equivalents,</w:t>
            </w:r>
            <w:r w:rsidRPr="00D146BC">
              <w:rPr>
                <w:rFonts w:ascii="Segoe UI" w:eastAsia="Times New Roman" w:hAnsi="Segoe UI" w:cs="Segoe UI"/>
                <w:color w:val="666666"/>
                <w:sz w:val="20"/>
                <w:szCs w:val="20"/>
              </w:rPr>
              <w:br/>
              <w:t xml:space="preserve">   beginning of period</w:t>
            </w:r>
          </w:p>
        </w:tc>
        <w:tc>
          <w:tcPr>
            <w:tcW w:w="1120" w:type="dxa"/>
            <w:tcBorders>
              <w:top w:val="nil"/>
              <w:left w:val="nil"/>
              <w:bottom w:val="single" w:sz="4" w:space="0" w:color="auto"/>
              <w:right w:val="nil"/>
            </w:tcBorders>
            <w:shd w:val="clear" w:color="auto" w:fill="auto"/>
            <w:noWrap/>
            <w:vAlign w:val="bottom"/>
            <w:hideMark/>
          </w:tcPr>
          <w:p w14:paraId="28E275D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7,170 </w:t>
            </w:r>
          </w:p>
        </w:tc>
        <w:tc>
          <w:tcPr>
            <w:tcW w:w="272" w:type="dxa"/>
            <w:tcBorders>
              <w:top w:val="nil"/>
              <w:left w:val="nil"/>
              <w:bottom w:val="nil"/>
              <w:right w:val="nil"/>
            </w:tcBorders>
            <w:shd w:val="clear" w:color="auto" w:fill="auto"/>
            <w:noWrap/>
            <w:vAlign w:val="bottom"/>
            <w:hideMark/>
          </w:tcPr>
          <w:p w14:paraId="12CECF4F"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22F3D142"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7,414 </w:t>
            </w:r>
          </w:p>
        </w:tc>
        <w:tc>
          <w:tcPr>
            <w:tcW w:w="272" w:type="dxa"/>
            <w:tcBorders>
              <w:top w:val="nil"/>
              <w:left w:val="nil"/>
              <w:bottom w:val="nil"/>
              <w:right w:val="nil"/>
            </w:tcBorders>
            <w:shd w:val="clear" w:color="auto" w:fill="auto"/>
            <w:noWrap/>
            <w:vAlign w:val="bottom"/>
            <w:hideMark/>
          </w:tcPr>
          <w:p w14:paraId="7EAF965B"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single" w:sz="4" w:space="0" w:color="auto"/>
              <w:right w:val="nil"/>
            </w:tcBorders>
            <w:shd w:val="clear" w:color="auto" w:fill="auto"/>
            <w:noWrap/>
            <w:vAlign w:val="bottom"/>
            <w:hideMark/>
          </w:tcPr>
          <w:p w14:paraId="312828E8"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5,595 </w:t>
            </w:r>
          </w:p>
        </w:tc>
        <w:tc>
          <w:tcPr>
            <w:tcW w:w="272" w:type="dxa"/>
            <w:tcBorders>
              <w:top w:val="nil"/>
              <w:left w:val="nil"/>
              <w:bottom w:val="nil"/>
              <w:right w:val="nil"/>
            </w:tcBorders>
            <w:shd w:val="clear" w:color="auto" w:fill="auto"/>
            <w:noWrap/>
            <w:vAlign w:val="bottom"/>
            <w:hideMark/>
          </w:tcPr>
          <w:p w14:paraId="6CB60BE5"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4" w:space="0" w:color="auto"/>
              <w:right w:val="nil"/>
            </w:tcBorders>
            <w:shd w:val="clear" w:color="auto" w:fill="auto"/>
            <w:noWrap/>
            <w:vAlign w:val="bottom"/>
            <w:hideMark/>
          </w:tcPr>
          <w:p w14:paraId="1EF33233"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8,669 </w:t>
            </w:r>
          </w:p>
        </w:tc>
      </w:tr>
      <w:tr w:rsidR="00702061" w:rsidRPr="00D146BC" w14:paraId="53015FA2" w14:textId="77777777" w:rsidTr="00567E9D">
        <w:trPr>
          <w:trHeight w:val="640"/>
        </w:trPr>
        <w:tc>
          <w:tcPr>
            <w:tcW w:w="3320" w:type="dxa"/>
            <w:tcBorders>
              <w:top w:val="nil"/>
              <w:left w:val="nil"/>
              <w:bottom w:val="nil"/>
              <w:right w:val="nil"/>
            </w:tcBorders>
            <w:shd w:val="clear" w:color="auto" w:fill="auto"/>
            <w:vAlign w:val="bottom"/>
            <w:hideMark/>
          </w:tcPr>
          <w:p w14:paraId="20BB8B3D" w14:textId="77777777" w:rsidR="00702061" w:rsidRPr="00D146BC" w:rsidRDefault="00702061" w:rsidP="00282FF2">
            <w:pPr>
              <w:spacing w:after="0" w:line="240" w:lineRule="auto"/>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Cash and cash equivalents, end of</w:t>
            </w:r>
            <w:r w:rsidRPr="00D146BC">
              <w:rPr>
                <w:rFonts w:ascii="Segoe UI" w:eastAsia="Times New Roman" w:hAnsi="Segoe UI" w:cs="Segoe UI"/>
                <w:color w:val="666666"/>
                <w:sz w:val="20"/>
                <w:szCs w:val="20"/>
              </w:rPr>
              <w:br/>
              <w:t xml:space="preserve">   period</w:t>
            </w:r>
          </w:p>
        </w:tc>
        <w:tc>
          <w:tcPr>
            <w:tcW w:w="1120" w:type="dxa"/>
            <w:tcBorders>
              <w:top w:val="nil"/>
              <w:left w:val="nil"/>
              <w:bottom w:val="single" w:sz="8" w:space="0" w:color="auto"/>
              <w:right w:val="nil"/>
            </w:tcBorders>
            <w:shd w:val="clear" w:color="auto" w:fill="auto"/>
            <w:noWrap/>
            <w:vAlign w:val="bottom"/>
            <w:hideMark/>
          </w:tcPr>
          <w:p w14:paraId="55D9740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 $6,510 </w:t>
            </w:r>
          </w:p>
        </w:tc>
        <w:tc>
          <w:tcPr>
            <w:tcW w:w="272" w:type="dxa"/>
            <w:tcBorders>
              <w:top w:val="nil"/>
              <w:left w:val="nil"/>
              <w:bottom w:val="nil"/>
              <w:right w:val="nil"/>
            </w:tcBorders>
            <w:shd w:val="clear" w:color="auto" w:fill="auto"/>
            <w:noWrap/>
            <w:vAlign w:val="bottom"/>
            <w:hideMark/>
          </w:tcPr>
          <w:p w14:paraId="12444A32"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8" w:space="0" w:color="auto"/>
              <w:right w:val="nil"/>
            </w:tcBorders>
            <w:shd w:val="clear" w:color="auto" w:fill="auto"/>
            <w:noWrap/>
            <w:vAlign w:val="bottom"/>
            <w:hideMark/>
          </w:tcPr>
          <w:p w14:paraId="60DF0EFE"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$5,595 </w:t>
            </w:r>
          </w:p>
        </w:tc>
        <w:tc>
          <w:tcPr>
            <w:tcW w:w="272" w:type="dxa"/>
            <w:tcBorders>
              <w:top w:val="nil"/>
              <w:left w:val="nil"/>
              <w:bottom w:val="nil"/>
              <w:right w:val="nil"/>
            </w:tcBorders>
            <w:shd w:val="clear" w:color="auto" w:fill="auto"/>
            <w:noWrap/>
            <w:vAlign w:val="bottom"/>
            <w:hideMark/>
          </w:tcPr>
          <w:p w14:paraId="684F1444"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p>
        </w:tc>
        <w:tc>
          <w:tcPr>
            <w:tcW w:w="1240" w:type="dxa"/>
            <w:tcBorders>
              <w:top w:val="nil"/>
              <w:left w:val="nil"/>
              <w:bottom w:val="single" w:sz="8" w:space="0" w:color="auto"/>
              <w:right w:val="nil"/>
            </w:tcBorders>
            <w:shd w:val="clear" w:color="auto" w:fill="auto"/>
            <w:noWrap/>
            <w:vAlign w:val="bottom"/>
            <w:hideMark/>
          </w:tcPr>
          <w:p w14:paraId="3CC9676B"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r w:rsidRPr="00D146BC">
              <w:rPr>
                <w:rFonts w:ascii="Segoe UI" w:eastAsia="Times New Roman" w:hAnsi="Segoe UI" w:cs="Segoe UI"/>
                <w:b/>
                <w:bCs/>
                <w:color w:val="666666"/>
                <w:sz w:val="20"/>
                <w:szCs w:val="20"/>
              </w:rPr>
              <w:t xml:space="preserve"> $6,510 </w:t>
            </w:r>
          </w:p>
        </w:tc>
        <w:tc>
          <w:tcPr>
            <w:tcW w:w="272" w:type="dxa"/>
            <w:tcBorders>
              <w:top w:val="nil"/>
              <w:left w:val="nil"/>
              <w:bottom w:val="nil"/>
              <w:right w:val="nil"/>
            </w:tcBorders>
            <w:shd w:val="clear" w:color="auto" w:fill="auto"/>
            <w:noWrap/>
            <w:vAlign w:val="bottom"/>
            <w:hideMark/>
          </w:tcPr>
          <w:p w14:paraId="1591513C" w14:textId="77777777" w:rsidR="00702061" w:rsidRPr="00D146BC" w:rsidRDefault="00702061" w:rsidP="00282FF2">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single" w:sz="8" w:space="0" w:color="auto"/>
              <w:right w:val="nil"/>
            </w:tcBorders>
            <w:shd w:val="clear" w:color="auto" w:fill="auto"/>
            <w:noWrap/>
            <w:vAlign w:val="bottom"/>
            <w:hideMark/>
          </w:tcPr>
          <w:p w14:paraId="02E62AB7" w14:textId="77777777" w:rsidR="00702061" w:rsidRPr="00D146BC" w:rsidRDefault="00702061" w:rsidP="00282FF2">
            <w:pPr>
              <w:spacing w:after="0" w:line="240" w:lineRule="auto"/>
              <w:jc w:val="right"/>
              <w:rPr>
                <w:rFonts w:ascii="Segoe UI" w:eastAsia="Times New Roman" w:hAnsi="Segoe UI" w:cs="Segoe UI"/>
                <w:color w:val="666666"/>
                <w:sz w:val="20"/>
                <w:szCs w:val="20"/>
              </w:rPr>
            </w:pPr>
            <w:r w:rsidRPr="00D146BC">
              <w:rPr>
                <w:rFonts w:ascii="Segoe UI" w:eastAsia="Times New Roman" w:hAnsi="Segoe UI" w:cs="Segoe UI"/>
                <w:color w:val="666666"/>
                <w:sz w:val="20"/>
                <w:szCs w:val="20"/>
              </w:rPr>
              <w:t xml:space="preserve"> $5,595 </w:t>
            </w:r>
          </w:p>
        </w:tc>
      </w:tr>
    </w:tbl>
    <w:p w14:paraId="76BEA9AF" w14:textId="77777777" w:rsidR="00702061" w:rsidRDefault="00702061" w:rsidP="00702061">
      <w:r>
        <w:br w:type="page"/>
      </w:r>
    </w:p>
    <w:tbl>
      <w:tblPr>
        <w:tblW w:w="8652" w:type="dxa"/>
        <w:tblInd w:w="-15" w:type="dxa"/>
        <w:tblLook w:val="04A0" w:firstRow="1" w:lastRow="0" w:firstColumn="1" w:lastColumn="0" w:noHBand="0" w:noVBand="1"/>
      </w:tblPr>
      <w:tblGrid>
        <w:gridCol w:w="3320"/>
        <w:gridCol w:w="1060"/>
        <w:gridCol w:w="444"/>
        <w:gridCol w:w="1039"/>
        <w:gridCol w:w="345"/>
        <w:gridCol w:w="1145"/>
        <w:gridCol w:w="359"/>
        <w:gridCol w:w="940"/>
      </w:tblGrid>
      <w:tr w:rsidR="00702061" w:rsidRPr="00907411" w14:paraId="47E78111" w14:textId="77777777" w:rsidTr="00282FF2">
        <w:trPr>
          <w:trHeight w:val="285"/>
        </w:trPr>
        <w:tc>
          <w:tcPr>
            <w:tcW w:w="3320" w:type="dxa"/>
            <w:tcBorders>
              <w:top w:val="nil"/>
              <w:left w:val="nil"/>
              <w:bottom w:val="nil"/>
              <w:right w:val="nil"/>
            </w:tcBorders>
            <w:shd w:val="clear" w:color="000000" w:fill="FFFFFF"/>
            <w:noWrap/>
            <w:vAlign w:val="bottom"/>
            <w:hideMark/>
          </w:tcPr>
          <w:p w14:paraId="0B809BA2"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MICROSOFT CORPORATION</w:t>
            </w:r>
          </w:p>
        </w:tc>
        <w:tc>
          <w:tcPr>
            <w:tcW w:w="1060" w:type="dxa"/>
            <w:tcBorders>
              <w:top w:val="nil"/>
              <w:left w:val="nil"/>
              <w:bottom w:val="nil"/>
              <w:right w:val="nil"/>
            </w:tcBorders>
            <w:shd w:val="clear" w:color="000000" w:fill="FFFFFF"/>
            <w:noWrap/>
            <w:vAlign w:val="bottom"/>
            <w:hideMark/>
          </w:tcPr>
          <w:p w14:paraId="5FDF4F78"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444" w:type="dxa"/>
            <w:tcBorders>
              <w:top w:val="nil"/>
              <w:left w:val="nil"/>
              <w:bottom w:val="nil"/>
              <w:right w:val="nil"/>
            </w:tcBorders>
            <w:shd w:val="clear" w:color="000000" w:fill="FFFFFF"/>
            <w:noWrap/>
            <w:vAlign w:val="bottom"/>
            <w:hideMark/>
          </w:tcPr>
          <w:p w14:paraId="14F8A296"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039" w:type="dxa"/>
            <w:tcBorders>
              <w:top w:val="nil"/>
              <w:left w:val="nil"/>
              <w:bottom w:val="nil"/>
              <w:right w:val="nil"/>
            </w:tcBorders>
            <w:shd w:val="clear" w:color="000000" w:fill="FFFFFF"/>
            <w:noWrap/>
            <w:vAlign w:val="bottom"/>
            <w:hideMark/>
          </w:tcPr>
          <w:p w14:paraId="21820ED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1580FADF"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1024F489"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59" w:type="dxa"/>
            <w:tcBorders>
              <w:top w:val="nil"/>
              <w:left w:val="nil"/>
              <w:bottom w:val="nil"/>
              <w:right w:val="nil"/>
            </w:tcBorders>
            <w:shd w:val="clear" w:color="000000" w:fill="FFFFFF"/>
            <w:noWrap/>
            <w:vAlign w:val="bottom"/>
            <w:hideMark/>
          </w:tcPr>
          <w:p w14:paraId="74C5F618"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697EFE1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4D55C2B3" w14:textId="77777777" w:rsidTr="00282FF2">
        <w:trPr>
          <w:trHeight w:val="285"/>
        </w:trPr>
        <w:tc>
          <w:tcPr>
            <w:tcW w:w="3320" w:type="dxa"/>
            <w:tcBorders>
              <w:top w:val="nil"/>
              <w:left w:val="nil"/>
              <w:bottom w:val="nil"/>
              <w:right w:val="nil"/>
            </w:tcBorders>
            <w:shd w:val="clear" w:color="000000" w:fill="FFFFFF"/>
            <w:noWrap/>
            <w:vAlign w:val="bottom"/>
            <w:hideMark/>
          </w:tcPr>
          <w:p w14:paraId="174F3D8C"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60" w:type="dxa"/>
            <w:tcBorders>
              <w:top w:val="nil"/>
              <w:left w:val="nil"/>
              <w:bottom w:val="nil"/>
              <w:right w:val="nil"/>
            </w:tcBorders>
            <w:shd w:val="clear" w:color="000000" w:fill="FFFFFF"/>
            <w:noWrap/>
            <w:vAlign w:val="bottom"/>
            <w:hideMark/>
          </w:tcPr>
          <w:p w14:paraId="55F8EB91"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444" w:type="dxa"/>
            <w:tcBorders>
              <w:top w:val="nil"/>
              <w:left w:val="nil"/>
              <w:bottom w:val="nil"/>
              <w:right w:val="nil"/>
            </w:tcBorders>
            <w:shd w:val="clear" w:color="000000" w:fill="FFFFFF"/>
            <w:noWrap/>
            <w:vAlign w:val="bottom"/>
            <w:hideMark/>
          </w:tcPr>
          <w:p w14:paraId="4971ECFF"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039" w:type="dxa"/>
            <w:tcBorders>
              <w:top w:val="nil"/>
              <w:left w:val="nil"/>
              <w:bottom w:val="nil"/>
              <w:right w:val="nil"/>
            </w:tcBorders>
            <w:shd w:val="clear" w:color="000000" w:fill="FFFFFF"/>
            <w:noWrap/>
            <w:vAlign w:val="bottom"/>
            <w:hideMark/>
          </w:tcPr>
          <w:p w14:paraId="329DCBE1"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6AA33706"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1282DB8A"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59" w:type="dxa"/>
            <w:tcBorders>
              <w:top w:val="nil"/>
              <w:left w:val="nil"/>
              <w:bottom w:val="nil"/>
              <w:right w:val="nil"/>
            </w:tcBorders>
            <w:shd w:val="clear" w:color="000000" w:fill="FFFFFF"/>
            <w:noWrap/>
            <w:vAlign w:val="bottom"/>
            <w:hideMark/>
          </w:tcPr>
          <w:p w14:paraId="412D085C"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77A69958"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2183F1C6" w14:textId="77777777" w:rsidTr="00282FF2">
        <w:trPr>
          <w:trHeight w:val="285"/>
        </w:trPr>
        <w:tc>
          <w:tcPr>
            <w:tcW w:w="8652" w:type="dxa"/>
            <w:gridSpan w:val="8"/>
            <w:tcBorders>
              <w:top w:val="nil"/>
              <w:left w:val="nil"/>
              <w:bottom w:val="nil"/>
              <w:right w:val="nil"/>
            </w:tcBorders>
            <w:shd w:val="clear" w:color="000000" w:fill="FFFFFF"/>
            <w:noWrap/>
            <w:vAlign w:val="bottom"/>
            <w:hideMark/>
          </w:tcPr>
          <w:p w14:paraId="6E1B1F12"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SEGMENT REVENUE AND OPERATING INCOME</w:t>
            </w:r>
            <w:r>
              <w:rPr>
                <w:rFonts w:ascii="Segoe UI" w:eastAsia="Times New Roman" w:hAnsi="Segoe UI" w:cs="Segoe UI"/>
                <w:color w:val="666666"/>
                <w:sz w:val="20"/>
                <w:szCs w:val="20"/>
              </w:rPr>
              <w:t xml:space="preserve"> (LOSS)</w:t>
            </w:r>
          </w:p>
        </w:tc>
      </w:tr>
      <w:tr w:rsidR="00702061" w:rsidRPr="00907411" w14:paraId="4D119897" w14:textId="77777777" w:rsidTr="00282FF2">
        <w:trPr>
          <w:trHeight w:val="285"/>
        </w:trPr>
        <w:tc>
          <w:tcPr>
            <w:tcW w:w="8652" w:type="dxa"/>
            <w:gridSpan w:val="8"/>
            <w:tcBorders>
              <w:top w:val="nil"/>
              <w:left w:val="nil"/>
              <w:bottom w:val="nil"/>
              <w:right w:val="nil"/>
            </w:tcBorders>
            <w:shd w:val="clear" w:color="000000" w:fill="FFFFFF"/>
            <w:noWrap/>
            <w:vAlign w:val="bottom"/>
            <w:hideMark/>
          </w:tcPr>
          <w:p w14:paraId="5DDEF2B3"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(In millions)(Unaudited)</w:t>
            </w:r>
          </w:p>
        </w:tc>
      </w:tr>
      <w:tr w:rsidR="00702061" w:rsidRPr="00907411" w14:paraId="0A122E03" w14:textId="77777777" w:rsidTr="00282FF2">
        <w:trPr>
          <w:trHeight w:val="285"/>
        </w:trPr>
        <w:tc>
          <w:tcPr>
            <w:tcW w:w="3320" w:type="dxa"/>
            <w:tcBorders>
              <w:top w:val="nil"/>
              <w:left w:val="nil"/>
              <w:bottom w:val="nil"/>
              <w:right w:val="nil"/>
            </w:tcBorders>
            <w:shd w:val="clear" w:color="000000" w:fill="FFFFFF"/>
            <w:noWrap/>
            <w:vAlign w:val="bottom"/>
            <w:hideMark/>
          </w:tcPr>
          <w:p w14:paraId="3717B159"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060" w:type="dxa"/>
            <w:tcBorders>
              <w:top w:val="nil"/>
              <w:left w:val="nil"/>
              <w:bottom w:val="nil"/>
              <w:right w:val="nil"/>
            </w:tcBorders>
            <w:shd w:val="clear" w:color="000000" w:fill="FFFFFF"/>
            <w:noWrap/>
            <w:vAlign w:val="bottom"/>
            <w:hideMark/>
          </w:tcPr>
          <w:p w14:paraId="22FB6AAA"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444" w:type="dxa"/>
            <w:tcBorders>
              <w:top w:val="nil"/>
              <w:left w:val="nil"/>
              <w:bottom w:val="nil"/>
              <w:right w:val="nil"/>
            </w:tcBorders>
            <w:shd w:val="clear" w:color="000000" w:fill="FFFFFF"/>
            <w:noWrap/>
            <w:vAlign w:val="bottom"/>
            <w:hideMark/>
          </w:tcPr>
          <w:p w14:paraId="2237D29A"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039" w:type="dxa"/>
            <w:tcBorders>
              <w:top w:val="nil"/>
              <w:left w:val="nil"/>
              <w:bottom w:val="nil"/>
              <w:right w:val="nil"/>
            </w:tcBorders>
            <w:shd w:val="clear" w:color="000000" w:fill="FFFFFF"/>
            <w:noWrap/>
            <w:vAlign w:val="bottom"/>
            <w:hideMark/>
          </w:tcPr>
          <w:p w14:paraId="5297256D"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0B83AB61"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5552677A"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59" w:type="dxa"/>
            <w:tcBorders>
              <w:top w:val="nil"/>
              <w:left w:val="nil"/>
              <w:bottom w:val="nil"/>
              <w:right w:val="nil"/>
            </w:tcBorders>
            <w:shd w:val="clear" w:color="000000" w:fill="FFFFFF"/>
            <w:noWrap/>
            <w:vAlign w:val="bottom"/>
            <w:hideMark/>
          </w:tcPr>
          <w:p w14:paraId="555898D9"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940" w:type="dxa"/>
            <w:tcBorders>
              <w:top w:val="nil"/>
              <w:left w:val="nil"/>
              <w:bottom w:val="nil"/>
              <w:right w:val="nil"/>
            </w:tcBorders>
            <w:shd w:val="clear" w:color="000000" w:fill="FFFFFF"/>
            <w:noWrap/>
            <w:vAlign w:val="bottom"/>
            <w:hideMark/>
          </w:tcPr>
          <w:p w14:paraId="42EC9B64" w14:textId="77777777" w:rsidR="00702061" w:rsidRPr="00907411" w:rsidRDefault="00702061" w:rsidP="00282FF2">
            <w:pPr>
              <w:spacing w:after="0" w:line="240" w:lineRule="auto"/>
              <w:jc w:val="center"/>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7F1732A9" w14:textId="77777777" w:rsidTr="00282FF2">
        <w:trPr>
          <w:trHeight w:val="285"/>
        </w:trPr>
        <w:tc>
          <w:tcPr>
            <w:tcW w:w="3320" w:type="dxa"/>
            <w:tcBorders>
              <w:top w:val="nil"/>
              <w:left w:val="nil"/>
              <w:bottom w:val="nil"/>
              <w:right w:val="nil"/>
            </w:tcBorders>
            <w:shd w:val="clear" w:color="000000" w:fill="FFFFFF"/>
            <w:noWrap/>
            <w:vAlign w:val="bottom"/>
            <w:hideMark/>
          </w:tcPr>
          <w:p w14:paraId="767BE508"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2543" w:type="dxa"/>
            <w:gridSpan w:val="3"/>
            <w:vMerge w:val="restart"/>
            <w:tcBorders>
              <w:top w:val="nil"/>
              <w:left w:val="nil"/>
              <w:bottom w:val="nil"/>
              <w:right w:val="nil"/>
            </w:tcBorders>
            <w:shd w:val="clear" w:color="000000" w:fill="FFFFFF"/>
            <w:vAlign w:val="bottom"/>
            <w:hideMark/>
          </w:tcPr>
          <w:p w14:paraId="0A0E49BD"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Three Months Ended June 30,</w:t>
            </w:r>
          </w:p>
        </w:tc>
        <w:tc>
          <w:tcPr>
            <w:tcW w:w="345" w:type="dxa"/>
            <w:tcBorders>
              <w:top w:val="nil"/>
              <w:left w:val="nil"/>
              <w:bottom w:val="nil"/>
              <w:right w:val="nil"/>
            </w:tcBorders>
            <w:shd w:val="clear" w:color="000000" w:fill="FFFFFF"/>
            <w:noWrap/>
            <w:vAlign w:val="bottom"/>
            <w:hideMark/>
          </w:tcPr>
          <w:p w14:paraId="612F8571"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2444" w:type="dxa"/>
            <w:gridSpan w:val="3"/>
            <w:vMerge w:val="restart"/>
            <w:tcBorders>
              <w:top w:val="nil"/>
              <w:left w:val="nil"/>
              <w:bottom w:val="nil"/>
              <w:right w:val="nil"/>
            </w:tcBorders>
            <w:shd w:val="clear" w:color="000000" w:fill="FFFFFF"/>
            <w:vAlign w:val="bottom"/>
            <w:hideMark/>
          </w:tcPr>
          <w:p w14:paraId="771F1936"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Twelve Months Ended June 30,</w:t>
            </w:r>
          </w:p>
        </w:tc>
      </w:tr>
      <w:tr w:rsidR="00702061" w:rsidRPr="00907411" w14:paraId="6C8C35B1" w14:textId="77777777" w:rsidTr="00282FF2">
        <w:trPr>
          <w:trHeight w:val="285"/>
        </w:trPr>
        <w:tc>
          <w:tcPr>
            <w:tcW w:w="3320" w:type="dxa"/>
            <w:tcBorders>
              <w:top w:val="nil"/>
              <w:left w:val="nil"/>
              <w:bottom w:val="nil"/>
              <w:right w:val="nil"/>
            </w:tcBorders>
            <w:shd w:val="clear" w:color="000000" w:fill="FFFFFF"/>
            <w:noWrap/>
            <w:vAlign w:val="bottom"/>
            <w:hideMark/>
          </w:tcPr>
          <w:p w14:paraId="37FF7BF3"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2543" w:type="dxa"/>
            <w:gridSpan w:val="3"/>
            <w:vMerge/>
            <w:tcBorders>
              <w:top w:val="nil"/>
              <w:left w:val="nil"/>
              <w:bottom w:val="nil"/>
              <w:right w:val="nil"/>
            </w:tcBorders>
            <w:vAlign w:val="center"/>
            <w:hideMark/>
          </w:tcPr>
          <w:p w14:paraId="5F42EB2C" w14:textId="77777777" w:rsidR="00702061" w:rsidRPr="00907411" w:rsidRDefault="00702061" w:rsidP="00282FF2">
            <w:pPr>
              <w:spacing w:after="0" w:line="240" w:lineRule="auto"/>
              <w:rPr>
                <w:rFonts w:ascii="Segoe UI" w:eastAsia="Times New Roman" w:hAnsi="Segoe UI" w:cs="Segoe UI"/>
                <w:b/>
                <w:bCs/>
                <w:color w:val="666666"/>
                <w:sz w:val="20"/>
                <w:szCs w:val="20"/>
              </w:rPr>
            </w:pPr>
          </w:p>
        </w:tc>
        <w:tc>
          <w:tcPr>
            <w:tcW w:w="345" w:type="dxa"/>
            <w:tcBorders>
              <w:top w:val="nil"/>
              <w:left w:val="nil"/>
              <w:bottom w:val="nil"/>
              <w:right w:val="nil"/>
            </w:tcBorders>
            <w:shd w:val="clear" w:color="000000" w:fill="FFFFFF"/>
            <w:noWrap/>
            <w:vAlign w:val="bottom"/>
            <w:hideMark/>
          </w:tcPr>
          <w:p w14:paraId="2544E548"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2444" w:type="dxa"/>
            <w:gridSpan w:val="3"/>
            <w:vMerge/>
            <w:tcBorders>
              <w:top w:val="nil"/>
              <w:left w:val="nil"/>
              <w:bottom w:val="nil"/>
              <w:right w:val="nil"/>
            </w:tcBorders>
            <w:vAlign w:val="center"/>
            <w:hideMark/>
          </w:tcPr>
          <w:p w14:paraId="5F1CBD04" w14:textId="77777777" w:rsidR="00702061" w:rsidRPr="00907411" w:rsidRDefault="00702061" w:rsidP="00282FF2">
            <w:pPr>
              <w:spacing w:after="0" w:line="240" w:lineRule="auto"/>
              <w:rPr>
                <w:rFonts w:ascii="Segoe UI" w:eastAsia="Times New Roman" w:hAnsi="Segoe UI" w:cs="Segoe UI"/>
                <w:b/>
                <w:bCs/>
                <w:color w:val="666666"/>
                <w:sz w:val="20"/>
                <w:szCs w:val="20"/>
              </w:rPr>
            </w:pPr>
          </w:p>
        </w:tc>
      </w:tr>
      <w:tr w:rsidR="00702061" w:rsidRPr="00907411" w14:paraId="48ED1F62" w14:textId="77777777" w:rsidTr="00282FF2">
        <w:trPr>
          <w:trHeight w:val="285"/>
        </w:trPr>
        <w:tc>
          <w:tcPr>
            <w:tcW w:w="3320" w:type="dxa"/>
            <w:tcBorders>
              <w:top w:val="nil"/>
              <w:left w:val="nil"/>
              <w:bottom w:val="single" w:sz="4" w:space="0" w:color="auto"/>
              <w:right w:val="nil"/>
            </w:tcBorders>
            <w:shd w:val="clear" w:color="000000" w:fill="FFFFFF"/>
            <w:noWrap/>
            <w:vAlign w:val="bottom"/>
            <w:hideMark/>
          </w:tcPr>
          <w:p w14:paraId="59F4AF13"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60" w:type="dxa"/>
            <w:tcBorders>
              <w:top w:val="nil"/>
              <w:left w:val="nil"/>
              <w:bottom w:val="single" w:sz="4" w:space="0" w:color="auto"/>
              <w:right w:val="nil"/>
            </w:tcBorders>
            <w:shd w:val="clear" w:color="000000" w:fill="FFFFFF"/>
            <w:noWrap/>
            <w:vAlign w:val="bottom"/>
            <w:hideMark/>
          </w:tcPr>
          <w:p w14:paraId="1AED5BC6"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2016</w:t>
            </w:r>
          </w:p>
        </w:tc>
        <w:tc>
          <w:tcPr>
            <w:tcW w:w="444" w:type="dxa"/>
            <w:tcBorders>
              <w:top w:val="nil"/>
              <w:left w:val="nil"/>
              <w:bottom w:val="single" w:sz="4" w:space="0" w:color="auto"/>
              <w:right w:val="nil"/>
            </w:tcBorders>
            <w:shd w:val="clear" w:color="000000" w:fill="FFFFFF"/>
            <w:noWrap/>
            <w:vAlign w:val="bottom"/>
            <w:hideMark/>
          </w:tcPr>
          <w:p w14:paraId="1EE675AD"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single" w:sz="4" w:space="0" w:color="auto"/>
              <w:right w:val="nil"/>
            </w:tcBorders>
            <w:shd w:val="clear" w:color="000000" w:fill="FFFFFF"/>
            <w:noWrap/>
            <w:vAlign w:val="bottom"/>
            <w:hideMark/>
          </w:tcPr>
          <w:p w14:paraId="0A3D30E9"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2015</w:t>
            </w:r>
          </w:p>
        </w:tc>
        <w:tc>
          <w:tcPr>
            <w:tcW w:w="345" w:type="dxa"/>
            <w:tcBorders>
              <w:top w:val="nil"/>
              <w:left w:val="nil"/>
              <w:bottom w:val="single" w:sz="4" w:space="0" w:color="auto"/>
              <w:right w:val="nil"/>
            </w:tcBorders>
            <w:shd w:val="clear" w:color="000000" w:fill="FFFFFF"/>
            <w:noWrap/>
            <w:vAlign w:val="bottom"/>
            <w:hideMark/>
          </w:tcPr>
          <w:p w14:paraId="688A23EC" w14:textId="77777777" w:rsidR="00702061" w:rsidRPr="00907411" w:rsidRDefault="00702061" w:rsidP="00282FF2">
            <w:pPr>
              <w:spacing w:after="0" w:line="240" w:lineRule="auto"/>
              <w:jc w:val="center"/>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145" w:type="dxa"/>
            <w:tcBorders>
              <w:top w:val="nil"/>
              <w:left w:val="nil"/>
              <w:bottom w:val="single" w:sz="4" w:space="0" w:color="auto"/>
              <w:right w:val="nil"/>
            </w:tcBorders>
            <w:shd w:val="clear" w:color="000000" w:fill="FFFFFF"/>
            <w:noWrap/>
            <w:vAlign w:val="bottom"/>
            <w:hideMark/>
          </w:tcPr>
          <w:p w14:paraId="1691074D"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2016</w:t>
            </w:r>
          </w:p>
        </w:tc>
        <w:tc>
          <w:tcPr>
            <w:tcW w:w="359" w:type="dxa"/>
            <w:tcBorders>
              <w:top w:val="nil"/>
              <w:left w:val="nil"/>
              <w:bottom w:val="single" w:sz="4" w:space="0" w:color="auto"/>
              <w:right w:val="nil"/>
            </w:tcBorders>
            <w:shd w:val="clear" w:color="000000" w:fill="FFFFFF"/>
            <w:noWrap/>
            <w:vAlign w:val="bottom"/>
            <w:hideMark/>
          </w:tcPr>
          <w:p w14:paraId="54D1E465"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000000" w:fill="FFFFFF"/>
            <w:noWrap/>
            <w:vAlign w:val="bottom"/>
            <w:hideMark/>
          </w:tcPr>
          <w:p w14:paraId="1333E537"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2015</w:t>
            </w:r>
          </w:p>
        </w:tc>
      </w:tr>
      <w:tr w:rsidR="00702061" w:rsidRPr="00907411" w14:paraId="0057234C" w14:textId="77777777" w:rsidTr="00282FF2">
        <w:trPr>
          <w:trHeight w:val="285"/>
        </w:trPr>
        <w:tc>
          <w:tcPr>
            <w:tcW w:w="3320" w:type="dxa"/>
            <w:tcBorders>
              <w:top w:val="nil"/>
              <w:left w:val="nil"/>
              <w:bottom w:val="nil"/>
              <w:right w:val="nil"/>
            </w:tcBorders>
            <w:shd w:val="clear" w:color="000000" w:fill="FFFFFF"/>
            <w:noWrap/>
            <w:vAlign w:val="bottom"/>
            <w:hideMark/>
          </w:tcPr>
          <w:p w14:paraId="4BD9D97A"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Revenue</w:t>
            </w:r>
          </w:p>
        </w:tc>
        <w:tc>
          <w:tcPr>
            <w:tcW w:w="1060" w:type="dxa"/>
            <w:tcBorders>
              <w:top w:val="nil"/>
              <w:left w:val="nil"/>
              <w:bottom w:val="nil"/>
              <w:right w:val="nil"/>
            </w:tcBorders>
            <w:shd w:val="clear" w:color="000000" w:fill="FFFFFF"/>
            <w:noWrap/>
            <w:vAlign w:val="bottom"/>
            <w:hideMark/>
          </w:tcPr>
          <w:p w14:paraId="7F790637"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444" w:type="dxa"/>
            <w:tcBorders>
              <w:top w:val="nil"/>
              <w:left w:val="nil"/>
              <w:bottom w:val="nil"/>
              <w:right w:val="nil"/>
            </w:tcBorders>
            <w:shd w:val="clear" w:color="000000" w:fill="FFFFFF"/>
            <w:noWrap/>
            <w:vAlign w:val="bottom"/>
            <w:hideMark/>
          </w:tcPr>
          <w:p w14:paraId="60F07792"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0428052B"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0E5AF008"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51B7193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359" w:type="dxa"/>
            <w:tcBorders>
              <w:top w:val="nil"/>
              <w:left w:val="nil"/>
              <w:bottom w:val="nil"/>
              <w:right w:val="nil"/>
            </w:tcBorders>
            <w:shd w:val="clear" w:color="000000" w:fill="FFFFFF"/>
            <w:noWrap/>
            <w:vAlign w:val="bottom"/>
            <w:hideMark/>
          </w:tcPr>
          <w:p w14:paraId="784FBA5B"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25AD31AB"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58CFF627" w14:textId="77777777" w:rsidTr="00282FF2">
        <w:trPr>
          <w:trHeight w:val="315"/>
        </w:trPr>
        <w:tc>
          <w:tcPr>
            <w:tcW w:w="3320" w:type="dxa"/>
            <w:tcBorders>
              <w:top w:val="nil"/>
              <w:left w:val="nil"/>
              <w:bottom w:val="nil"/>
              <w:right w:val="nil"/>
            </w:tcBorders>
            <w:shd w:val="clear" w:color="000000" w:fill="FFFFFF"/>
            <w:noWrap/>
            <w:vAlign w:val="bottom"/>
            <w:hideMark/>
          </w:tcPr>
          <w:p w14:paraId="29F1DA9A"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Productivity and Business Processes</w:t>
            </w:r>
          </w:p>
        </w:tc>
        <w:tc>
          <w:tcPr>
            <w:tcW w:w="1060" w:type="dxa"/>
            <w:tcBorders>
              <w:top w:val="nil"/>
              <w:left w:val="nil"/>
              <w:bottom w:val="nil"/>
              <w:right w:val="nil"/>
            </w:tcBorders>
            <w:shd w:val="clear" w:color="000000" w:fill="FFFFFF"/>
            <w:noWrap/>
            <w:vAlign w:val="bottom"/>
            <w:hideMark/>
          </w:tcPr>
          <w:p w14:paraId="3E5BFE12"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$6,969 </w:t>
            </w:r>
          </w:p>
        </w:tc>
        <w:tc>
          <w:tcPr>
            <w:tcW w:w="444" w:type="dxa"/>
            <w:tcBorders>
              <w:top w:val="nil"/>
              <w:left w:val="nil"/>
              <w:bottom w:val="nil"/>
              <w:right w:val="nil"/>
            </w:tcBorders>
            <w:shd w:val="clear" w:color="000000" w:fill="FFFFFF"/>
            <w:noWrap/>
            <w:vAlign w:val="bottom"/>
            <w:hideMark/>
          </w:tcPr>
          <w:p w14:paraId="6A2EBC46"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1039" w:type="dxa"/>
            <w:tcBorders>
              <w:top w:val="nil"/>
              <w:left w:val="nil"/>
              <w:bottom w:val="nil"/>
              <w:right w:val="nil"/>
            </w:tcBorders>
            <w:shd w:val="clear" w:color="000000" w:fill="FFFFFF"/>
            <w:noWrap/>
            <w:vAlign w:val="bottom"/>
            <w:hideMark/>
          </w:tcPr>
          <w:p w14:paraId="1DF9AB10"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$6,66</w:t>
            </w:r>
            <w:r>
              <w:rPr>
                <w:rFonts w:ascii="Segoe UI" w:eastAsia="Times New Roman" w:hAnsi="Segoe UI" w:cs="Segoe UI"/>
                <w:color w:val="666666"/>
                <w:sz w:val="20"/>
                <w:szCs w:val="20"/>
              </w:rPr>
              <w:t>1</w:t>
            </w:r>
            <w:r w:rsidRPr="00907411">
              <w:rPr>
                <w:rFonts w:ascii="Segoe UI" w:eastAsia="Times New Roman" w:hAnsi="Segoe UI" w:cs="Segoe UI"/>
                <w:color w:val="666666"/>
                <w:sz w:val="20"/>
                <w:szCs w:val="20"/>
              </w:rPr>
              <w:t xml:space="preserve"> </w:t>
            </w:r>
          </w:p>
        </w:tc>
        <w:tc>
          <w:tcPr>
            <w:tcW w:w="345" w:type="dxa"/>
            <w:tcBorders>
              <w:top w:val="nil"/>
              <w:left w:val="nil"/>
              <w:bottom w:val="nil"/>
              <w:right w:val="nil"/>
            </w:tcBorders>
            <w:shd w:val="clear" w:color="000000" w:fill="FFFFFF"/>
            <w:noWrap/>
            <w:vAlign w:val="bottom"/>
            <w:hideMark/>
          </w:tcPr>
          <w:p w14:paraId="0E24524B"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2275B3AE"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$26,487 </w:t>
            </w:r>
          </w:p>
        </w:tc>
        <w:tc>
          <w:tcPr>
            <w:tcW w:w="359" w:type="dxa"/>
            <w:tcBorders>
              <w:top w:val="nil"/>
              <w:left w:val="nil"/>
              <w:bottom w:val="nil"/>
              <w:right w:val="nil"/>
            </w:tcBorders>
            <w:shd w:val="clear" w:color="000000" w:fill="FFFFFF"/>
            <w:noWrap/>
            <w:vAlign w:val="bottom"/>
            <w:hideMark/>
          </w:tcPr>
          <w:p w14:paraId="187AE90A"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940" w:type="dxa"/>
            <w:tcBorders>
              <w:top w:val="nil"/>
              <w:left w:val="nil"/>
              <w:bottom w:val="nil"/>
              <w:right w:val="nil"/>
            </w:tcBorders>
            <w:shd w:val="clear" w:color="000000" w:fill="FFFFFF"/>
            <w:noWrap/>
            <w:vAlign w:val="bottom"/>
            <w:hideMark/>
          </w:tcPr>
          <w:p w14:paraId="3E4ADB68"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$26,43</w:t>
            </w:r>
            <w:r>
              <w:rPr>
                <w:rFonts w:ascii="Segoe UI" w:eastAsia="Times New Roman" w:hAnsi="Segoe UI" w:cs="Segoe UI"/>
                <w:color w:val="666666"/>
                <w:sz w:val="20"/>
                <w:szCs w:val="20"/>
              </w:rPr>
              <w:t>0</w:t>
            </w:r>
            <w:r w:rsidRPr="00907411">
              <w:rPr>
                <w:rFonts w:ascii="Segoe UI" w:eastAsia="Times New Roman" w:hAnsi="Segoe UI" w:cs="Segoe UI"/>
                <w:color w:val="666666"/>
                <w:sz w:val="20"/>
                <w:szCs w:val="20"/>
              </w:rPr>
              <w:t xml:space="preserve"> </w:t>
            </w:r>
          </w:p>
        </w:tc>
      </w:tr>
      <w:tr w:rsidR="00702061" w:rsidRPr="00907411" w14:paraId="167F8D47" w14:textId="77777777" w:rsidTr="00282FF2">
        <w:trPr>
          <w:trHeight w:val="285"/>
        </w:trPr>
        <w:tc>
          <w:tcPr>
            <w:tcW w:w="3320" w:type="dxa"/>
            <w:tcBorders>
              <w:top w:val="nil"/>
              <w:left w:val="nil"/>
              <w:bottom w:val="nil"/>
              <w:right w:val="nil"/>
            </w:tcBorders>
            <w:shd w:val="clear" w:color="000000" w:fill="FFFFFF"/>
            <w:vAlign w:val="bottom"/>
            <w:hideMark/>
          </w:tcPr>
          <w:p w14:paraId="3D231A0C"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Intelligent Cloud</w:t>
            </w:r>
          </w:p>
        </w:tc>
        <w:tc>
          <w:tcPr>
            <w:tcW w:w="1060" w:type="dxa"/>
            <w:tcBorders>
              <w:top w:val="nil"/>
              <w:left w:val="nil"/>
              <w:bottom w:val="nil"/>
              <w:right w:val="nil"/>
            </w:tcBorders>
            <w:shd w:val="clear" w:color="000000" w:fill="FFFFFF"/>
            <w:noWrap/>
            <w:vAlign w:val="bottom"/>
            <w:hideMark/>
          </w:tcPr>
          <w:p w14:paraId="06AB1D13"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6,711 </w:t>
            </w:r>
          </w:p>
        </w:tc>
        <w:tc>
          <w:tcPr>
            <w:tcW w:w="444" w:type="dxa"/>
            <w:tcBorders>
              <w:top w:val="nil"/>
              <w:left w:val="nil"/>
              <w:bottom w:val="nil"/>
              <w:right w:val="nil"/>
            </w:tcBorders>
            <w:shd w:val="clear" w:color="000000" w:fill="FFFFFF"/>
            <w:noWrap/>
            <w:vAlign w:val="bottom"/>
            <w:hideMark/>
          </w:tcPr>
          <w:p w14:paraId="6D8705C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6FF616CF"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6,296 </w:t>
            </w:r>
          </w:p>
        </w:tc>
        <w:tc>
          <w:tcPr>
            <w:tcW w:w="345" w:type="dxa"/>
            <w:tcBorders>
              <w:top w:val="nil"/>
              <w:left w:val="nil"/>
              <w:bottom w:val="nil"/>
              <w:right w:val="nil"/>
            </w:tcBorders>
            <w:shd w:val="clear" w:color="000000" w:fill="FFFFFF"/>
            <w:noWrap/>
            <w:vAlign w:val="bottom"/>
            <w:hideMark/>
          </w:tcPr>
          <w:p w14:paraId="4ED5E9ED"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7F7C0422"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25,042 </w:t>
            </w:r>
          </w:p>
        </w:tc>
        <w:tc>
          <w:tcPr>
            <w:tcW w:w="359" w:type="dxa"/>
            <w:tcBorders>
              <w:top w:val="nil"/>
              <w:left w:val="nil"/>
              <w:bottom w:val="nil"/>
              <w:right w:val="nil"/>
            </w:tcBorders>
            <w:shd w:val="clear" w:color="000000" w:fill="FFFFFF"/>
            <w:noWrap/>
            <w:vAlign w:val="bottom"/>
            <w:hideMark/>
          </w:tcPr>
          <w:p w14:paraId="53B780C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41D4A9B6"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23,715 </w:t>
            </w:r>
          </w:p>
        </w:tc>
      </w:tr>
      <w:tr w:rsidR="00702061" w:rsidRPr="00907411" w14:paraId="314EA3FC" w14:textId="77777777" w:rsidTr="00282FF2">
        <w:trPr>
          <w:trHeight w:val="285"/>
        </w:trPr>
        <w:tc>
          <w:tcPr>
            <w:tcW w:w="3320" w:type="dxa"/>
            <w:tcBorders>
              <w:top w:val="nil"/>
              <w:left w:val="nil"/>
              <w:bottom w:val="nil"/>
              <w:right w:val="nil"/>
            </w:tcBorders>
            <w:shd w:val="clear" w:color="000000" w:fill="FFFFFF"/>
            <w:noWrap/>
            <w:vAlign w:val="bottom"/>
            <w:hideMark/>
          </w:tcPr>
          <w:p w14:paraId="365B8E52"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More Personal Computing</w:t>
            </w:r>
          </w:p>
        </w:tc>
        <w:tc>
          <w:tcPr>
            <w:tcW w:w="1060" w:type="dxa"/>
            <w:tcBorders>
              <w:top w:val="nil"/>
              <w:left w:val="nil"/>
              <w:bottom w:val="nil"/>
              <w:right w:val="nil"/>
            </w:tcBorders>
            <w:shd w:val="clear" w:color="000000" w:fill="FFFFFF"/>
            <w:noWrap/>
            <w:vAlign w:val="bottom"/>
            <w:hideMark/>
          </w:tcPr>
          <w:p w14:paraId="716FBC19"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8,897 </w:t>
            </w:r>
          </w:p>
        </w:tc>
        <w:tc>
          <w:tcPr>
            <w:tcW w:w="444" w:type="dxa"/>
            <w:tcBorders>
              <w:top w:val="nil"/>
              <w:left w:val="nil"/>
              <w:bottom w:val="nil"/>
              <w:right w:val="nil"/>
            </w:tcBorders>
            <w:shd w:val="clear" w:color="000000" w:fill="FFFFFF"/>
            <w:noWrap/>
            <w:vAlign w:val="bottom"/>
            <w:hideMark/>
          </w:tcPr>
          <w:p w14:paraId="669002E4"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3DCBCFC0"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9,243 </w:t>
            </w:r>
          </w:p>
        </w:tc>
        <w:tc>
          <w:tcPr>
            <w:tcW w:w="345" w:type="dxa"/>
            <w:tcBorders>
              <w:top w:val="nil"/>
              <w:left w:val="nil"/>
              <w:bottom w:val="nil"/>
              <w:right w:val="nil"/>
            </w:tcBorders>
            <w:shd w:val="clear" w:color="000000" w:fill="FFFFFF"/>
            <w:noWrap/>
            <w:vAlign w:val="bottom"/>
            <w:hideMark/>
          </w:tcPr>
          <w:p w14:paraId="4EEDDA4E"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15DCCF36"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40,460 </w:t>
            </w:r>
          </w:p>
        </w:tc>
        <w:tc>
          <w:tcPr>
            <w:tcW w:w="359" w:type="dxa"/>
            <w:tcBorders>
              <w:top w:val="nil"/>
              <w:left w:val="nil"/>
              <w:bottom w:val="nil"/>
              <w:right w:val="nil"/>
            </w:tcBorders>
            <w:shd w:val="clear" w:color="000000" w:fill="FFFFFF"/>
            <w:noWrap/>
            <w:vAlign w:val="bottom"/>
            <w:hideMark/>
          </w:tcPr>
          <w:p w14:paraId="5305FB2B"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27819570"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43,160 </w:t>
            </w:r>
          </w:p>
        </w:tc>
      </w:tr>
      <w:tr w:rsidR="00702061" w:rsidRPr="00907411" w14:paraId="2841B173" w14:textId="77777777" w:rsidTr="00282FF2">
        <w:trPr>
          <w:trHeight w:val="285"/>
        </w:trPr>
        <w:tc>
          <w:tcPr>
            <w:tcW w:w="3320" w:type="dxa"/>
            <w:tcBorders>
              <w:top w:val="nil"/>
              <w:left w:val="nil"/>
              <w:bottom w:val="single" w:sz="4" w:space="0" w:color="auto"/>
              <w:right w:val="nil"/>
            </w:tcBorders>
            <w:shd w:val="clear" w:color="000000" w:fill="FFFFFF"/>
            <w:noWrap/>
            <w:vAlign w:val="bottom"/>
            <w:hideMark/>
          </w:tcPr>
          <w:p w14:paraId="30F5BA2A"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Corporate and Other</w:t>
            </w:r>
          </w:p>
        </w:tc>
        <w:tc>
          <w:tcPr>
            <w:tcW w:w="1060" w:type="dxa"/>
            <w:tcBorders>
              <w:top w:val="nil"/>
              <w:left w:val="nil"/>
              <w:bottom w:val="single" w:sz="4" w:space="0" w:color="auto"/>
              <w:right w:val="nil"/>
            </w:tcBorders>
            <w:shd w:val="clear" w:color="000000" w:fill="FFFFFF"/>
            <w:noWrap/>
            <w:vAlign w:val="bottom"/>
            <w:hideMark/>
          </w:tcPr>
          <w:p w14:paraId="5DF398E6"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(1,963)</w:t>
            </w:r>
          </w:p>
        </w:tc>
        <w:tc>
          <w:tcPr>
            <w:tcW w:w="444" w:type="dxa"/>
            <w:tcBorders>
              <w:top w:val="nil"/>
              <w:left w:val="nil"/>
              <w:bottom w:val="nil"/>
              <w:right w:val="nil"/>
            </w:tcBorders>
            <w:shd w:val="clear" w:color="000000" w:fill="FFFFFF"/>
            <w:noWrap/>
            <w:vAlign w:val="bottom"/>
            <w:hideMark/>
          </w:tcPr>
          <w:p w14:paraId="653D9FDF"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single" w:sz="4" w:space="0" w:color="auto"/>
              <w:right w:val="nil"/>
            </w:tcBorders>
            <w:shd w:val="clear" w:color="000000" w:fill="FFFFFF"/>
            <w:noWrap/>
            <w:vAlign w:val="bottom"/>
            <w:hideMark/>
          </w:tcPr>
          <w:p w14:paraId="082B1292"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(20</w:t>
            </w:r>
            <w:r w:rsidRPr="00907411">
              <w:rPr>
                <w:rFonts w:ascii="Segoe UI" w:eastAsia="Times New Roman" w:hAnsi="Segoe UI" w:cs="Segoe UI"/>
                <w:color w:val="666666"/>
                <w:sz w:val="20"/>
                <w:szCs w:val="20"/>
              </w:rPr>
              <w:t>)</w:t>
            </w:r>
          </w:p>
        </w:tc>
        <w:tc>
          <w:tcPr>
            <w:tcW w:w="345" w:type="dxa"/>
            <w:tcBorders>
              <w:top w:val="nil"/>
              <w:left w:val="nil"/>
              <w:bottom w:val="nil"/>
              <w:right w:val="nil"/>
            </w:tcBorders>
            <w:shd w:val="clear" w:color="000000" w:fill="FFFFFF"/>
            <w:noWrap/>
            <w:vAlign w:val="bottom"/>
            <w:hideMark/>
          </w:tcPr>
          <w:p w14:paraId="7774155F"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single" w:sz="4" w:space="0" w:color="auto"/>
              <w:right w:val="nil"/>
            </w:tcBorders>
            <w:shd w:val="clear" w:color="000000" w:fill="FFFFFF"/>
            <w:noWrap/>
            <w:vAlign w:val="bottom"/>
            <w:hideMark/>
          </w:tcPr>
          <w:p w14:paraId="3B64CF67"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(6,669)</w:t>
            </w:r>
          </w:p>
        </w:tc>
        <w:tc>
          <w:tcPr>
            <w:tcW w:w="359" w:type="dxa"/>
            <w:tcBorders>
              <w:top w:val="nil"/>
              <w:left w:val="nil"/>
              <w:bottom w:val="nil"/>
              <w:right w:val="nil"/>
            </w:tcBorders>
            <w:shd w:val="clear" w:color="000000" w:fill="FFFFFF"/>
            <w:noWrap/>
            <w:vAlign w:val="bottom"/>
            <w:hideMark/>
          </w:tcPr>
          <w:p w14:paraId="25757FDB"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000000" w:fill="FFFFFF"/>
            <w:noWrap/>
            <w:vAlign w:val="bottom"/>
            <w:hideMark/>
          </w:tcPr>
          <w:p w14:paraId="27B6BB71"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27</w:t>
            </w:r>
            <w:r>
              <w:rPr>
                <w:rFonts w:ascii="Segoe UI" w:eastAsia="Times New Roman" w:hAnsi="Segoe UI" w:cs="Segoe UI"/>
                <w:color w:val="666666"/>
                <w:sz w:val="20"/>
                <w:szCs w:val="20"/>
              </w:rPr>
              <w:t>5</w:t>
            </w:r>
            <w:r w:rsidRPr="00907411">
              <w:rPr>
                <w:rFonts w:ascii="Segoe UI" w:eastAsia="Times New Roman" w:hAnsi="Segoe UI" w:cs="Segoe UI"/>
                <w:color w:val="666666"/>
                <w:sz w:val="20"/>
                <w:szCs w:val="20"/>
              </w:rPr>
              <w:t xml:space="preserve"> </w:t>
            </w:r>
          </w:p>
        </w:tc>
      </w:tr>
      <w:tr w:rsidR="00702061" w:rsidRPr="00907411" w14:paraId="606E8E45" w14:textId="77777777" w:rsidTr="00282FF2">
        <w:trPr>
          <w:trHeight w:val="300"/>
        </w:trPr>
        <w:tc>
          <w:tcPr>
            <w:tcW w:w="3320" w:type="dxa"/>
            <w:tcBorders>
              <w:top w:val="nil"/>
              <w:left w:val="nil"/>
              <w:bottom w:val="nil"/>
              <w:right w:val="nil"/>
            </w:tcBorders>
            <w:shd w:val="clear" w:color="000000" w:fill="FFFFFF"/>
            <w:noWrap/>
            <w:vAlign w:val="bottom"/>
            <w:hideMark/>
          </w:tcPr>
          <w:p w14:paraId="7B41429E"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Total revenue</w:t>
            </w:r>
          </w:p>
        </w:tc>
        <w:tc>
          <w:tcPr>
            <w:tcW w:w="1060" w:type="dxa"/>
            <w:tcBorders>
              <w:top w:val="nil"/>
              <w:left w:val="nil"/>
              <w:bottom w:val="single" w:sz="8" w:space="0" w:color="auto"/>
              <w:right w:val="nil"/>
            </w:tcBorders>
            <w:shd w:val="clear" w:color="000000" w:fill="FFFFFF"/>
            <w:noWrap/>
            <w:vAlign w:val="bottom"/>
            <w:hideMark/>
          </w:tcPr>
          <w:p w14:paraId="11A5B04C"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$20,614 </w:t>
            </w:r>
          </w:p>
        </w:tc>
        <w:tc>
          <w:tcPr>
            <w:tcW w:w="444" w:type="dxa"/>
            <w:tcBorders>
              <w:top w:val="nil"/>
              <w:left w:val="nil"/>
              <w:bottom w:val="nil"/>
              <w:right w:val="nil"/>
            </w:tcBorders>
            <w:shd w:val="clear" w:color="000000" w:fill="FFFFFF"/>
            <w:noWrap/>
            <w:vAlign w:val="bottom"/>
            <w:hideMark/>
          </w:tcPr>
          <w:p w14:paraId="1C6901B1"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single" w:sz="8" w:space="0" w:color="auto"/>
              <w:right w:val="nil"/>
            </w:tcBorders>
            <w:shd w:val="clear" w:color="000000" w:fill="FFFFFF"/>
            <w:noWrap/>
            <w:vAlign w:val="bottom"/>
            <w:hideMark/>
          </w:tcPr>
          <w:p w14:paraId="0372B1FB"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$22,180 </w:t>
            </w:r>
          </w:p>
        </w:tc>
        <w:tc>
          <w:tcPr>
            <w:tcW w:w="345" w:type="dxa"/>
            <w:tcBorders>
              <w:top w:val="nil"/>
              <w:left w:val="nil"/>
              <w:bottom w:val="nil"/>
              <w:right w:val="nil"/>
            </w:tcBorders>
            <w:shd w:val="clear" w:color="000000" w:fill="FFFFFF"/>
            <w:noWrap/>
            <w:vAlign w:val="bottom"/>
            <w:hideMark/>
          </w:tcPr>
          <w:p w14:paraId="62229305"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single" w:sz="8" w:space="0" w:color="auto"/>
              <w:right w:val="nil"/>
            </w:tcBorders>
            <w:shd w:val="clear" w:color="000000" w:fill="FFFFFF"/>
            <w:noWrap/>
            <w:vAlign w:val="bottom"/>
            <w:hideMark/>
          </w:tcPr>
          <w:p w14:paraId="636F006E"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$85,320 </w:t>
            </w:r>
          </w:p>
        </w:tc>
        <w:tc>
          <w:tcPr>
            <w:tcW w:w="359" w:type="dxa"/>
            <w:tcBorders>
              <w:top w:val="nil"/>
              <w:left w:val="nil"/>
              <w:bottom w:val="nil"/>
              <w:right w:val="nil"/>
            </w:tcBorders>
            <w:shd w:val="clear" w:color="000000" w:fill="FFFFFF"/>
            <w:noWrap/>
            <w:vAlign w:val="bottom"/>
            <w:hideMark/>
          </w:tcPr>
          <w:p w14:paraId="34705F18"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single" w:sz="8" w:space="0" w:color="auto"/>
              <w:right w:val="nil"/>
            </w:tcBorders>
            <w:shd w:val="clear" w:color="000000" w:fill="FFFFFF"/>
            <w:noWrap/>
            <w:vAlign w:val="bottom"/>
            <w:hideMark/>
          </w:tcPr>
          <w:p w14:paraId="55FCDB1B"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$93,580 </w:t>
            </w:r>
          </w:p>
        </w:tc>
      </w:tr>
      <w:tr w:rsidR="00702061" w:rsidRPr="00907411" w14:paraId="36950452" w14:textId="77777777" w:rsidTr="00282FF2">
        <w:trPr>
          <w:trHeight w:val="285"/>
        </w:trPr>
        <w:tc>
          <w:tcPr>
            <w:tcW w:w="3320" w:type="dxa"/>
            <w:tcBorders>
              <w:top w:val="nil"/>
              <w:left w:val="nil"/>
              <w:bottom w:val="nil"/>
              <w:right w:val="nil"/>
            </w:tcBorders>
            <w:shd w:val="clear" w:color="000000" w:fill="FFFFFF"/>
            <w:noWrap/>
            <w:vAlign w:val="bottom"/>
            <w:hideMark/>
          </w:tcPr>
          <w:p w14:paraId="0C54E9C0"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060" w:type="dxa"/>
            <w:tcBorders>
              <w:top w:val="nil"/>
              <w:left w:val="nil"/>
              <w:bottom w:val="nil"/>
              <w:right w:val="nil"/>
            </w:tcBorders>
            <w:shd w:val="clear" w:color="000000" w:fill="FFFFFF"/>
            <w:noWrap/>
            <w:vAlign w:val="bottom"/>
            <w:hideMark/>
          </w:tcPr>
          <w:p w14:paraId="309827D1"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444" w:type="dxa"/>
            <w:tcBorders>
              <w:top w:val="nil"/>
              <w:left w:val="nil"/>
              <w:bottom w:val="nil"/>
              <w:right w:val="nil"/>
            </w:tcBorders>
            <w:shd w:val="clear" w:color="000000" w:fill="FFFFFF"/>
            <w:noWrap/>
            <w:vAlign w:val="bottom"/>
            <w:hideMark/>
          </w:tcPr>
          <w:p w14:paraId="583C5830"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1E100C6C"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68B93CAF"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255A0148"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359" w:type="dxa"/>
            <w:tcBorders>
              <w:top w:val="nil"/>
              <w:left w:val="nil"/>
              <w:bottom w:val="nil"/>
              <w:right w:val="nil"/>
            </w:tcBorders>
            <w:shd w:val="clear" w:color="000000" w:fill="FFFFFF"/>
            <w:noWrap/>
            <w:vAlign w:val="bottom"/>
            <w:hideMark/>
          </w:tcPr>
          <w:p w14:paraId="08EFFCBA"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79BF2FA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38269A1F" w14:textId="77777777" w:rsidTr="00282FF2">
        <w:trPr>
          <w:trHeight w:val="285"/>
        </w:trPr>
        <w:tc>
          <w:tcPr>
            <w:tcW w:w="3320" w:type="dxa"/>
            <w:tcBorders>
              <w:top w:val="nil"/>
              <w:left w:val="nil"/>
              <w:bottom w:val="nil"/>
              <w:right w:val="nil"/>
            </w:tcBorders>
            <w:shd w:val="clear" w:color="000000" w:fill="FFFFFF"/>
            <w:noWrap/>
            <w:vAlign w:val="bottom"/>
            <w:hideMark/>
          </w:tcPr>
          <w:p w14:paraId="0DD39D07" w14:textId="77777777" w:rsidR="00702061" w:rsidRPr="00907411" w:rsidRDefault="00702061" w:rsidP="00282FF2">
            <w:pPr>
              <w:spacing w:after="0" w:line="240"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Operating income (l</w:t>
            </w:r>
            <w:r w:rsidRPr="00907411">
              <w:rPr>
                <w:rFonts w:ascii="Segoe UI" w:eastAsia="Times New Roman" w:hAnsi="Segoe UI" w:cs="Segoe UI"/>
                <w:b/>
                <w:bCs/>
                <w:color w:val="666666"/>
                <w:sz w:val="20"/>
                <w:szCs w:val="20"/>
              </w:rPr>
              <w:t>oss)</w:t>
            </w:r>
          </w:p>
        </w:tc>
        <w:tc>
          <w:tcPr>
            <w:tcW w:w="1060" w:type="dxa"/>
            <w:tcBorders>
              <w:top w:val="nil"/>
              <w:left w:val="nil"/>
              <w:bottom w:val="nil"/>
              <w:right w:val="nil"/>
            </w:tcBorders>
            <w:shd w:val="clear" w:color="000000" w:fill="FFFFFF"/>
            <w:noWrap/>
            <w:vAlign w:val="bottom"/>
            <w:hideMark/>
          </w:tcPr>
          <w:p w14:paraId="0A3BC3D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444" w:type="dxa"/>
            <w:tcBorders>
              <w:top w:val="nil"/>
              <w:left w:val="nil"/>
              <w:bottom w:val="nil"/>
              <w:right w:val="nil"/>
            </w:tcBorders>
            <w:shd w:val="clear" w:color="000000" w:fill="FFFFFF"/>
            <w:noWrap/>
            <w:vAlign w:val="bottom"/>
            <w:hideMark/>
          </w:tcPr>
          <w:p w14:paraId="31D53F6A"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5CEE8858"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345" w:type="dxa"/>
            <w:tcBorders>
              <w:top w:val="nil"/>
              <w:left w:val="nil"/>
              <w:bottom w:val="nil"/>
              <w:right w:val="nil"/>
            </w:tcBorders>
            <w:shd w:val="clear" w:color="000000" w:fill="FFFFFF"/>
            <w:noWrap/>
            <w:vAlign w:val="bottom"/>
            <w:hideMark/>
          </w:tcPr>
          <w:p w14:paraId="45F172B5"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5ACA6251"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359" w:type="dxa"/>
            <w:tcBorders>
              <w:top w:val="nil"/>
              <w:left w:val="nil"/>
              <w:bottom w:val="nil"/>
              <w:right w:val="nil"/>
            </w:tcBorders>
            <w:shd w:val="clear" w:color="000000" w:fill="FFFFFF"/>
            <w:noWrap/>
            <w:vAlign w:val="bottom"/>
            <w:hideMark/>
          </w:tcPr>
          <w:p w14:paraId="212AB217"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7DFEEF13"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r>
      <w:tr w:rsidR="00702061" w:rsidRPr="00907411" w14:paraId="0932E9C4" w14:textId="77777777" w:rsidTr="00282FF2">
        <w:trPr>
          <w:trHeight w:val="285"/>
        </w:trPr>
        <w:tc>
          <w:tcPr>
            <w:tcW w:w="3320" w:type="dxa"/>
            <w:tcBorders>
              <w:top w:val="nil"/>
              <w:left w:val="nil"/>
              <w:bottom w:val="nil"/>
              <w:right w:val="nil"/>
            </w:tcBorders>
            <w:shd w:val="clear" w:color="000000" w:fill="FFFFFF"/>
            <w:noWrap/>
            <w:vAlign w:val="bottom"/>
            <w:hideMark/>
          </w:tcPr>
          <w:p w14:paraId="3BF37898"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Productivity and Business Processes</w:t>
            </w:r>
          </w:p>
        </w:tc>
        <w:tc>
          <w:tcPr>
            <w:tcW w:w="1060" w:type="dxa"/>
            <w:tcBorders>
              <w:top w:val="nil"/>
              <w:left w:val="nil"/>
              <w:bottom w:val="nil"/>
              <w:right w:val="nil"/>
            </w:tcBorders>
            <w:shd w:val="clear" w:color="000000" w:fill="FFFFFF"/>
            <w:noWrap/>
            <w:vAlign w:val="bottom"/>
            <w:hideMark/>
          </w:tcPr>
          <w:p w14:paraId="06663730"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$3,000 </w:t>
            </w:r>
          </w:p>
        </w:tc>
        <w:tc>
          <w:tcPr>
            <w:tcW w:w="444" w:type="dxa"/>
            <w:tcBorders>
              <w:top w:val="nil"/>
              <w:left w:val="nil"/>
              <w:bottom w:val="nil"/>
              <w:right w:val="nil"/>
            </w:tcBorders>
            <w:shd w:val="clear" w:color="000000" w:fill="FFFFFF"/>
            <w:noWrap/>
            <w:vAlign w:val="bottom"/>
            <w:hideMark/>
          </w:tcPr>
          <w:p w14:paraId="1A5FE95B"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nil"/>
              <w:right w:val="nil"/>
            </w:tcBorders>
            <w:shd w:val="clear" w:color="000000" w:fill="FFFFFF"/>
            <w:noWrap/>
            <w:vAlign w:val="bottom"/>
            <w:hideMark/>
          </w:tcPr>
          <w:p w14:paraId="6C881562"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$3,16</w:t>
            </w:r>
            <w:r>
              <w:rPr>
                <w:rFonts w:ascii="Segoe UI" w:eastAsia="Times New Roman" w:hAnsi="Segoe UI" w:cs="Segoe UI"/>
                <w:color w:val="666666"/>
                <w:sz w:val="20"/>
                <w:szCs w:val="20"/>
              </w:rPr>
              <w:t>7</w:t>
            </w:r>
            <w:r w:rsidRPr="00907411">
              <w:rPr>
                <w:rFonts w:ascii="Segoe UI" w:eastAsia="Times New Roman" w:hAnsi="Segoe UI" w:cs="Segoe UI"/>
                <w:color w:val="666666"/>
                <w:sz w:val="20"/>
                <w:szCs w:val="20"/>
              </w:rPr>
              <w:t xml:space="preserve"> </w:t>
            </w:r>
          </w:p>
        </w:tc>
        <w:tc>
          <w:tcPr>
            <w:tcW w:w="345" w:type="dxa"/>
            <w:tcBorders>
              <w:top w:val="nil"/>
              <w:left w:val="nil"/>
              <w:bottom w:val="nil"/>
              <w:right w:val="nil"/>
            </w:tcBorders>
            <w:shd w:val="clear" w:color="000000" w:fill="FFFFFF"/>
            <w:noWrap/>
            <w:vAlign w:val="bottom"/>
            <w:hideMark/>
          </w:tcPr>
          <w:p w14:paraId="3BA93BD3"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6668E4CB"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$12,461 </w:t>
            </w:r>
          </w:p>
        </w:tc>
        <w:tc>
          <w:tcPr>
            <w:tcW w:w="359" w:type="dxa"/>
            <w:tcBorders>
              <w:top w:val="nil"/>
              <w:left w:val="nil"/>
              <w:bottom w:val="nil"/>
              <w:right w:val="nil"/>
            </w:tcBorders>
            <w:shd w:val="clear" w:color="000000" w:fill="FFFFFF"/>
            <w:noWrap/>
            <w:vAlign w:val="bottom"/>
            <w:hideMark/>
          </w:tcPr>
          <w:p w14:paraId="611E2319"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nil"/>
              <w:right w:val="nil"/>
            </w:tcBorders>
            <w:shd w:val="clear" w:color="000000" w:fill="FFFFFF"/>
            <w:noWrap/>
            <w:vAlign w:val="bottom"/>
            <w:hideMark/>
          </w:tcPr>
          <w:p w14:paraId="5C3570B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$13,3</w:t>
            </w:r>
            <w:r>
              <w:rPr>
                <w:rFonts w:ascii="Segoe UI" w:eastAsia="Times New Roman" w:hAnsi="Segoe UI" w:cs="Segoe UI"/>
                <w:color w:val="666666"/>
                <w:sz w:val="20"/>
                <w:szCs w:val="20"/>
              </w:rPr>
              <w:t>59</w:t>
            </w:r>
            <w:r w:rsidRPr="00907411">
              <w:rPr>
                <w:rFonts w:ascii="Segoe UI" w:eastAsia="Times New Roman" w:hAnsi="Segoe UI" w:cs="Segoe UI"/>
                <w:color w:val="666666"/>
                <w:sz w:val="20"/>
                <w:szCs w:val="20"/>
              </w:rPr>
              <w:t xml:space="preserve"> </w:t>
            </w:r>
          </w:p>
        </w:tc>
      </w:tr>
      <w:tr w:rsidR="00702061" w:rsidRPr="00907411" w14:paraId="487C1BD3" w14:textId="77777777" w:rsidTr="00282FF2">
        <w:trPr>
          <w:trHeight w:val="315"/>
        </w:trPr>
        <w:tc>
          <w:tcPr>
            <w:tcW w:w="3320" w:type="dxa"/>
            <w:tcBorders>
              <w:top w:val="nil"/>
              <w:left w:val="nil"/>
              <w:bottom w:val="nil"/>
              <w:right w:val="nil"/>
            </w:tcBorders>
            <w:shd w:val="clear" w:color="000000" w:fill="FFFFFF"/>
            <w:noWrap/>
            <w:vAlign w:val="bottom"/>
            <w:hideMark/>
          </w:tcPr>
          <w:p w14:paraId="013EB549"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Intelligent Cloud</w:t>
            </w:r>
          </w:p>
        </w:tc>
        <w:tc>
          <w:tcPr>
            <w:tcW w:w="1060" w:type="dxa"/>
            <w:tcBorders>
              <w:top w:val="nil"/>
              <w:left w:val="nil"/>
              <w:bottom w:val="nil"/>
              <w:right w:val="nil"/>
            </w:tcBorders>
            <w:shd w:val="clear" w:color="000000" w:fill="FFFFFF"/>
            <w:noWrap/>
            <w:vAlign w:val="bottom"/>
            <w:hideMark/>
          </w:tcPr>
          <w:p w14:paraId="5DBD6405"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2,190 </w:t>
            </w:r>
          </w:p>
        </w:tc>
        <w:tc>
          <w:tcPr>
            <w:tcW w:w="444" w:type="dxa"/>
            <w:tcBorders>
              <w:top w:val="nil"/>
              <w:left w:val="nil"/>
              <w:bottom w:val="nil"/>
              <w:right w:val="nil"/>
            </w:tcBorders>
            <w:shd w:val="clear" w:color="000000" w:fill="FFFFFF"/>
            <w:noWrap/>
            <w:vAlign w:val="bottom"/>
            <w:hideMark/>
          </w:tcPr>
          <w:p w14:paraId="45B2FDFE"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1039" w:type="dxa"/>
            <w:tcBorders>
              <w:top w:val="nil"/>
              <w:left w:val="nil"/>
              <w:bottom w:val="nil"/>
              <w:right w:val="nil"/>
            </w:tcBorders>
            <w:shd w:val="clear" w:color="000000" w:fill="FFFFFF"/>
            <w:noWrap/>
            <w:vAlign w:val="bottom"/>
            <w:hideMark/>
          </w:tcPr>
          <w:p w14:paraId="7EC6C6F8"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2,633 </w:t>
            </w:r>
          </w:p>
        </w:tc>
        <w:tc>
          <w:tcPr>
            <w:tcW w:w="345" w:type="dxa"/>
            <w:tcBorders>
              <w:top w:val="nil"/>
              <w:left w:val="nil"/>
              <w:bottom w:val="nil"/>
              <w:right w:val="nil"/>
            </w:tcBorders>
            <w:shd w:val="clear" w:color="000000" w:fill="FFFFFF"/>
            <w:noWrap/>
            <w:vAlign w:val="bottom"/>
            <w:hideMark/>
          </w:tcPr>
          <w:p w14:paraId="2ACC2629"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74E0B55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9,358 </w:t>
            </w:r>
          </w:p>
        </w:tc>
        <w:tc>
          <w:tcPr>
            <w:tcW w:w="359" w:type="dxa"/>
            <w:tcBorders>
              <w:top w:val="nil"/>
              <w:left w:val="nil"/>
              <w:bottom w:val="nil"/>
              <w:right w:val="nil"/>
            </w:tcBorders>
            <w:shd w:val="clear" w:color="000000" w:fill="FFFFFF"/>
            <w:noWrap/>
            <w:vAlign w:val="bottom"/>
            <w:hideMark/>
          </w:tcPr>
          <w:p w14:paraId="6B9A4251"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940" w:type="dxa"/>
            <w:tcBorders>
              <w:top w:val="nil"/>
              <w:left w:val="nil"/>
              <w:bottom w:val="nil"/>
              <w:right w:val="nil"/>
            </w:tcBorders>
            <w:shd w:val="clear" w:color="000000" w:fill="FFFFFF"/>
            <w:noWrap/>
            <w:vAlign w:val="bottom"/>
            <w:hideMark/>
          </w:tcPr>
          <w:p w14:paraId="17EF0AC0"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9,871 </w:t>
            </w:r>
          </w:p>
        </w:tc>
      </w:tr>
      <w:tr w:rsidR="00702061" w:rsidRPr="00907411" w14:paraId="695F4B2B" w14:textId="77777777" w:rsidTr="00282FF2">
        <w:trPr>
          <w:trHeight w:val="315"/>
        </w:trPr>
        <w:tc>
          <w:tcPr>
            <w:tcW w:w="3320" w:type="dxa"/>
            <w:tcBorders>
              <w:top w:val="nil"/>
              <w:left w:val="nil"/>
              <w:bottom w:val="nil"/>
              <w:right w:val="nil"/>
            </w:tcBorders>
            <w:shd w:val="clear" w:color="000000" w:fill="FFFFFF"/>
            <w:noWrap/>
            <w:vAlign w:val="bottom"/>
            <w:hideMark/>
          </w:tcPr>
          <w:p w14:paraId="5C4450B5"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More Personal Computing</w:t>
            </w:r>
          </w:p>
        </w:tc>
        <w:tc>
          <w:tcPr>
            <w:tcW w:w="1060" w:type="dxa"/>
            <w:tcBorders>
              <w:top w:val="nil"/>
              <w:left w:val="nil"/>
              <w:bottom w:val="nil"/>
              <w:right w:val="nil"/>
            </w:tcBorders>
            <w:shd w:val="clear" w:color="000000" w:fill="FFFFFF"/>
            <w:noWrap/>
            <w:vAlign w:val="bottom"/>
            <w:hideMark/>
          </w:tcPr>
          <w:p w14:paraId="43D90E8A"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964 </w:t>
            </w:r>
          </w:p>
        </w:tc>
        <w:tc>
          <w:tcPr>
            <w:tcW w:w="444" w:type="dxa"/>
            <w:tcBorders>
              <w:top w:val="nil"/>
              <w:left w:val="nil"/>
              <w:bottom w:val="nil"/>
              <w:right w:val="nil"/>
            </w:tcBorders>
            <w:shd w:val="clear" w:color="000000" w:fill="FFFFFF"/>
            <w:noWrap/>
            <w:vAlign w:val="bottom"/>
            <w:hideMark/>
          </w:tcPr>
          <w:p w14:paraId="790F955A"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1039" w:type="dxa"/>
            <w:tcBorders>
              <w:top w:val="nil"/>
              <w:left w:val="nil"/>
              <w:bottom w:val="nil"/>
              <w:right w:val="nil"/>
            </w:tcBorders>
            <w:shd w:val="clear" w:color="000000" w:fill="FFFFFF"/>
            <w:noWrap/>
            <w:vAlign w:val="bottom"/>
            <w:hideMark/>
          </w:tcPr>
          <w:p w14:paraId="65E19A00"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605 </w:t>
            </w:r>
          </w:p>
        </w:tc>
        <w:tc>
          <w:tcPr>
            <w:tcW w:w="345" w:type="dxa"/>
            <w:tcBorders>
              <w:top w:val="nil"/>
              <w:left w:val="nil"/>
              <w:bottom w:val="nil"/>
              <w:right w:val="nil"/>
            </w:tcBorders>
            <w:shd w:val="clear" w:color="000000" w:fill="FFFFFF"/>
            <w:noWrap/>
            <w:vAlign w:val="bottom"/>
            <w:hideMark/>
          </w:tcPr>
          <w:p w14:paraId="1ADDD907"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nil"/>
              <w:right w:val="nil"/>
            </w:tcBorders>
            <w:shd w:val="clear" w:color="000000" w:fill="FFFFFF"/>
            <w:noWrap/>
            <w:vAlign w:val="bottom"/>
            <w:hideMark/>
          </w:tcPr>
          <w:p w14:paraId="4BDBB204"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6,142 </w:t>
            </w:r>
          </w:p>
        </w:tc>
        <w:tc>
          <w:tcPr>
            <w:tcW w:w="359" w:type="dxa"/>
            <w:tcBorders>
              <w:top w:val="nil"/>
              <w:left w:val="nil"/>
              <w:bottom w:val="nil"/>
              <w:right w:val="nil"/>
            </w:tcBorders>
            <w:shd w:val="clear" w:color="000000" w:fill="FFFFFF"/>
            <w:noWrap/>
            <w:vAlign w:val="bottom"/>
            <w:hideMark/>
          </w:tcPr>
          <w:p w14:paraId="46492070"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vertAlign w:val="superscript"/>
              </w:rPr>
              <w:t> </w:t>
            </w:r>
          </w:p>
        </w:tc>
        <w:tc>
          <w:tcPr>
            <w:tcW w:w="940" w:type="dxa"/>
            <w:tcBorders>
              <w:top w:val="nil"/>
              <w:left w:val="nil"/>
              <w:bottom w:val="nil"/>
              <w:right w:val="nil"/>
            </w:tcBorders>
            <w:shd w:val="clear" w:color="000000" w:fill="FFFFFF"/>
            <w:noWrap/>
            <w:vAlign w:val="bottom"/>
            <w:hideMark/>
          </w:tcPr>
          <w:p w14:paraId="7E6E527C"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4,66</w:t>
            </w:r>
            <w:r>
              <w:rPr>
                <w:rFonts w:ascii="Segoe UI" w:eastAsia="Times New Roman" w:hAnsi="Segoe UI" w:cs="Segoe UI"/>
                <w:color w:val="666666"/>
                <w:sz w:val="20"/>
                <w:szCs w:val="20"/>
              </w:rPr>
              <w:t>7</w:t>
            </w:r>
            <w:r w:rsidRPr="00907411">
              <w:rPr>
                <w:rFonts w:ascii="Segoe UI" w:eastAsia="Times New Roman" w:hAnsi="Segoe UI" w:cs="Segoe UI"/>
                <w:color w:val="666666"/>
                <w:sz w:val="20"/>
                <w:szCs w:val="20"/>
              </w:rPr>
              <w:t xml:space="preserve"> </w:t>
            </w:r>
          </w:p>
        </w:tc>
      </w:tr>
      <w:tr w:rsidR="00702061" w:rsidRPr="00907411" w14:paraId="1840AD51" w14:textId="77777777" w:rsidTr="00282FF2">
        <w:trPr>
          <w:trHeight w:val="285"/>
        </w:trPr>
        <w:tc>
          <w:tcPr>
            <w:tcW w:w="3320" w:type="dxa"/>
            <w:tcBorders>
              <w:top w:val="nil"/>
              <w:left w:val="nil"/>
              <w:bottom w:val="single" w:sz="4" w:space="0" w:color="auto"/>
              <w:right w:val="nil"/>
            </w:tcBorders>
            <w:shd w:val="clear" w:color="000000" w:fill="FFFFFF"/>
            <w:noWrap/>
            <w:vAlign w:val="bottom"/>
            <w:hideMark/>
          </w:tcPr>
          <w:p w14:paraId="07D38EA9"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Corporate and Other</w:t>
            </w:r>
          </w:p>
        </w:tc>
        <w:tc>
          <w:tcPr>
            <w:tcW w:w="1060" w:type="dxa"/>
            <w:tcBorders>
              <w:top w:val="nil"/>
              <w:left w:val="nil"/>
              <w:bottom w:val="single" w:sz="4" w:space="0" w:color="auto"/>
              <w:right w:val="nil"/>
            </w:tcBorders>
            <w:shd w:val="clear" w:color="000000" w:fill="FFFFFF"/>
            <w:noWrap/>
            <w:vAlign w:val="bottom"/>
            <w:hideMark/>
          </w:tcPr>
          <w:p w14:paraId="5A149B4C"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(3,074)</w:t>
            </w:r>
          </w:p>
        </w:tc>
        <w:tc>
          <w:tcPr>
            <w:tcW w:w="444" w:type="dxa"/>
            <w:tcBorders>
              <w:top w:val="nil"/>
              <w:left w:val="nil"/>
              <w:bottom w:val="nil"/>
              <w:right w:val="nil"/>
            </w:tcBorders>
            <w:shd w:val="clear" w:color="000000" w:fill="FFFFFF"/>
            <w:noWrap/>
            <w:vAlign w:val="bottom"/>
            <w:hideMark/>
          </w:tcPr>
          <w:p w14:paraId="63968B66"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single" w:sz="4" w:space="0" w:color="auto"/>
              <w:right w:val="nil"/>
            </w:tcBorders>
            <w:shd w:val="clear" w:color="000000" w:fill="FFFFFF"/>
            <w:noWrap/>
            <w:vAlign w:val="bottom"/>
            <w:hideMark/>
          </w:tcPr>
          <w:p w14:paraId="216EAB43"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(8,45</w:t>
            </w:r>
            <w:r>
              <w:rPr>
                <w:rFonts w:ascii="Segoe UI" w:eastAsia="Times New Roman" w:hAnsi="Segoe UI" w:cs="Segoe UI"/>
                <w:color w:val="666666"/>
                <w:sz w:val="20"/>
                <w:szCs w:val="20"/>
              </w:rPr>
              <w:t>8</w:t>
            </w:r>
            <w:r w:rsidRPr="00907411">
              <w:rPr>
                <w:rFonts w:ascii="Segoe UI" w:eastAsia="Times New Roman" w:hAnsi="Segoe UI" w:cs="Segoe UI"/>
                <w:color w:val="666666"/>
                <w:sz w:val="20"/>
                <w:szCs w:val="20"/>
              </w:rPr>
              <w:t>)</w:t>
            </w:r>
          </w:p>
        </w:tc>
        <w:tc>
          <w:tcPr>
            <w:tcW w:w="345" w:type="dxa"/>
            <w:tcBorders>
              <w:top w:val="nil"/>
              <w:left w:val="nil"/>
              <w:bottom w:val="nil"/>
              <w:right w:val="nil"/>
            </w:tcBorders>
            <w:shd w:val="clear" w:color="000000" w:fill="FFFFFF"/>
            <w:noWrap/>
            <w:vAlign w:val="bottom"/>
            <w:hideMark/>
          </w:tcPr>
          <w:p w14:paraId="2DACEFB3"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single" w:sz="4" w:space="0" w:color="auto"/>
              <w:right w:val="nil"/>
            </w:tcBorders>
            <w:shd w:val="clear" w:color="000000" w:fill="FFFFFF"/>
            <w:noWrap/>
            <w:vAlign w:val="bottom"/>
            <w:hideMark/>
          </w:tcPr>
          <w:p w14:paraId="5E746F02"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RPr="00907411">
              <w:rPr>
                <w:rFonts w:ascii="Segoe UI" w:eastAsia="Times New Roman" w:hAnsi="Segoe UI" w:cs="Segoe UI"/>
                <w:b/>
                <w:bCs/>
                <w:color w:val="666666"/>
                <w:sz w:val="20"/>
                <w:szCs w:val="20"/>
              </w:rPr>
              <w:t>7,779</w:t>
            </w:r>
            <w:r>
              <w:rPr>
                <w:rFonts w:ascii="Segoe UI" w:eastAsia="Times New Roman" w:hAnsi="Segoe UI" w:cs="Segoe UI"/>
                <w:b/>
                <w:bCs/>
                <w:color w:val="666666"/>
                <w:sz w:val="20"/>
                <w:szCs w:val="20"/>
              </w:rPr>
              <w:t>)</w:t>
            </w:r>
            <w:r w:rsidRPr="00907411">
              <w:rPr>
                <w:rFonts w:ascii="Segoe UI" w:eastAsia="Times New Roman" w:hAnsi="Segoe UI" w:cs="Segoe UI"/>
                <w:b/>
                <w:bCs/>
                <w:color w:val="666666"/>
                <w:sz w:val="20"/>
                <w:szCs w:val="20"/>
              </w:rPr>
              <w:t xml:space="preserve"> </w:t>
            </w:r>
          </w:p>
        </w:tc>
        <w:tc>
          <w:tcPr>
            <w:tcW w:w="359" w:type="dxa"/>
            <w:tcBorders>
              <w:top w:val="nil"/>
              <w:left w:val="nil"/>
              <w:bottom w:val="nil"/>
              <w:right w:val="nil"/>
            </w:tcBorders>
            <w:shd w:val="clear" w:color="000000" w:fill="FFFFFF"/>
            <w:noWrap/>
            <w:vAlign w:val="bottom"/>
            <w:hideMark/>
          </w:tcPr>
          <w:p w14:paraId="33D3766B"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single" w:sz="4" w:space="0" w:color="auto"/>
              <w:right w:val="nil"/>
            </w:tcBorders>
            <w:shd w:val="clear" w:color="000000" w:fill="FFFFFF"/>
            <w:noWrap/>
            <w:vAlign w:val="bottom"/>
            <w:hideMark/>
          </w:tcPr>
          <w:p w14:paraId="5272C6C7"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(9,73</w:t>
            </w:r>
            <w:r>
              <w:rPr>
                <w:rFonts w:ascii="Segoe UI" w:eastAsia="Times New Roman" w:hAnsi="Segoe UI" w:cs="Segoe UI"/>
                <w:color w:val="666666"/>
                <w:sz w:val="20"/>
                <w:szCs w:val="20"/>
              </w:rPr>
              <w:t>6</w:t>
            </w:r>
            <w:r w:rsidRPr="00907411">
              <w:rPr>
                <w:rFonts w:ascii="Segoe UI" w:eastAsia="Times New Roman" w:hAnsi="Segoe UI" w:cs="Segoe UI"/>
                <w:color w:val="666666"/>
                <w:sz w:val="20"/>
                <w:szCs w:val="20"/>
              </w:rPr>
              <w:t>)</w:t>
            </w:r>
          </w:p>
        </w:tc>
      </w:tr>
      <w:tr w:rsidR="00702061" w:rsidRPr="00907411" w14:paraId="7AD28743" w14:textId="77777777" w:rsidTr="00282FF2">
        <w:trPr>
          <w:trHeight w:val="300"/>
        </w:trPr>
        <w:tc>
          <w:tcPr>
            <w:tcW w:w="3320" w:type="dxa"/>
            <w:tcBorders>
              <w:top w:val="nil"/>
              <w:left w:val="nil"/>
              <w:bottom w:val="nil"/>
              <w:right w:val="nil"/>
            </w:tcBorders>
            <w:shd w:val="clear" w:color="000000" w:fill="FFFFFF"/>
            <w:noWrap/>
            <w:vAlign w:val="bottom"/>
            <w:hideMark/>
          </w:tcPr>
          <w:p w14:paraId="0445BAEC"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Total operating income</w:t>
            </w:r>
            <w:r>
              <w:rPr>
                <w:rFonts w:ascii="Segoe UI" w:eastAsia="Times New Roman" w:hAnsi="Segoe UI" w:cs="Segoe UI"/>
                <w:color w:val="666666"/>
                <w:sz w:val="20"/>
                <w:szCs w:val="20"/>
              </w:rPr>
              <w:t xml:space="preserve"> (loss)</w:t>
            </w:r>
          </w:p>
        </w:tc>
        <w:tc>
          <w:tcPr>
            <w:tcW w:w="1060" w:type="dxa"/>
            <w:tcBorders>
              <w:top w:val="nil"/>
              <w:left w:val="nil"/>
              <w:bottom w:val="single" w:sz="8" w:space="0" w:color="auto"/>
              <w:right w:val="nil"/>
            </w:tcBorders>
            <w:shd w:val="clear" w:color="000000" w:fill="FFFFFF"/>
            <w:noWrap/>
            <w:vAlign w:val="bottom"/>
            <w:hideMark/>
          </w:tcPr>
          <w:p w14:paraId="02208F95"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$3,080 </w:t>
            </w:r>
          </w:p>
        </w:tc>
        <w:tc>
          <w:tcPr>
            <w:tcW w:w="444" w:type="dxa"/>
            <w:tcBorders>
              <w:top w:val="nil"/>
              <w:left w:val="nil"/>
              <w:bottom w:val="nil"/>
              <w:right w:val="nil"/>
            </w:tcBorders>
            <w:shd w:val="clear" w:color="000000" w:fill="FFFFFF"/>
            <w:noWrap/>
            <w:vAlign w:val="bottom"/>
            <w:hideMark/>
          </w:tcPr>
          <w:p w14:paraId="3631022C"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1039" w:type="dxa"/>
            <w:tcBorders>
              <w:top w:val="nil"/>
              <w:left w:val="nil"/>
              <w:bottom w:val="single" w:sz="8" w:space="0" w:color="auto"/>
              <w:right w:val="nil"/>
            </w:tcBorders>
            <w:shd w:val="clear" w:color="000000" w:fill="FFFFFF"/>
            <w:noWrap/>
            <w:vAlign w:val="bottom"/>
            <w:hideMark/>
          </w:tcPr>
          <w:p w14:paraId="112D30E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$(2,053)</w:t>
            </w:r>
          </w:p>
        </w:tc>
        <w:tc>
          <w:tcPr>
            <w:tcW w:w="345" w:type="dxa"/>
            <w:tcBorders>
              <w:top w:val="nil"/>
              <w:left w:val="nil"/>
              <w:bottom w:val="nil"/>
              <w:right w:val="nil"/>
            </w:tcBorders>
            <w:shd w:val="clear" w:color="000000" w:fill="FFFFFF"/>
            <w:noWrap/>
            <w:vAlign w:val="bottom"/>
            <w:hideMark/>
          </w:tcPr>
          <w:p w14:paraId="0DBA9D89" w14:textId="77777777" w:rsidR="00702061" w:rsidRPr="00907411" w:rsidRDefault="00702061" w:rsidP="00282FF2">
            <w:pPr>
              <w:spacing w:after="0" w:line="240" w:lineRule="auto"/>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w:t>
            </w:r>
          </w:p>
        </w:tc>
        <w:tc>
          <w:tcPr>
            <w:tcW w:w="1145" w:type="dxa"/>
            <w:tcBorders>
              <w:top w:val="nil"/>
              <w:left w:val="nil"/>
              <w:bottom w:val="single" w:sz="8" w:space="0" w:color="auto"/>
              <w:right w:val="nil"/>
            </w:tcBorders>
            <w:shd w:val="clear" w:color="000000" w:fill="FFFFFF"/>
            <w:noWrap/>
            <w:vAlign w:val="bottom"/>
            <w:hideMark/>
          </w:tcPr>
          <w:p w14:paraId="4B3A5567" w14:textId="77777777" w:rsidR="00702061" w:rsidRPr="00907411" w:rsidRDefault="00702061" w:rsidP="00282FF2">
            <w:pPr>
              <w:spacing w:after="0" w:line="240" w:lineRule="auto"/>
              <w:jc w:val="right"/>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xml:space="preserve"> $20,182 </w:t>
            </w:r>
          </w:p>
        </w:tc>
        <w:tc>
          <w:tcPr>
            <w:tcW w:w="359" w:type="dxa"/>
            <w:tcBorders>
              <w:top w:val="nil"/>
              <w:left w:val="nil"/>
              <w:bottom w:val="nil"/>
              <w:right w:val="nil"/>
            </w:tcBorders>
            <w:shd w:val="clear" w:color="000000" w:fill="FFFFFF"/>
            <w:noWrap/>
            <w:vAlign w:val="bottom"/>
            <w:hideMark/>
          </w:tcPr>
          <w:p w14:paraId="17EB38F2" w14:textId="77777777" w:rsidR="00702061" w:rsidRPr="00907411" w:rsidRDefault="00702061" w:rsidP="00282FF2">
            <w:pPr>
              <w:spacing w:after="0" w:line="240" w:lineRule="auto"/>
              <w:rPr>
                <w:rFonts w:ascii="Segoe UI" w:eastAsia="Times New Roman" w:hAnsi="Segoe UI" w:cs="Segoe UI"/>
                <w:b/>
                <w:bCs/>
                <w:color w:val="666666"/>
                <w:sz w:val="20"/>
                <w:szCs w:val="20"/>
              </w:rPr>
            </w:pPr>
            <w:r w:rsidRPr="00907411">
              <w:rPr>
                <w:rFonts w:ascii="Segoe UI" w:eastAsia="Times New Roman" w:hAnsi="Segoe UI" w:cs="Segoe UI"/>
                <w:b/>
                <w:bCs/>
                <w:color w:val="666666"/>
                <w:sz w:val="20"/>
                <w:szCs w:val="20"/>
              </w:rPr>
              <w:t> </w:t>
            </w:r>
          </w:p>
        </w:tc>
        <w:tc>
          <w:tcPr>
            <w:tcW w:w="940" w:type="dxa"/>
            <w:tcBorders>
              <w:top w:val="nil"/>
              <w:left w:val="nil"/>
              <w:bottom w:val="single" w:sz="8" w:space="0" w:color="auto"/>
              <w:right w:val="nil"/>
            </w:tcBorders>
            <w:shd w:val="clear" w:color="000000" w:fill="FFFFFF"/>
            <w:noWrap/>
            <w:vAlign w:val="bottom"/>
            <w:hideMark/>
          </w:tcPr>
          <w:p w14:paraId="35F45E4D" w14:textId="77777777" w:rsidR="00702061" w:rsidRPr="00907411" w:rsidRDefault="00702061" w:rsidP="00282FF2">
            <w:pPr>
              <w:spacing w:after="0" w:line="240" w:lineRule="auto"/>
              <w:jc w:val="right"/>
              <w:rPr>
                <w:rFonts w:ascii="Segoe UI" w:eastAsia="Times New Roman" w:hAnsi="Segoe UI" w:cs="Segoe UI"/>
                <w:color w:val="666666"/>
                <w:sz w:val="20"/>
                <w:szCs w:val="20"/>
              </w:rPr>
            </w:pPr>
            <w:r w:rsidRPr="00907411">
              <w:rPr>
                <w:rFonts w:ascii="Segoe UI" w:eastAsia="Times New Roman" w:hAnsi="Segoe UI" w:cs="Segoe UI"/>
                <w:color w:val="666666"/>
                <w:sz w:val="20"/>
                <w:szCs w:val="20"/>
              </w:rPr>
              <w:t xml:space="preserve"> $18,161 </w:t>
            </w:r>
          </w:p>
        </w:tc>
      </w:tr>
    </w:tbl>
    <w:p w14:paraId="7B8EB182" w14:textId="77777777" w:rsidR="00702061" w:rsidRDefault="00702061" w:rsidP="00702061"/>
    <w:p w14:paraId="2F94DBBB" w14:textId="77777777" w:rsidR="00702061" w:rsidRDefault="00702061">
      <w:pPr>
        <w:spacing w:after="160" w:line="259" w:lineRule="auto"/>
      </w:pPr>
      <w:r>
        <w:br w:type="page"/>
      </w:r>
    </w:p>
    <w:p w14:paraId="285145C9" w14:textId="77777777" w:rsidR="00DD4683" w:rsidRPr="008465B4" w:rsidRDefault="00DD4683" w:rsidP="00DD4683">
      <w:pPr>
        <w:pStyle w:val="NormalWeb"/>
        <w:keepNext/>
        <w:spacing w:before="160" w:beforeAutospacing="0" w:after="160" w:afterAutospacing="0"/>
        <w:jc w:val="center"/>
        <w:rPr>
          <w:rFonts w:ascii="Segoe UI" w:hAnsi="Segoe UI" w:cs="Segoe UI"/>
          <w:b/>
          <w:bCs/>
          <w:color w:val="666666"/>
          <w:sz w:val="20"/>
          <w:szCs w:val="20"/>
        </w:rPr>
      </w:pPr>
      <w:r w:rsidRPr="008465B4">
        <w:rPr>
          <w:rFonts w:ascii="Segoe UI" w:hAnsi="Segoe UI" w:cs="Segoe UI"/>
          <w:b/>
          <w:bCs/>
          <w:color w:val="666666"/>
          <w:sz w:val="20"/>
          <w:szCs w:val="20"/>
        </w:rPr>
        <w:t>MICROSOFT CORPORATION</w:t>
      </w:r>
    </w:p>
    <w:p w14:paraId="50EEEE6F" w14:textId="77777777" w:rsidR="00DD4683" w:rsidRPr="008465B4" w:rsidRDefault="00DD4683" w:rsidP="00DD4683">
      <w:pPr>
        <w:pStyle w:val="NormalWeb"/>
        <w:keepNext/>
        <w:spacing w:before="160" w:beforeAutospacing="0" w:after="160" w:afterAutospacing="0"/>
        <w:jc w:val="center"/>
        <w:rPr>
          <w:rFonts w:ascii="Segoe UI" w:hAnsi="Segoe UI" w:cs="Segoe UI"/>
          <w:b/>
          <w:bCs/>
          <w:color w:val="666666"/>
          <w:sz w:val="20"/>
          <w:szCs w:val="20"/>
        </w:rPr>
      </w:pPr>
      <w:r w:rsidRPr="008465B4">
        <w:rPr>
          <w:rFonts w:ascii="Segoe UI" w:hAnsi="Segoe UI" w:cs="Segoe UI"/>
          <w:b/>
          <w:bCs/>
          <w:color w:val="666666"/>
          <w:sz w:val="20"/>
          <w:szCs w:val="20"/>
        </w:rPr>
        <w:t>FOURTH QUARTER FINANCIAL HIGHLIGHTS</w:t>
      </w:r>
    </w:p>
    <w:p w14:paraId="793DFDEC" w14:textId="0AA05F58" w:rsidR="00DD4683" w:rsidRPr="008465B4" w:rsidRDefault="00DD4683" w:rsidP="00DD4683">
      <w:pPr>
        <w:spacing w:before="160" w:line="280" w:lineRule="exact"/>
        <w:jc w:val="both"/>
        <w:rPr>
          <w:rFonts w:ascii="Segoe UI" w:hAnsi="Segoe UI" w:cs="Segoe UI"/>
          <w:b/>
          <w:bCs/>
          <w:color w:val="666666"/>
          <w:sz w:val="20"/>
          <w:szCs w:val="20"/>
        </w:rPr>
      </w:pPr>
      <w:r w:rsidRPr="008465B4">
        <w:rPr>
          <w:rFonts w:ascii="Segoe UI" w:hAnsi="Segoe UI" w:cs="Segoe UI"/>
          <w:color w:val="666666"/>
          <w:sz w:val="20"/>
          <w:szCs w:val="20"/>
        </w:rPr>
        <w:t xml:space="preserve">All growth comparisons relate to the corresponding period in the last fiscal year. Please refer to the </w:t>
      </w:r>
      <w:r w:rsidR="00250FD5">
        <w:rPr>
          <w:rFonts w:ascii="Segoe UI" w:hAnsi="Segoe UI" w:cs="Segoe UI"/>
          <w:color w:val="666666"/>
          <w:sz w:val="20"/>
          <w:szCs w:val="20"/>
        </w:rPr>
        <w:t>reconciliation of our GAAP and n</w:t>
      </w:r>
      <w:r w:rsidRPr="008465B4">
        <w:rPr>
          <w:rFonts w:ascii="Segoe UI" w:hAnsi="Segoe UI" w:cs="Segoe UI"/>
          <w:color w:val="666666"/>
          <w:sz w:val="20"/>
          <w:szCs w:val="20"/>
        </w:rPr>
        <w:t>on-GAAP financial results in the</w:t>
      </w:r>
      <w:r w:rsidRPr="008465B4" w:rsidDel="000B0D25">
        <w:rPr>
          <w:rFonts w:ascii="Segoe UI" w:hAnsi="Segoe UI" w:cs="Segoe UI"/>
          <w:color w:val="666666"/>
          <w:sz w:val="20"/>
          <w:szCs w:val="20"/>
        </w:rPr>
        <w:t xml:space="preserve"> table provided above</w:t>
      </w:r>
      <w:r w:rsidRPr="008465B4">
        <w:rPr>
          <w:rFonts w:ascii="Segoe UI" w:hAnsi="Segoe UI" w:cs="Segoe UI"/>
          <w:color w:val="666666"/>
          <w:sz w:val="20"/>
          <w:szCs w:val="20"/>
        </w:rPr>
        <w:t xml:space="preserve"> for additional information.</w:t>
      </w:r>
    </w:p>
    <w:p w14:paraId="5A4352A0" w14:textId="77777777" w:rsidR="00DD4683" w:rsidRPr="008465B4" w:rsidRDefault="00DD4683" w:rsidP="00DD4683">
      <w:pPr>
        <w:pStyle w:val="NormalWeb"/>
        <w:keepNext/>
        <w:spacing w:before="160" w:beforeAutospacing="0" w:after="160" w:afterAutospacing="0"/>
        <w:rPr>
          <w:color w:val="FF0000"/>
        </w:rPr>
      </w:pPr>
      <w:r w:rsidRPr="008465B4">
        <w:rPr>
          <w:rFonts w:ascii="Segoe UI" w:hAnsi="Segoe UI" w:cs="Segoe UI"/>
          <w:b/>
          <w:bCs/>
          <w:color w:val="666666"/>
          <w:sz w:val="20"/>
          <w:szCs w:val="20"/>
        </w:rPr>
        <w:t>SUMMARY</w:t>
      </w:r>
    </w:p>
    <w:p w14:paraId="63C5A2C2" w14:textId="77777777" w:rsidR="00DD4683" w:rsidRPr="008465B4" w:rsidRDefault="00DD4683" w:rsidP="00DD4683">
      <w:pPr>
        <w:pStyle w:val="NormalWeb"/>
        <w:spacing w:before="160" w:beforeAutospacing="0" w:after="160" w:afterAutospacing="0"/>
        <w:rPr>
          <w:rFonts w:ascii="Segoe UI" w:hAnsi="Segoe UI" w:cs="Segoe UI"/>
          <w:color w:val="666666"/>
          <w:sz w:val="20"/>
          <w:szCs w:val="20"/>
        </w:rPr>
      </w:pPr>
      <w:r w:rsidRPr="008465B4">
        <w:rPr>
          <w:rFonts w:ascii="Segoe UI" w:hAnsi="Segoe UI" w:cs="Segoe UI"/>
          <w:color w:val="666666"/>
          <w:sz w:val="20"/>
          <w:szCs w:val="20"/>
        </w:rPr>
        <w:t>Revenue was $20.6 billion, down 7% year-over-year. The decrease in revenue was primarily driven by the net revenue deferral from Windows 10 of $2.0 billion. Windows 10 revenue is primarily recognized upfront in the More Personal Computing segment, and the deferral and subsequent recognition of revenue is reflected in Corporate and Other. Revenue included an unfavorable foreign currency impact of approximately $596 million or 3%. Non-GAAP revenue was $22.6 billion, up 2% year-over-year, including an adjustment for the net revenue deferral from Windows 10.</w:t>
      </w:r>
    </w:p>
    <w:p w14:paraId="3001D620" w14:textId="5C90FF63" w:rsidR="00DD4683" w:rsidRPr="008465B4" w:rsidRDefault="00DD4683" w:rsidP="00DD4683">
      <w:pPr>
        <w:pStyle w:val="NormalWeb"/>
        <w:spacing w:before="180" w:beforeAutospacing="0" w:after="0" w:afterAutospacing="0"/>
        <w:rPr>
          <w:rFonts w:ascii="Segoe UI" w:hAnsi="Segoe UI" w:cs="Segoe UI"/>
          <w:color w:val="666666"/>
          <w:sz w:val="20"/>
          <w:szCs w:val="20"/>
        </w:rPr>
      </w:pPr>
      <w:r w:rsidRPr="008465B4">
        <w:rPr>
          <w:rFonts w:ascii="Segoe UI" w:hAnsi="Segoe UI" w:cs="Segoe UI"/>
          <w:color w:val="666666"/>
          <w:sz w:val="20"/>
          <w:szCs w:val="20"/>
        </w:rPr>
        <w:t xml:space="preserve">Gross margin was $12.6 billion, down 14% year-over-year. The decrease in gross margin was driven by the net revenue deferral from Windows 10 and an increase in cost of revenue. </w:t>
      </w:r>
      <w:r w:rsidR="005A64C4" w:rsidRPr="008465B4">
        <w:rPr>
          <w:rFonts w:ascii="Segoe UI" w:hAnsi="Segoe UI" w:cs="Segoe UI"/>
          <w:color w:val="666666"/>
          <w:sz w:val="20"/>
          <w:szCs w:val="20"/>
        </w:rPr>
        <w:t xml:space="preserve">Cost of revenue </w:t>
      </w:r>
      <w:r w:rsidR="00E72774">
        <w:rPr>
          <w:rFonts w:ascii="Segoe UI" w:hAnsi="Segoe UI" w:cs="Segoe UI"/>
          <w:color w:val="666666"/>
          <w:sz w:val="20"/>
          <w:szCs w:val="20"/>
        </w:rPr>
        <w:t xml:space="preserve">was $8.0 billion, up </w:t>
      </w:r>
      <w:r w:rsidR="005A64C4" w:rsidRPr="008465B4">
        <w:rPr>
          <w:rFonts w:ascii="Segoe UI" w:hAnsi="Segoe UI" w:cs="Segoe UI"/>
          <w:color w:val="666666"/>
          <w:sz w:val="20"/>
          <w:szCs w:val="20"/>
        </w:rPr>
        <w:t>7%</w:t>
      </w:r>
      <w:r w:rsidR="00E72774">
        <w:rPr>
          <w:rFonts w:ascii="Segoe UI" w:hAnsi="Segoe UI" w:cs="Segoe UI"/>
          <w:color w:val="666666"/>
          <w:sz w:val="20"/>
          <w:szCs w:val="20"/>
        </w:rPr>
        <w:t xml:space="preserve"> year-over-year</w:t>
      </w:r>
      <w:r w:rsidR="005A64C4" w:rsidRPr="008465B4">
        <w:rPr>
          <w:rFonts w:ascii="Segoe UI" w:hAnsi="Segoe UI" w:cs="Segoe UI"/>
          <w:color w:val="666666"/>
          <w:sz w:val="20"/>
          <w:szCs w:val="20"/>
        </w:rPr>
        <w:t>, mainly due to growth in commercial cloud and search advertising, offset in part by lower phone sales, driven by the change in strategy for the phone business</w:t>
      </w:r>
      <w:r w:rsidR="005A64C4">
        <w:rPr>
          <w:rFonts w:ascii="Segoe UI" w:hAnsi="Segoe UI" w:cs="Segoe UI"/>
          <w:color w:val="666666"/>
          <w:sz w:val="20"/>
          <w:szCs w:val="20"/>
        </w:rPr>
        <w:t xml:space="preserve">. </w:t>
      </w:r>
      <w:r w:rsidRPr="008465B4">
        <w:rPr>
          <w:rFonts w:ascii="Segoe UI" w:hAnsi="Segoe UI" w:cs="Segoe UI"/>
          <w:color w:val="666666"/>
          <w:sz w:val="20"/>
          <w:szCs w:val="20"/>
        </w:rPr>
        <w:t xml:space="preserve">Gross margin included an unfavorable foreign currency impact of approximately $573 million or 4%. </w:t>
      </w:r>
    </w:p>
    <w:p w14:paraId="518067CF" w14:textId="1EB8B167" w:rsidR="00DD4683" w:rsidRPr="008465B4" w:rsidRDefault="00DD4683" w:rsidP="00DD4683">
      <w:pPr>
        <w:pStyle w:val="NormalWeb"/>
        <w:spacing w:before="180" w:beforeAutospacing="0" w:after="0" w:afterAutospacing="0"/>
        <w:rPr>
          <w:rFonts w:ascii="Segoe UI" w:hAnsi="Segoe UI" w:cs="Segoe UI"/>
          <w:color w:val="666666"/>
          <w:sz w:val="20"/>
          <w:szCs w:val="20"/>
        </w:rPr>
      </w:pPr>
      <w:r w:rsidRPr="008465B4">
        <w:rPr>
          <w:rFonts w:ascii="Segoe UI" w:hAnsi="Segoe UI" w:cs="Segoe UI"/>
          <w:color w:val="666666"/>
          <w:sz w:val="20"/>
          <w:szCs w:val="20"/>
        </w:rPr>
        <w:t>Operating income was $3.1 billion, compared to operating loss of $2.1 billion in the prior year. Current year operating income was negatively impacted by the net revenue deferral from Windows 10 and impairment, integration, and restructuring expenses of $1.1 billion. Prior year operating loss was negatively impacted by impairment, integration, and restructu</w:t>
      </w:r>
      <w:r w:rsidR="00BE0461">
        <w:rPr>
          <w:rFonts w:ascii="Segoe UI" w:hAnsi="Segoe UI" w:cs="Segoe UI"/>
          <w:color w:val="666666"/>
          <w:sz w:val="20"/>
          <w:szCs w:val="20"/>
        </w:rPr>
        <w:t xml:space="preserve">ring expenses of $8.4 billion. </w:t>
      </w:r>
      <w:r w:rsidRPr="008465B4">
        <w:rPr>
          <w:rFonts w:ascii="Segoe UI" w:hAnsi="Segoe UI" w:cs="Segoe UI"/>
          <w:color w:val="666666"/>
          <w:sz w:val="20"/>
          <w:szCs w:val="20"/>
        </w:rPr>
        <w:t>Non-GAAP operating income was $6.2 billion, down 3% year-over-year, including adjustments for the net revenue deferral from Windows 10 and impairment, integration, and restructuring expenses.</w:t>
      </w:r>
    </w:p>
    <w:p w14:paraId="461B5667" w14:textId="77777777" w:rsidR="00DD4683" w:rsidRPr="008465B4" w:rsidRDefault="00DD4683" w:rsidP="00DD4683">
      <w:pPr>
        <w:pStyle w:val="NormalWeb"/>
        <w:spacing w:before="180" w:beforeAutospacing="0" w:after="0" w:afterAutospacing="0"/>
        <w:rPr>
          <w:rFonts w:ascii="Segoe UI" w:eastAsia="Calibri" w:hAnsi="Segoe UI" w:cs="Segoe UI"/>
          <w:color w:val="666666"/>
          <w:sz w:val="20"/>
          <w:szCs w:val="20"/>
        </w:rPr>
      </w:pPr>
      <w:r w:rsidRPr="008465B4">
        <w:rPr>
          <w:rFonts w:ascii="Segoe UI" w:hAnsi="Segoe UI" w:cs="Segoe UI"/>
          <w:color w:val="666666"/>
          <w:sz w:val="20"/>
          <w:szCs w:val="20"/>
        </w:rPr>
        <w:t xml:space="preserve">Diluted earnings per share (“EPS”) was $0.39, compared to $(0.40) in the prior year. </w:t>
      </w:r>
      <w:r w:rsidRPr="008465B4">
        <w:rPr>
          <w:rFonts w:ascii="Segoe UI" w:eastAsia="Calibri" w:hAnsi="Segoe UI" w:cs="Segoe UI"/>
          <w:color w:val="666666"/>
          <w:sz w:val="20"/>
          <w:szCs w:val="20"/>
        </w:rPr>
        <w:t xml:space="preserve">Current year diluted EPS was negatively impacted by the net revenue deferral from Windows 10 and </w:t>
      </w:r>
      <w:r w:rsidRPr="008465B4">
        <w:rPr>
          <w:rFonts w:ascii="Segoe UI" w:hAnsi="Segoe UI" w:cs="Segoe UI"/>
          <w:color w:val="666666"/>
          <w:sz w:val="20"/>
          <w:szCs w:val="20"/>
        </w:rPr>
        <w:t>impairment, integration, and restructuring expenses</w:t>
      </w:r>
      <w:r w:rsidRPr="008465B4">
        <w:rPr>
          <w:rFonts w:ascii="Segoe UI" w:eastAsia="Calibri" w:hAnsi="Segoe UI" w:cs="Segoe UI"/>
          <w:color w:val="666666"/>
          <w:sz w:val="20"/>
          <w:szCs w:val="20"/>
        </w:rPr>
        <w:t>, which resulted in a decrease to diluted EPS of $</w:t>
      </w:r>
      <w:r w:rsidRPr="008465B4">
        <w:rPr>
          <w:rFonts w:ascii="Segoe UI" w:hAnsi="Segoe UI" w:cs="Segoe UI"/>
          <w:color w:val="666666"/>
          <w:sz w:val="20"/>
          <w:szCs w:val="20"/>
        </w:rPr>
        <w:t>0.30</w:t>
      </w:r>
      <w:r w:rsidRPr="008465B4">
        <w:rPr>
          <w:rFonts w:ascii="Segoe UI" w:eastAsia="Calibri" w:hAnsi="Segoe UI" w:cs="Segoe UI"/>
          <w:color w:val="666666"/>
          <w:sz w:val="20"/>
          <w:szCs w:val="20"/>
        </w:rPr>
        <w:t xml:space="preserve">. Prior year diluted EPS was negatively impacted by impairment, integration, and restructuring expenses, which resulted in a decrease to diluted EPS of $1.02. </w:t>
      </w:r>
      <w:r w:rsidRPr="008465B4">
        <w:rPr>
          <w:rFonts w:ascii="Segoe UI" w:hAnsi="Segoe UI" w:cs="Segoe UI"/>
          <w:color w:val="666666"/>
          <w:sz w:val="20"/>
          <w:szCs w:val="20"/>
        </w:rPr>
        <w:t>Non-GAAP EPS was $0.</w:t>
      </w:r>
      <w:r w:rsidR="001F27A5" w:rsidRPr="008465B4">
        <w:rPr>
          <w:rFonts w:ascii="Segoe UI" w:hAnsi="Segoe UI" w:cs="Segoe UI"/>
          <w:color w:val="666666"/>
          <w:sz w:val="20"/>
          <w:szCs w:val="20"/>
        </w:rPr>
        <w:t>69</w:t>
      </w:r>
      <w:r w:rsidRPr="008465B4">
        <w:rPr>
          <w:rFonts w:ascii="Segoe UI" w:hAnsi="Segoe UI" w:cs="Segoe UI"/>
          <w:color w:val="666666"/>
          <w:sz w:val="20"/>
          <w:szCs w:val="20"/>
        </w:rPr>
        <w:t xml:space="preserve">, and grew </w:t>
      </w:r>
      <w:r w:rsidR="001F27A5" w:rsidRPr="008465B4">
        <w:rPr>
          <w:rFonts w:ascii="Segoe UI" w:hAnsi="Segoe UI" w:cs="Segoe UI"/>
          <w:color w:val="666666"/>
          <w:sz w:val="20"/>
          <w:szCs w:val="20"/>
        </w:rPr>
        <w:t>11</w:t>
      </w:r>
      <w:r w:rsidRPr="008465B4">
        <w:rPr>
          <w:rFonts w:ascii="Segoe UI" w:hAnsi="Segoe UI" w:cs="Segoe UI"/>
          <w:color w:val="666666"/>
          <w:sz w:val="20"/>
          <w:szCs w:val="20"/>
        </w:rPr>
        <w:t xml:space="preserve">% year-over-year, including adjustments for the net revenue deferral from Windows 10 and impairment, integration, and restructuring expenses. </w:t>
      </w:r>
    </w:p>
    <w:p w14:paraId="21CE7DF8" w14:textId="77777777" w:rsidR="00DD4683" w:rsidRPr="008465B4" w:rsidRDefault="00DD4683" w:rsidP="00DD4683">
      <w:pPr>
        <w:pStyle w:val="NormalWeb"/>
        <w:keepNext/>
        <w:spacing w:before="160" w:beforeAutospacing="0" w:after="160" w:afterAutospacing="0"/>
        <w:rPr>
          <w:rFonts w:ascii="Segoe UI" w:hAnsi="Segoe UI" w:cs="Segoe UI"/>
          <w:b/>
          <w:bCs/>
          <w:color w:val="666666"/>
          <w:sz w:val="20"/>
          <w:szCs w:val="20"/>
        </w:rPr>
      </w:pPr>
      <w:r w:rsidRPr="008465B4">
        <w:rPr>
          <w:rFonts w:ascii="Segoe UI" w:hAnsi="Segoe UI" w:cs="Segoe UI"/>
          <w:b/>
          <w:bCs/>
          <w:color w:val="666666"/>
          <w:sz w:val="20"/>
          <w:szCs w:val="20"/>
        </w:rPr>
        <w:t>SEGMENT INFORMATION</w:t>
      </w:r>
    </w:p>
    <w:p w14:paraId="09C350B0" w14:textId="77777777" w:rsidR="00DD4683" w:rsidRPr="008465B4" w:rsidRDefault="00DD4683" w:rsidP="00DD4683">
      <w:pPr>
        <w:spacing w:before="160" w:line="280" w:lineRule="exact"/>
        <w:jc w:val="both"/>
        <w:rPr>
          <w:rFonts w:ascii="Segoe UI" w:hAnsi="Segoe UI" w:cs="Segoe UI"/>
          <w:b/>
          <w:i/>
          <w:color w:val="666666"/>
          <w:sz w:val="20"/>
          <w:szCs w:val="20"/>
        </w:rPr>
      </w:pPr>
      <w:r w:rsidRPr="008465B4">
        <w:rPr>
          <w:rFonts w:ascii="Segoe UI" w:hAnsi="Segoe UI" w:cs="Segoe UI"/>
          <w:b/>
          <w:i/>
          <w:color w:val="666666"/>
          <w:sz w:val="20"/>
          <w:szCs w:val="20"/>
        </w:rPr>
        <w:t>Productivity and Business Processes</w:t>
      </w:r>
    </w:p>
    <w:p w14:paraId="24FB2F41" w14:textId="77777777"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Productivity and Business Processes revenue increased $308 million or 5%, primarily due to higher revenue from Office. Revenue included an unfavorable foreign currency impact of approximately 3%. </w:t>
      </w:r>
    </w:p>
    <w:p w14:paraId="535096BF" w14:textId="28167745" w:rsidR="00E91045" w:rsidRPr="008465B4" w:rsidRDefault="00E91045" w:rsidP="00E91045">
      <w:pPr>
        <w:pStyle w:val="NormalWeb"/>
        <w:numPr>
          <w:ilvl w:val="0"/>
          <w:numId w:val="7"/>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Office Commercial revenue increased $249</w:t>
      </w:r>
      <w:r w:rsidRPr="008465B4" w:rsidDel="009B19B9">
        <w:rPr>
          <w:rFonts w:ascii="Segoe UI" w:eastAsia="Calibri" w:hAnsi="Segoe UI" w:cs="Segoe UI"/>
          <w:color w:val="666666"/>
          <w:sz w:val="20"/>
          <w:szCs w:val="20"/>
        </w:rPr>
        <w:t xml:space="preserve"> </w:t>
      </w:r>
      <w:r w:rsidRPr="008465B4" w:rsidDel="000676CF">
        <w:rPr>
          <w:rFonts w:ascii="Segoe UI" w:eastAsia="Calibri" w:hAnsi="Segoe UI" w:cs="Segoe UI"/>
          <w:color w:val="666666"/>
          <w:sz w:val="20"/>
          <w:szCs w:val="20"/>
        </w:rPr>
        <w:t>million</w:t>
      </w:r>
      <w:r w:rsidRPr="008465B4">
        <w:rPr>
          <w:rFonts w:ascii="Segoe UI" w:eastAsia="Calibri" w:hAnsi="Segoe UI" w:cs="Segoe UI"/>
          <w:color w:val="666666"/>
          <w:sz w:val="20"/>
          <w:szCs w:val="20"/>
        </w:rPr>
        <w:t xml:space="preserve"> or 5%, driven by higher revenue from Office 365 commercial, mainly due to growth in subscribers, offset in part by lower </w:t>
      </w:r>
      <w:r w:rsidR="001E22C9" w:rsidRPr="008465B4">
        <w:rPr>
          <w:rFonts w:ascii="Segoe UI" w:eastAsia="Calibri" w:hAnsi="Segoe UI" w:cs="Segoe UI"/>
          <w:color w:val="666666"/>
          <w:sz w:val="20"/>
          <w:szCs w:val="20"/>
        </w:rPr>
        <w:t xml:space="preserve">volume licensing </w:t>
      </w:r>
      <w:r w:rsidR="006E4C04" w:rsidRPr="008465B4">
        <w:rPr>
          <w:rFonts w:ascii="Segoe UI" w:eastAsia="Calibri" w:hAnsi="Segoe UI" w:cs="Segoe UI"/>
          <w:color w:val="666666"/>
          <w:sz w:val="20"/>
          <w:szCs w:val="20"/>
        </w:rPr>
        <w:t>revenue</w:t>
      </w:r>
      <w:r w:rsidRPr="008465B4">
        <w:rPr>
          <w:rFonts w:ascii="Segoe UI" w:eastAsia="Calibri" w:hAnsi="Segoe UI" w:cs="Segoe UI"/>
          <w:color w:val="666666"/>
          <w:sz w:val="20"/>
          <w:szCs w:val="20"/>
        </w:rPr>
        <w:t xml:space="preserve">, reflecting a continued shift to Office 365 commercial. </w:t>
      </w:r>
      <w:r w:rsidR="003D3521">
        <w:rPr>
          <w:rFonts w:ascii="Segoe UI" w:eastAsia="Calibri" w:hAnsi="Segoe UI" w:cs="Segoe UI"/>
          <w:color w:val="666666"/>
          <w:sz w:val="20"/>
          <w:szCs w:val="20"/>
        </w:rPr>
        <w:t xml:space="preserve">Revenue included </w:t>
      </w:r>
      <w:r w:rsidR="003D3521" w:rsidRPr="008465B4">
        <w:rPr>
          <w:rFonts w:ascii="Segoe UI" w:eastAsia="Calibri" w:hAnsi="Segoe UI" w:cs="Segoe UI"/>
          <w:color w:val="666666"/>
          <w:sz w:val="20"/>
          <w:szCs w:val="20"/>
        </w:rPr>
        <w:t>an unfavorable foreign curr</w:t>
      </w:r>
      <w:r w:rsidR="003D3521">
        <w:rPr>
          <w:rFonts w:ascii="Segoe UI" w:eastAsia="Calibri" w:hAnsi="Segoe UI" w:cs="Segoe UI"/>
          <w:color w:val="666666"/>
          <w:sz w:val="20"/>
          <w:szCs w:val="20"/>
        </w:rPr>
        <w:t>ency impact of approximately 4%.</w:t>
      </w:r>
    </w:p>
    <w:p w14:paraId="2A0315E0" w14:textId="77777777" w:rsidR="00DD4683" w:rsidRPr="008465B4" w:rsidRDefault="00E91045" w:rsidP="00E91045">
      <w:pPr>
        <w:pStyle w:val="NormalWeb"/>
        <w:numPr>
          <w:ilvl w:val="0"/>
          <w:numId w:val="7"/>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Office Consumer revenue increased</w:t>
      </w:r>
      <w:r w:rsidRPr="008465B4" w:rsidDel="000676CF">
        <w:rPr>
          <w:rFonts w:ascii="Segoe UI" w:eastAsia="Calibri" w:hAnsi="Segoe UI" w:cs="Segoe UI"/>
          <w:color w:val="666666"/>
          <w:sz w:val="20"/>
          <w:szCs w:val="20"/>
        </w:rPr>
        <w:t xml:space="preserve"> $</w:t>
      </w:r>
      <w:r w:rsidRPr="008465B4">
        <w:rPr>
          <w:rFonts w:ascii="Segoe UI" w:eastAsia="Calibri" w:hAnsi="Segoe UI" w:cs="Segoe UI"/>
          <w:color w:val="666666"/>
          <w:sz w:val="20"/>
          <w:szCs w:val="20"/>
        </w:rPr>
        <w:t>124</w:t>
      </w:r>
      <w:r w:rsidRPr="008465B4" w:rsidDel="009B19B9">
        <w:rPr>
          <w:rFonts w:ascii="Segoe UI" w:eastAsia="Calibri" w:hAnsi="Segoe UI" w:cs="Segoe UI"/>
          <w:color w:val="666666"/>
          <w:sz w:val="20"/>
          <w:szCs w:val="20"/>
        </w:rPr>
        <w:t xml:space="preserve"> </w:t>
      </w:r>
      <w:r w:rsidRPr="008465B4" w:rsidDel="000676CF">
        <w:rPr>
          <w:rFonts w:ascii="Segoe UI" w:eastAsia="Calibri" w:hAnsi="Segoe UI" w:cs="Segoe UI"/>
          <w:color w:val="666666"/>
          <w:sz w:val="20"/>
          <w:szCs w:val="20"/>
        </w:rPr>
        <w:t xml:space="preserve">million or </w:t>
      </w:r>
      <w:r w:rsidRPr="008465B4">
        <w:rPr>
          <w:rFonts w:ascii="Segoe UI" w:eastAsia="Calibri" w:hAnsi="Segoe UI" w:cs="Segoe UI"/>
          <w:color w:val="666666"/>
          <w:sz w:val="20"/>
          <w:szCs w:val="20"/>
        </w:rPr>
        <w:t xml:space="preserve">19%, driven by higher revenue from Office 365 consumer, mainly due to growth in </w:t>
      </w:r>
      <w:r w:rsidR="001A545C" w:rsidRPr="008465B4">
        <w:rPr>
          <w:rFonts w:ascii="Segoe UI" w:eastAsia="Calibri" w:hAnsi="Segoe UI" w:cs="Segoe UI"/>
          <w:color w:val="666666"/>
          <w:sz w:val="20"/>
          <w:szCs w:val="20"/>
        </w:rPr>
        <w:t>subscribers</w:t>
      </w:r>
      <w:r w:rsidR="009F579B" w:rsidRPr="008465B4">
        <w:rPr>
          <w:rFonts w:ascii="Segoe UI" w:eastAsia="Calibri" w:hAnsi="Segoe UI" w:cs="Segoe UI"/>
          <w:color w:val="666666"/>
          <w:sz w:val="20"/>
          <w:szCs w:val="20"/>
        </w:rPr>
        <w:t>.</w:t>
      </w:r>
      <w:r w:rsidR="00DD4683" w:rsidRPr="008465B4">
        <w:rPr>
          <w:rFonts w:ascii="Segoe UI" w:eastAsia="Calibri" w:hAnsi="Segoe UI" w:cs="Segoe UI"/>
          <w:color w:val="666666"/>
          <w:sz w:val="20"/>
          <w:szCs w:val="20"/>
        </w:rPr>
        <w:t xml:space="preserve"> </w:t>
      </w:r>
    </w:p>
    <w:p w14:paraId="311C99EB" w14:textId="77777777" w:rsidR="00DD4683" w:rsidRPr="008465B4" w:rsidRDefault="00DD4683" w:rsidP="00DD4683">
      <w:pPr>
        <w:pStyle w:val="NormalWeb"/>
        <w:numPr>
          <w:ilvl w:val="0"/>
          <w:numId w:val="7"/>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Dynamics revenue increased 6%, mainly due to higher revenue from Dynamics CRM Online, driven by seat growth. </w:t>
      </w:r>
    </w:p>
    <w:p w14:paraId="3149A131" w14:textId="55951C89"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Productivity and Business Processes operating income decreased $167 million or 5%, driven by higher operating expenses. Operating expenses increased $155 million or 6%, mainly due to higher sales and marketing expenses, driven by increased investments in </w:t>
      </w:r>
      <w:r w:rsidR="00250FD5">
        <w:rPr>
          <w:rFonts w:ascii="Segoe UI" w:eastAsia="Calibri" w:hAnsi="Segoe UI" w:cs="Segoe UI"/>
          <w:color w:val="666666"/>
          <w:sz w:val="20"/>
          <w:szCs w:val="20"/>
        </w:rPr>
        <w:t xml:space="preserve">cloud </w:t>
      </w:r>
      <w:r w:rsidRPr="008465B4">
        <w:rPr>
          <w:rFonts w:ascii="Segoe UI" w:eastAsia="Calibri" w:hAnsi="Segoe UI" w:cs="Segoe UI"/>
          <w:color w:val="666666"/>
          <w:sz w:val="20"/>
          <w:szCs w:val="20"/>
        </w:rPr>
        <w:t xml:space="preserve">sales </w:t>
      </w:r>
      <w:r w:rsidR="00C93ED1">
        <w:rPr>
          <w:rFonts w:ascii="Segoe UI" w:eastAsia="Calibri" w:hAnsi="Segoe UI" w:cs="Segoe UI"/>
          <w:color w:val="666666"/>
          <w:sz w:val="20"/>
          <w:szCs w:val="20"/>
        </w:rPr>
        <w:t>programs</w:t>
      </w:r>
      <w:r w:rsidRPr="008465B4">
        <w:rPr>
          <w:rFonts w:ascii="Segoe UI" w:eastAsia="Calibri" w:hAnsi="Segoe UI" w:cs="Segoe UI"/>
          <w:color w:val="666666"/>
          <w:sz w:val="20"/>
          <w:szCs w:val="20"/>
        </w:rPr>
        <w:t>. Gross margin decreased slightly, primarily due to higher cost of revenue, driven by an increased mix of cloud offerings, offset in part by higher revenue. Gross margin included an unfavorable foreign currency impact of approximately 4%.</w:t>
      </w:r>
    </w:p>
    <w:p w14:paraId="70B99FF4" w14:textId="77777777" w:rsidR="00DD4683" w:rsidRPr="008465B4" w:rsidRDefault="00DD4683" w:rsidP="00DD4683">
      <w:pPr>
        <w:spacing w:after="160" w:line="259" w:lineRule="auto"/>
        <w:rPr>
          <w:rFonts w:ascii="Segoe UI" w:hAnsi="Segoe UI" w:cs="Segoe UI"/>
          <w:b/>
          <w:i/>
          <w:color w:val="666666"/>
          <w:sz w:val="20"/>
          <w:szCs w:val="20"/>
        </w:rPr>
      </w:pPr>
      <w:r w:rsidRPr="008465B4">
        <w:rPr>
          <w:rFonts w:ascii="Segoe UI" w:hAnsi="Segoe UI" w:cs="Segoe UI"/>
          <w:b/>
          <w:i/>
          <w:color w:val="666666"/>
          <w:sz w:val="20"/>
          <w:szCs w:val="20"/>
        </w:rPr>
        <w:br w:type="page"/>
      </w:r>
    </w:p>
    <w:p w14:paraId="1C3A349A" w14:textId="77777777" w:rsidR="00DD4683" w:rsidRPr="008465B4" w:rsidRDefault="00DD4683" w:rsidP="00DD4683">
      <w:pPr>
        <w:spacing w:before="160" w:line="280" w:lineRule="exact"/>
        <w:jc w:val="both"/>
        <w:rPr>
          <w:rFonts w:ascii="Segoe UI" w:hAnsi="Segoe UI" w:cs="Segoe UI"/>
          <w:b/>
          <w:i/>
          <w:color w:val="666666"/>
          <w:sz w:val="20"/>
          <w:szCs w:val="20"/>
        </w:rPr>
      </w:pPr>
      <w:r w:rsidRPr="008465B4">
        <w:rPr>
          <w:rFonts w:ascii="Segoe UI" w:hAnsi="Segoe UI" w:cs="Segoe UI"/>
          <w:b/>
          <w:i/>
          <w:color w:val="666666"/>
          <w:sz w:val="20"/>
          <w:szCs w:val="20"/>
        </w:rPr>
        <w:t>Intelligent Cloud</w:t>
      </w:r>
    </w:p>
    <w:p w14:paraId="0000AD39" w14:textId="77777777"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Intelligent Cloud revenue increased $415 million or 7%, mainly due to higher revenue from server products and cloud services and Enterprise Services. Revenue included an unfavorable foreign currency impact of approximately 3%. </w:t>
      </w:r>
    </w:p>
    <w:p w14:paraId="35021CCE" w14:textId="77777777" w:rsidR="00E91045" w:rsidRPr="008465B4" w:rsidRDefault="00E91045" w:rsidP="00E91045">
      <w:pPr>
        <w:pStyle w:val="NormalWeb"/>
        <w:numPr>
          <w:ilvl w:val="0"/>
          <w:numId w:val="7"/>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Server products and cloud services revenue grew $253 million or 5%, driven by Azure revenue growth of 102%</w:t>
      </w:r>
      <w:r w:rsidRPr="008465B4" w:rsidDel="00146D05">
        <w:rPr>
          <w:rFonts w:ascii="Segoe UI" w:eastAsia="Calibri" w:hAnsi="Segoe UI" w:cs="Segoe UI"/>
          <w:color w:val="666666"/>
          <w:sz w:val="20"/>
          <w:szCs w:val="20"/>
        </w:rPr>
        <w:t>.</w:t>
      </w:r>
      <w:r w:rsidRPr="008465B4">
        <w:rPr>
          <w:rFonts w:ascii="Segoe UI" w:eastAsia="Calibri" w:hAnsi="Segoe UI" w:cs="Segoe UI"/>
          <w:color w:val="666666"/>
          <w:sz w:val="20"/>
          <w:szCs w:val="20"/>
        </w:rPr>
        <w:t xml:space="preserve"> Revenue </w:t>
      </w:r>
      <w:r w:rsidR="009F579B" w:rsidRPr="008465B4">
        <w:rPr>
          <w:rFonts w:ascii="Segoe UI" w:eastAsia="Calibri" w:hAnsi="Segoe UI" w:cs="Segoe UI"/>
          <w:color w:val="666666"/>
          <w:sz w:val="20"/>
          <w:szCs w:val="20"/>
        </w:rPr>
        <w:t xml:space="preserve">included </w:t>
      </w:r>
      <w:r w:rsidRPr="008465B4">
        <w:rPr>
          <w:rFonts w:ascii="Segoe UI" w:eastAsia="Calibri" w:hAnsi="Segoe UI" w:cs="Segoe UI"/>
          <w:color w:val="666666"/>
          <w:sz w:val="20"/>
          <w:szCs w:val="20"/>
        </w:rPr>
        <w:t xml:space="preserve">an unfavorable foreign currency impact of approximately 3%. </w:t>
      </w:r>
    </w:p>
    <w:p w14:paraId="3F132ECF" w14:textId="77777777" w:rsidR="00DD4683" w:rsidRPr="008465B4" w:rsidRDefault="00DD4683" w:rsidP="00EC7C54">
      <w:pPr>
        <w:pStyle w:val="NormalWeb"/>
        <w:numPr>
          <w:ilvl w:val="0"/>
          <w:numId w:val="7"/>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Enterprise Services revenue grew $159 million or 12%, driven by growth in Premier Support Services. Revenue included an unfavorable foreign currency impact of approximately 2%. </w:t>
      </w:r>
    </w:p>
    <w:p w14:paraId="5DF79350" w14:textId="1E54A2ED"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Intelligent Cloud operating income decreased $443 million or 17%, primarily due to higher operating expenses. Operating expenses increased $471 million or 22%, mainly due to higher research and development expenses</w:t>
      </w:r>
      <w:r w:rsidR="00346676">
        <w:rPr>
          <w:rFonts w:ascii="Segoe UI" w:eastAsia="Calibri" w:hAnsi="Segoe UI" w:cs="Segoe UI"/>
          <w:color w:val="666666"/>
          <w:sz w:val="20"/>
          <w:szCs w:val="20"/>
        </w:rPr>
        <w:t xml:space="preserve"> and </w:t>
      </w:r>
      <w:r w:rsidR="00346676" w:rsidRPr="008465B4">
        <w:rPr>
          <w:rFonts w:ascii="Segoe UI" w:eastAsia="Calibri" w:hAnsi="Segoe UI" w:cs="Segoe UI"/>
          <w:color w:val="666666"/>
          <w:sz w:val="20"/>
          <w:szCs w:val="20"/>
        </w:rPr>
        <w:t>sales and marketing expenses</w:t>
      </w:r>
      <w:r w:rsidRPr="008465B4">
        <w:rPr>
          <w:rFonts w:ascii="Segoe UI" w:eastAsia="Calibri" w:hAnsi="Segoe UI" w:cs="Segoe UI"/>
          <w:color w:val="666666"/>
          <w:sz w:val="20"/>
          <w:szCs w:val="20"/>
        </w:rPr>
        <w:t xml:space="preserve">, driven by </w:t>
      </w:r>
      <w:r w:rsidR="00346676" w:rsidRPr="008465B4">
        <w:rPr>
          <w:rFonts w:ascii="Segoe UI" w:eastAsia="Calibri" w:hAnsi="Segoe UI" w:cs="Segoe UI"/>
          <w:color w:val="666666"/>
          <w:sz w:val="20"/>
          <w:szCs w:val="20"/>
        </w:rPr>
        <w:t xml:space="preserve">strategic investments and acquisitions </w:t>
      </w:r>
      <w:r w:rsidR="00361027">
        <w:rPr>
          <w:rFonts w:ascii="Segoe UI" w:eastAsia="Calibri" w:hAnsi="Segoe UI" w:cs="Segoe UI"/>
          <w:color w:val="666666"/>
          <w:sz w:val="20"/>
          <w:szCs w:val="20"/>
        </w:rPr>
        <w:t xml:space="preserve">to drive </w:t>
      </w:r>
      <w:r w:rsidR="00250FD5">
        <w:rPr>
          <w:rFonts w:ascii="Segoe UI" w:eastAsia="Calibri" w:hAnsi="Segoe UI" w:cs="Segoe UI"/>
          <w:color w:val="666666"/>
          <w:sz w:val="20"/>
          <w:szCs w:val="20"/>
        </w:rPr>
        <w:t xml:space="preserve">cloud </w:t>
      </w:r>
      <w:r w:rsidRPr="008465B4">
        <w:rPr>
          <w:rFonts w:ascii="Segoe UI" w:eastAsia="Calibri" w:hAnsi="Segoe UI" w:cs="Segoe UI"/>
          <w:color w:val="666666"/>
          <w:sz w:val="20"/>
          <w:szCs w:val="20"/>
        </w:rPr>
        <w:t xml:space="preserve">sales capacity </w:t>
      </w:r>
      <w:r w:rsidR="00361027">
        <w:rPr>
          <w:rFonts w:ascii="Segoe UI" w:eastAsia="Calibri" w:hAnsi="Segoe UI" w:cs="Segoe UI"/>
          <w:color w:val="666666"/>
          <w:sz w:val="20"/>
          <w:szCs w:val="20"/>
        </w:rPr>
        <w:t xml:space="preserve">and </w:t>
      </w:r>
      <w:r w:rsidRPr="008465B4">
        <w:rPr>
          <w:rFonts w:ascii="Segoe UI" w:eastAsia="Calibri" w:hAnsi="Segoe UI" w:cs="Segoe UI"/>
          <w:color w:val="666666"/>
          <w:sz w:val="20"/>
          <w:szCs w:val="20"/>
        </w:rPr>
        <w:t xml:space="preserve">innovation. Gross margin increased slightly, mainly due to higher revenue, offset in part by higher cost of revenue, driven by an increased mix of cloud </w:t>
      </w:r>
      <w:r w:rsidR="00250FD5">
        <w:rPr>
          <w:rFonts w:ascii="Segoe UI" w:eastAsia="Calibri" w:hAnsi="Segoe UI" w:cs="Segoe UI"/>
          <w:color w:val="666666"/>
          <w:sz w:val="20"/>
          <w:szCs w:val="20"/>
        </w:rPr>
        <w:t>offerings</w:t>
      </w:r>
      <w:r w:rsidRPr="008465B4">
        <w:rPr>
          <w:rFonts w:ascii="Segoe UI" w:eastAsia="Calibri" w:hAnsi="Segoe UI" w:cs="Segoe UI"/>
          <w:color w:val="666666"/>
          <w:sz w:val="20"/>
          <w:szCs w:val="20"/>
        </w:rPr>
        <w:t>. Gross margin included an unfavorable foreign currency impact of approximately 4%.</w:t>
      </w:r>
    </w:p>
    <w:p w14:paraId="7DDB5547" w14:textId="77777777" w:rsidR="00DD4683" w:rsidRPr="008465B4" w:rsidRDefault="00DD4683" w:rsidP="00DD4683">
      <w:pPr>
        <w:spacing w:before="160" w:line="280" w:lineRule="exact"/>
        <w:jc w:val="both"/>
        <w:rPr>
          <w:rFonts w:ascii="Segoe UI" w:hAnsi="Segoe UI" w:cs="Segoe UI"/>
          <w:b/>
          <w:i/>
          <w:color w:val="666666"/>
          <w:sz w:val="20"/>
          <w:szCs w:val="20"/>
        </w:rPr>
      </w:pPr>
      <w:r w:rsidRPr="008465B4">
        <w:rPr>
          <w:rFonts w:ascii="Segoe UI" w:hAnsi="Segoe UI" w:cs="Segoe UI"/>
          <w:b/>
          <w:i/>
          <w:color w:val="666666"/>
          <w:sz w:val="20"/>
          <w:szCs w:val="20"/>
        </w:rPr>
        <w:t>More Personal Computing</w:t>
      </w:r>
    </w:p>
    <w:p w14:paraId="6263703D" w14:textId="77777777"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More Personal Computing revenue decreased $346 million or 4%, mainly due to lower revenue from Devices and Gaming, offset in part by higher revenue from search advertising and Windows. Revenue included an unfavorable foreign currency impact of approximately 2%. </w:t>
      </w:r>
    </w:p>
    <w:p w14:paraId="1BD5C049" w14:textId="77777777" w:rsidR="00DD4683" w:rsidRPr="008465B4" w:rsidRDefault="00DD4683" w:rsidP="00DD4683">
      <w:pPr>
        <w:pStyle w:val="NormalWeb"/>
        <w:numPr>
          <w:ilvl w:val="0"/>
          <w:numId w:val="8"/>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Devices revenue decreased $782 million or 35%, mainly due to lower revenue from phones, driven by the change in strategy for the phone business, offset in part by higher Surface revenue. Phone revenue decreased $870 million or 71%, driven by a reduction in volume of phones sold. Surface revenue increased $76 million or 9%, primarily driven by the release of Surface Pro 4 and Surface Book in the second quarter of fiscal year 2016, offset in part by a decline in revenue from Surface Pro 3 and Surface 3.</w:t>
      </w:r>
    </w:p>
    <w:p w14:paraId="723E681D" w14:textId="77777777" w:rsidR="00DD4683" w:rsidRPr="008465B4" w:rsidRDefault="00DD4683" w:rsidP="00DD4683">
      <w:pPr>
        <w:pStyle w:val="NormalWeb"/>
        <w:numPr>
          <w:ilvl w:val="0"/>
          <w:numId w:val="8"/>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Gaming revenue decreased $152 million or 9%, primarily due to lower Xbox hardware revenue, offset in part by higher revenue from Xbox Live. Xbox hardware revenue decreased 33%, mainly due to a decline in consoles sold and lower prices of consoles sold. Xbox Live revenue increased 4%, driven by higher volume of transactions and revenue per transaction. </w:t>
      </w:r>
    </w:p>
    <w:p w14:paraId="5F2D1832" w14:textId="77777777" w:rsidR="00E91045" w:rsidRPr="008465B4" w:rsidRDefault="00E91045" w:rsidP="00E91045">
      <w:pPr>
        <w:pStyle w:val="NormalWeb"/>
        <w:numPr>
          <w:ilvl w:val="0"/>
          <w:numId w:val="8"/>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Search advertising revenue increased $514 million or 54%. Search advertising revenue, excluding traffic acquisition costs, increased 16%, primarily driven by growth in Bing, due to higher revenue per search and higher search volume. </w:t>
      </w:r>
    </w:p>
    <w:p w14:paraId="6419829A" w14:textId="6BFA9CF8" w:rsidR="00DD4683" w:rsidRPr="008465B4" w:rsidRDefault="0003088F" w:rsidP="00565FCA">
      <w:pPr>
        <w:pStyle w:val="NormalWeb"/>
        <w:numPr>
          <w:ilvl w:val="0"/>
          <w:numId w:val="8"/>
        </w:numPr>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Windows revenue increased slightly, mainly due to higher revenue from Windows OEM, offset in part by lower revenue from patent licensing. Windows OEM revenue increased 11%. Windows OEM non-Pro revenue grew 27%, outperforming the consumer PC market, driven by a higher mix of premium licenses sold. Windows OEM Pro revenue grew 2%, </w:t>
      </w:r>
      <w:r w:rsidR="00565FCA">
        <w:rPr>
          <w:rFonts w:ascii="Segoe UI" w:eastAsia="Calibri" w:hAnsi="Segoe UI" w:cs="Segoe UI"/>
          <w:color w:val="666666"/>
          <w:sz w:val="20"/>
          <w:szCs w:val="20"/>
        </w:rPr>
        <w:t xml:space="preserve">reflecting </w:t>
      </w:r>
      <w:r w:rsidRPr="008465B4">
        <w:rPr>
          <w:rFonts w:ascii="Segoe UI" w:eastAsia="Calibri" w:hAnsi="Segoe UI" w:cs="Segoe UI"/>
          <w:color w:val="666666"/>
          <w:sz w:val="20"/>
          <w:szCs w:val="20"/>
        </w:rPr>
        <w:t xml:space="preserve">a </w:t>
      </w:r>
      <w:r w:rsidR="00565FCA" w:rsidRPr="00565FCA">
        <w:rPr>
          <w:rFonts w:ascii="Segoe UI" w:eastAsia="Calibri" w:hAnsi="Segoe UI" w:cs="Segoe UI"/>
          <w:color w:val="666666"/>
          <w:sz w:val="20"/>
          <w:szCs w:val="20"/>
        </w:rPr>
        <w:t xml:space="preserve">stabilizing commercial PC market and </w:t>
      </w:r>
      <w:r w:rsidR="00565FCA">
        <w:rPr>
          <w:rFonts w:ascii="Segoe UI" w:eastAsia="Calibri" w:hAnsi="Segoe UI" w:cs="Segoe UI"/>
          <w:color w:val="666666"/>
          <w:sz w:val="20"/>
          <w:szCs w:val="20"/>
        </w:rPr>
        <w:t xml:space="preserve">a </w:t>
      </w:r>
      <w:r w:rsidRPr="008465B4">
        <w:rPr>
          <w:rFonts w:ascii="Segoe UI" w:eastAsia="Calibri" w:hAnsi="Segoe UI" w:cs="Segoe UI"/>
          <w:color w:val="666666"/>
          <w:sz w:val="20"/>
          <w:szCs w:val="20"/>
        </w:rPr>
        <w:t>higher mix of business PCs sold with Windows Pro. Patent licensing revenue decreased 21%, due to a decline in licensed units and license revenue per unit. Windows revenue included an unfavorable foreign currency impact of approximately 3%.</w:t>
      </w:r>
    </w:p>
    <w:p w14:paraId="4757EED5" w14:textId="77777777" w:rsidR="00DD4683" w:rsidRPr="008465B4" w:rsidRDefault="00DD4683" w:rsidP="00DD4683">
      <w:pPr>
        <w:pStyle w:val="NormalWeb"/>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More Personal Computing operating income increased $359 million or 59%, primarily due to lower operating expenses, offset in part by lower gross margin. Operating expenses decreased $508 million or 13%, mainly due to lower sales and marketing expenses and research and development expenses, driven by a reduction in phone expenses and the transition of our display sales responsibility. Gross margin decreased $149 million or 3%, reflecting lower revenue, offset in part by </w:t>
      </w:r>
      <w:r w:rsidRPr="008465B4" w:rsidDel="009B31F9">
        <w:rPr>
          <w:rFonts w:ascii="Segoe UI" w:eastAsia="Calibri" w:hAnsi="Segoe UI" w:cs="Segoe UI"/>
          <w:color w:val="666666"/>
          <w:sz w:val="20"/>
          <w:szCs w:val="20"/>
        </w:rPr>
        <w:t>a reduction in cost of revenue</w:t>
      </w:r>
      <w:r w:rsidRPr="008465B4">
        <w:rPr>
          <w:rFonts w:ascii="Segoe UI" w:eastAsia="Calibri" w:hAnsi="Segoe UI" w:cs="Segoe UI"/>
          <w:color w:val="666666"/>
          <w:sz w:val="20"/>
          <w:szCs w:val="20"/>
        </w:rPr>
        <w:t>.  The decline in cost of revenue was driven by a reduction in phone sales, offset in part by higher search advertising cost of revenue.</w:t>
      </w:r>
      <w:r w:rsidRPr="008465B4" w:rsidDel="009B31F9">
        <w:rPr>
          <w:rFonts w:ascii="Segoe UI" w:eastAsia="Calibri" w:hAnsi="Segoe UI" w:cs="Segoe UI"/>
          <w:color w:val="666666"/>
          <w:sz w:val="20"/>
          <w:szCs w:val="20"/>
        </w:rPr>
        <w:t xml:space="preserve"> </w:t>
      </w:r>
      <w:r w:rsidRPr="008465B4">
        <w:rPr>
          <w:rFonts w:ascii="Segoe UI" w:eastAsia="Calibri" w:hAnsi="Segoe UI" w:cs="Segoe UI"/>
          <w:color w:val="666666"/>
          <w:sz w:val="20"/>
          <w:szCs w:val="20"/>
        </w:rPr>
        <w:t>Gross margin included an unfavorable foreign currency impact of approximately 3%.</w:t>
      </w:r>
    </w:p>
    <w:p w14:paraId="13722B43" w14:textId="77777777" w:rsidR="00DD4683" w:rsidRPr="008465B4" w:rsidRDefault="00DD4683" w:rsidP="00DD4683">
      <w:pPr>
        <w:pStyle w:val="NormalWeb"/>
        <w:keepNext/>
        <w:spacing w:before="160" w:beforeAutospacing="0" w:after="160" w:afterAutospacing="0"/>
        <w:rPr>
          <w:rFonts w:ascii="Segoe UI" w:hAnsi="Segoe UI" w:cs="Segoe UI"/>
          <w:b/>
          <w:bCs/>
          <w:color w:val="666666"/>
          <w:sz w:val="20"/>
          <w:szCs w:val="20"/>
        </w:rPr>
      </w:pPr>
      <w:r w:rsidRPr="008465B4">
        <w:rPr>
          <w:rFonts w:ascii="Segoe UI" w:hAnsi="Segoe UI" w:cs="Segoe UI"/>
          <w:b/>
          <w:bCs/>
          <w:color w:val="666666"/>
          <w:sz w:val="20"/>
          <w:szCs w:val="20"/>
        </w:rPr>
        <w:t>EXPENSES</w:t>
      </w:r>
    </w:p>
    <w:p w14:paraId="766F4921" w14:textId="77777777" w:rsidR="00DD4683" w:rsidRPr="008465B4" w:rsidRDefault="00DD4683" w:rsidP="00DD4683">
      <w:pPr>
        <w:pStyle w:val="NormalWeb"/>
        <w:numPr>
          <w:ilvl w:val="0"/>
          <w:numId w:val="6"/>
        </w:numPr>
        <w:spacing w:before="160" w:beforeAutospacing="0" w:after="160" w:afterAutospacing="0" w:line="280" w:lineRule="exact"/>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Research and development expenses increased $52 million or 2%, primarily due to increased investment in our cloud platform, including headcount-related expenses, offset in part by a reduction in phone expenses, driven by the change in strategy for the phone business. </w:t>
      </w:r>
    </w:p>
    <w:p w14:paraId="26556882" w14:textId="77777777" w:rsidR="00DD4683" w:rsidRPr="008465B4" w:rsidRDefault="00DD4683" w:rsidP="00DD4683">
      <w:pPr>
        <w:pStyle w:val="NormalWeb"/>
        <w:numPr>
          <w:ilvl w:val="0"/>
          <w:numId w:val="6"/>
        </w:numPr>
        <w:spacing w:before="160" w:beforeAutospacing="0" w:after="160" w:afterAutospacing="0" w:line="280" w:lineRule="exact"/>
        <w:rPr>
          <w:rFonts w:ascii="Segoe UI" w:eastAsia="Calibri" w:hAnsi="Segoe UI" w:cs="Segoe UI"/>
          <w:color w:val="666666"/>
          <w:sz w:val="20"/>
          <w:szCs w:val="20"/>
        </w:rPr>
      </w:pPr>
      <w:r w:rsidRPr="008465B4">
        <w:rPr>
          <w:rFonts w:ascii="Segoe UI" w:eastAsia="Calibri" w:hAnsi="Segoe UI" w:cs="Segoe UI"/>
          <w:color w:val="666666"/>
          <w:sz w:val="20"/>
          <w:szCs w:val="20"/>
        </w:rPr>
        <w:t>Sales and marketing expenses increased $37 million or 1%, primarily due</w:t>
      </w:r>
      <w:r w:rsidR="00264D9F">
        <w:rPr>
          <w:rFonts w:ascii="Segoe UI" w:eastAsia="Calibri" w:hAnsi="Segoe UI" w:cs="Segoe UI"/>
          <w:color w:val="666666"/>
          <w:sz w:val="20"/>
          <w:szCs w:val="20"/>
        </w:rPr>
        <w:t xml:space="preserve"> to increased investment in </w:t>
      </w:r>
      <w:r w:rsidRPr="008465B4">
        <w:rPr>
          <w:rFonts w:ascii="Segoe UI" w:eastAsia="Calibri" w:hAnsi="Segoe UI" w:cs="Segoe UI"/>
          <w:color w:val="666666"/>
          <w:sz w:val="20"/>
          <w:szCs w:val="20"/>
        </w:rPr>
        <w:t xml:space="preserve">commercial cloud and search advertising, offset in part by a reduction in phone expenses. </w:t>
      </w:r>
    </w:p>
    <w:p w14:paraId="3596FDE5" w14:textId="77777777" w:rsidR="00DD4683" w:rsidRPr="008465B4" w:rsidRDefault="00DD4683" w:rsidP="00DD4683">
      <w:pPr>
        <w:pStyle w:val="NormalWeb"/>
        <w:numPr>
          <w:ilvl w:val="0"/>
          <w:numId w:val="6"/>
        </w:numPr>
        <w:spacing w:before="160" w:beforeAutospacing="0" w:after="160" w:afterAutospacing="0" w:line="280" w:lineRule="exact"/>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General and administrative expenses increased $29 million or 2%, primarily due to increased investment in infrastructure supporting our business transformation, offset in part by lower business taxes. </w:t>
      </w:r>
    </w:p>
    <w:p w14:paraId="7C971CA5" w14:textId="21317F87" w:rsidR="00DD4683" w:rsidRPr="008465B4" w:rsidRDefault="0003088F" w:rsidP="00DD4683">
      <w:pPr>
        <w:pStyle w:val="NormalWeb"/>
        <w:numPr>
          <w:ilvl w:val="0"/>
          <w:numId w:val="6"/>
        </w:numPr>
        <w:spacing w:before="160" w:beforeAutospacing="0" w:after="160" w:afterAutospacing="0" w:line="280" w:lineRule="exact"/>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Impairment, integration, and restructuring expenses were $1.1 billion, compared to $8.4 billion in the prior year. During the fourth quarter of fiscal year 2016, we recorded $630 million of </w:t>
      </w:r>
      <w:r w:rsidRPr="008465B4">
        <w:rPr>
          <w:rFonts w:ascii="Segoe UI" w:hAnsi="Segoe UI" w:cs="Segoe UI"/>
          <w:color w:val="666666"/>
          <w:sz w:val="20"/>
          <w:szCs w:val="20"/>
        </w:rPr>
        <w:t xml:space="preserve">asset impairment charges </w:t>
      </w:r>
      <w:r w:rsidR="00334120" w:rsidRPr="008465B4">
        <w:rPr>
          <w:rFonts w:ascii="Segoe UI" w:hAnsi="Segoe UI" w:cs="Segoe UI"/>
          <w:color w:val="666666"/>
          <w:sz w:val="20"/>
          <w:szCs w:val="20"/>
        </w:rPr>
        <w:t xml:space="preserve">which reflected </w:t>
      </w:r>
      <w:r w:rsidRPr="008465B4">
        <w:rPr>
          <w:rFonts w:ascii="Segoe UI" w:hAnsi="Segoe UI" w:cs="Segoe UI"/>
          <w:color w:val="666666"/>
          <w:sz w:val="20"/>
          <w:szCs w:val="20"/>
        </w:rPr>
        <w:t xml:space="preserve">the performance of our phone business, </w:t>
      </w:r>
      <w:r w:rsidR="00637D00">
        <w:rPr>
          <w:rFonts w:ascii="Segoe UI" w:hAnsi="Segoe UI" w:cs="Segoe UI"/>
          <w:color w:val="666666"/>
          <w:sz w:val="20"/>
          <w:szCs w:val="20"/>
        </w:rPr>
        <w:t>and</w:t>
      </w:r>
      <w:r w:rsidRPr="008465B4">
        <w:rPr>
          <w:rFonts w:ascii="Segoe UI" w:hAnsi="Segoe UI" w:cs="Segoe UI"/>
          <w:color w:val="666666"/>
          <w:sz w:val="20"/>
          <w:szCs w:val="20"/>
        </w:rPr>
        <w:t xml:space="preserve"> $480 million of restructuring charges primarily related to our </w:t>
      </w:r>
      <w:r w:rsidR="00E650A7">
        <w:rPr>
          <w:rFonts w:ascii="Segoe UI" w:hAnsi="Segoe UI" w:cs="Segoe UI"/>
          <w:color w:val="666666"/>
          <w:sz w:val="20"/>
          <w:szCs w:val="20"/>
        </w:rPr>
        <w:t xml:space="preserve">previously announced </w:t>
      </w:r>
      <w:r w:rsidRPr="008465B4">
        <w:rPr>
          <w:rFonts w:ascii="Segoe UI" w:hAnsi="Segoe UI" w:cs="Segoe UI"/>
          <w:color w:val="666666"/>
          <w:sz w:val="20"/>
          <w:szCs w:val="20"/>
        </w:rPr>
        <w:t xml:space="preserve">phone business restructuring plans. </w:t>
      </w:r>
      <w:r w:rsidRPr="008465B4">
        <w:rPr>
          <w:rFonts w:ascii="Segoe UI" w:eastAsia="Calibri" w:hAnsi="Segoe UI" w:cs="Segoe UI"/>
          <w:color w:val="666666"/>
          <w:sz w:val="20"/>
          <w:szCs w:val="20"/>
        </w:rPr>
        <w:t xml:space="preserve">During the fourth quarter of fiscal year 2015, we recorded $7.5 billion of goodwill </w:t>
      </w:r>
      <w:r w:rsidRPr="008465B4">
        <w:rPr>
          <w:rFonts w:ascii="Segoe UI" w:hAnsi="Segoe UI" w:cs="Segoe UI"/>
          <w:color w:val="666666"/>
          <w:sz w:val="20"/>
          <w:szCs w:val="20"/>
        </w:rPr>
        <w:t xml:space="preserve">and asset impairment charges related to our phone business, </w:t>
      </w:r>
      <w:r w:rsidR="00CE3198">
        <w:rPr>
          <w:rFonts w:ascii="Segoe UI" w:hAnsi="Segoe UI" w:cs="Segoe UI"/>
          <w:color w:val="666666"/>
          <w:sz w:val="20"/>
          <w:szCs w:val="20"/>
        </w:rPr>
        <w:t xml:space="preserve">and </w:t>
      </w:r>
      <w:r w:rsidRPr="008465B4">
        <w:rPr>
          <w:rFonts w:ascii="Segoe UI" w:hAnsi="Segoe UI" w:cs="Segoe UI"/>
          <w:color w:val="666666"/>
          <w:sz w:val="20"/>
          <w:szCs w:val="20"/>
        </w:rPr>
        <w:t xml:space="preserve">$940 million of integration and restructuring expenses </w:t>
      </w:r>
      <w:r w:rsidR="005D1040" w:rsidRPr="008465B4">
        <w:rPr>
          <w:rFonts w:ascii="Segoe UI" w:hAnsi="Segoe UI" w:cs="Segoe UI"/>
          <w:color w:val="666666"/>
          <w:sz w:val="20"/>
          <w:szCs w:val="20"/>
        </w:rPr>
        <w:t xml:space="preserve">primarily </w:t>
      </w:r>
      <w:r w:rsidRPr="008465B4">
        <w:rPr>
          <w:rFonts w:ascii="Segoe UI" w:hAnsi="Segoe UI" w:cs="Segoe UI"/>
          <w:color w:val="666666"/>
          <w:sz w:val="20"/>
          <w:szCs w:val="20"/>
        </w:rPr>
        <w:t>related to our phone business restructuring plans.</w:t>
      </w:r>
      <w:r w:rsidR="00DD4683" w:rsidRPr="008465B4">
        <w:rPr>
          <w:rFonts w:ascii="Segoe UI" w:hAnsi="Segoe UI" w:cs="Segoe UI"/>
          <w:color w:val="666666"/>
          <w:sz w:val="20"/>
          <w:szCs w:val="20"/>
        </w:rPr>
        <w:t xml:space="preserve"> </w:t>
      </w:r>
    </w:p>
    <w:p w14:paraId="2AA9C6F2" w14:textId="77777777" w:rsidR="00DD4683" w:rsidRPr="008465B4" w:rsidRDefault="00DD4683" w:rsidP="00DD4683">
      <w:pPr>
        <w:pStyle w:val="NormalWeb"/>
        <w:spacing w:before="160" w:beforeAutospacing="0" w:after="160" w:afterAutospacing="0" w:line="280" w:lineRule="exact"/>
        <w:rPr>
          <w:rFonts w:ascii="Segoe UI" w:hAnsi="Segoe UI" w:cs="Segoe UI"/>
          <w:b/>
          <w:bCs/>
          <w:color w:val="666666"/>
          <w:sz w:val="20"/>
          <w:szCs w:val="20"/>
        </w:rPr>
      </w:pPr>
      <w:r w:rsidRPr="008465B4">
        <w:rPr>
          <w:rFonts w:ascii="Segoe UI" w:hAnsi="Segoe UI" w:cs="Segoe UI"/>
          <w:b/>
          <w:bCs/>
          <w:color w:val="666666"/>
          <w:sz w:val="20"/>
          <w:szCs w:val="20"/>
        </w:rPr>
        <w:t>INCOME TAXES</w:t>
      </w:r>
    </w:p>
    <w:p w14:paraId="4E420A8E" w14:textId="77777777" w:rsidR="00DD4683" w:rsidRPr="008465B4" w:rsidRDefault="00E91045" w:rsidP="00DD4683">
      <w:pPr>
        <w:pStyle w:val="NormalWeb"/>
        <w:spacing w:before="160" w:beforeAutospacing="0" w:after="160" w:afterAutospacing="0" w:line="280" w:lineRule="exact"/>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The effective tax rate was 7% for the current quarter, compared to (82)% in the prior year. The current quarter effective tax rate reflected a favorable mix of our income between the U.S. and foreign countries, as well as benefits associated with distributions from foreign affiliates. The prior year effective tax rate reflected impairment charges that were not tax deductible. </w:t>
      </w:r>
      <w:r w:rsidRPr="008465B4">
        <w:rPr>
          <w:rFonts w:ascii="Segoe UI" w:hAnsi="Segoe UI" w:cs="Segoe UI"/>
          <w:color w:val="666666"/>
          <w:sz w:val="20"/>
          <w:szCs w:val="20"/>
        </w:rPr>
        <w:t>The Non-GAAP effective tax rate for the current quarter was 15%, including adjustments for the net revenue deferral from Windows 10 and restructuring and related impairment charges as discussed above.</w:t>
      </w:r>
      <w:r w:rsidR="00DD4683" w:rsidRPr="008465B4">
        <w:rPr>
          <w:rFonts w:ascii="Segoe UI" w:hAnsi="Segoe UI" w:cs="Segoe UI"/>
          <w:color w:val="666666"/>
          <w:sz w:val="20"/>
          <w:szCs w:val="20"/>
        </w:rPr>
        <w:t xml:space="preserve"> </w:t>
      </w:r>
    </w:p>
    <w:p w14:paraId="7DF43B1F" w14:textId="77777777" w:rsidR="00DD4683" w:rsidRPr="008465B4" w:rsidRDefault="00DD4683" w:rsidP="00DD4683">
      <w:pPr>
        <w:pStyle w:val="NormalWeb"/>
        <w:spacing w:before="160" w:beforeAutospacing="0" w:after="160" w:afterAutospacing="0" w:line="280" w:lineRule="exact"/>
        <w:rPr>
          <w:rFonts w:ascii="Segoe UI" w:hAnsi="Segoe UI" w:cs="Segoe UI"/>
          <w:b/>
          <w:bCs/>
          <w:color w:val="666666"/>
          <w:sz w:val="20"/>
          <w:szCs w:val="20"/>
        </w:rPr>
      </w:pPr>
      <w:r w:rsidRPr="008465B4">
        <w:rPr>
          <w:rFonts w:ascii="Segoe UI" w:hAnsi="Segoe UI" w:cs="Segoe UI"/>
          <w:b/>
          <w:bCs/>
          <w:color w:val="666666"/>
          <w:sz w:val="20"/>
          <w:szCs w:val="20"/>
        </w:rPr>
        <w:t>OTHER INCOME, NET</w:t>
      </w:r>
    </w:p>
    <w:p w14:paraId="48EC6441" w14:textId="07B1CD76" w:rsidR="00730B28" w:rsidRPr="002630B6" w:rsidRDefault="00DD4683" w:rsidP="002630B6">
      <w:pPr>
        <w:pStyle w:val="NormalWeb"/>
        <w:keepNext/>
        <w:spacing w:before="160" w:beforeAutospacing="0" w:after="160" w:afterAutospacing="0"/>
        <w:rPr>
          <w:rFonts w:ascii="Segoe UI" w:eastAsia="Calibri" w:hAnsi="Segoe UI" w:cs="Segoe UI"/>
          <w:color w:val="666666"/>
          <w:sz w:val="20"/>
          <w:szCs w:val="20"/>
        </w:rPr>
      </w:pPr>
      <w:r w:rsidRPr="008465B4">
        <w:rPr>
          <w:rFonts w:ascii="Segoe UI" w:eastAsia="Calibri" w:hAnsi="Segoe UI" w:cs="Segoe UI"/>
          <w:color w:val="666666"/>
          <w:sz w:val="20"/>
          <w:szCs w:val="20"/>
        </w:rPr>
        <w:t>Other income, net decreased $30 million, primarily driven by net gains on foreign currency in the prior year, offset by higher net gains recognized on sales of i</w:t>
      </w:r>
      <w:r w:rsidR="002630B6">
        <w:rPr>
          <w:rFonts w:ascii="Segoe UI" w:eastAsia="Calibri" w:hAnsi="Segoe UI" w:cs="Segoe UI"/>
          <w:color w:val="666666"/>
          <w:sz w:val="20"/>
          <w:szCs w:val="20"/>
        </w:rPr>
        <w:t>nvestments in the current year.</w:t>
      </w:r>
    </w:p>
    <w:sectPr w:rsidR="00730B28" w:rsidRPr="002630B6" w:rsidSect="00210D75">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90DA8"/>
    <w:multiLevelType w:val="hybridMultilevel"/>
    <w:tmpl w:val="C6600E5A"/>
    <w:lvl w:ilvl="0" w:tplc="D57439F4">
      <w:start w:val="7"/>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11A"/>
    <w:multiLevelType w:val="hybridMultilevel"/>
    <w:tmpl w:val="73C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4"/>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74"/>
    <w:rsid w:val="00002759"/>
    <w:rsid w:val="00003AA9"/>
    <w:rsid w:val="00014F52"/>
    <w:rsid w:val="00015102"/>
    <w:rsid w:val="00017264"/>
    <w:rsid w:val="000176AD"/>
    <w:rsid w:val="00021B5F"/>
    <w:rsid w:val="000262E9"/>
    <w:rsid w:val="00026F2D"/>
    <w:rsid w:val="000305F2"/>
    <w:rsid w:val="0003088F"/>
    <w:rsid w:val="00031CFD"/>
    <w:rsid w:val="00032AE3"/>
    <w:rsid w:val="0003579F"/>
    <w:rsid w:val="00043703"/>
    <w:rsid w:val="00043985"/>
    <w:rsid w:val="00043A29"/>
    <w:rsid w:val="000461CD"/>
    <w:rsid w:val="0004779C"/>
    <w:rsid w:val="00050AD3"/>
    <w:rsid w:val="00055E18"/>
    <w:rsid w:val="00061121"/>
    <w:rsid w:val="00061781"/>
    <w:rsid w:val="00061925"/>
    <w:rsid w:val="00065299"/>
    <w:rsid w:val="000673AB"/>
    <w:rsid w:val="00073AD7"/>
    <w:rsid w:val="000848DF"/>
    <w:rsid w:val="000A1595"/>
    <w:rsid w:val="000A3AC8"/>
    <w:rsid w:val="000A7487"/>
    <w:rsid w:val="000A768B"/>
    <w:rsid w:val="000B020E"/>
    <w:rsid w:val="000B18A1"/>
    <w:rsid w:val="000B25A1"/>
    <w:rsid w:val="000B2E6A"/>
    <w:rsid w:val="000B41AD"/>
    <w:rsid w:val="000B5695"/>
    <w:rsid w:val="000B56B9"/>
    <w:rsid w:val="000B77A2"/>
    <w:rsid w:val="000C63DE"/>
    <w:rsid w:val="000D5975"/>
    <w:rsid w:val="000E2E31"/>
    <w:rsid w:val="000E2E8A"/>
    <w:rsid w:val="000F2D61"/>
    <w:rsid w:val="000F455A"/>
    <w:rsid w:val="000F5EBE"/>
    <w:rsid w:val="000F6DD7"/>
    <w:rsid w:val="0010221C"/>
    <w:rsid w:val="00102464"/>
    <w:rsid w:val="00104AF5"/>
    <w:rsid w:val="0010698C"/>
    <w:rsid w:val="001206AD"/>
    <w:rsid w:val="00123D67"/>
    <w:rsid w:val="0012574B"/>
    <w:rsid w:val="001335D1"/>
    <w:rsid w:val="00144BBA"/>
    <w:rsid w:val="00153C41"/>
    <w:rsid w:val="0015787D"/>
    <w:rsid w:val="0016256F"/>
    <w:rsid w:val="001629CC"/>
    <w:rsid w:val="00171DA3"/>
    <w:rsid w:val="00176370"/>
    <w:rsid w:val="0018071E"/>
    <w:rsid w:val="00180CFE"/>
    <w:rsid w:val="00180DED"/>
    <w:rsid w:val="001817B1"/>
    <w:rsid w:val="001824DC"/>
    <w:rsid w:val="00185ACF"/>
    <w:rsid w:val="00194C2F"/>
    <w:rsid w:val="001A1CEF"/>
    <w:rsid w:val="001A545C"/>
    <w:rsid w:val="001A632B"/>
    <w:rsid w:val="001B2343"/>
    <w:rsid w:val="001B3461"/>
    <w:rsid w:val="001C14A2"/>
    <w:rsid w:val="001C151A"/>
    <w:rsid w:val="001C1C14"/>
    <w:rsid w:val="001C722F"/>
    <w:rsid w:val="001C7D36"/>
    <w:rsid w:val="001D5B6B"/>
    <w:rsid w:val="001D742A"/>
    <w:rsid w:val="001E03C5"/>
    <w:rsid w:val="001E0B7E"/>
    <w:rsid w:val="001E0DB5"/>
    <w:rsid w:val="001E22C9"/>
    <w:rsid w:val="001E3211"/>
    <w:rsid w:val="001F162A"/>
    <w:rsid w:val="001F27A5"/>
    <w:rsid w:val="001F4E99"/>
    <w:rsid w:val="0020507A"/>
    <w:rsid w:val="00206595"/>
    <w:rsid w:val="00207B8E"/>
    <w:rsid w:val="0021003F"/>
    <w:rsid w:val="00210D75"/>
    <w:rsid w:val="00212165"/>
    <w:rsid w:val="0021426F"/>
    <w:rsid w:val="00215A06"/>
    <w:rsid w:val="00220F81"/>
    <w:rsid w:val="00221C16"/>
    <w:rsid w:val="00223EE2"/>
    <w:rsid w:val="00225F4E"/>
    <w:rsid w:val="002279C3"/>
    <w:rsid w:val="00230111"/>
    <w:rsid w:val="00231B76"/>
    <w:rsid w:val="00235099"/>
    <w:rsid w:val="002368F2"/>
    <w:rsid w:val="002420D9"/>
    <w:rsid w:val="00242325"/>
    <w:rsid w:val="00247B36"/>
    <w:rsid w:val="00250B9A"/>
    <w:rsid w:val="00250FD5"/>
    <w:rsid w:val="002556CF"/>
    <w:rsid w:val="00255B9E"/>
    <w:rsid w:val="002630B6"/>
    <w:rsid w:val="0026469F"/>
    <w:rsid w:val="00264D9F"/>
    <w:rsid w:val="00266900"/>
    <w:rsid w:val="00267E8C"/>
    <w:rsid w:val="00273038"/>
    <w:rsid w:val="00275EC4"/>
    <w:rsid w:val="00281B62"/>
    <w:rsid w:val="00282FF2"/>
    <w:rsid w:val="00283E62"/>
    <w:rsid w:val="00284CE0"/>
    <w:rsid w:val="002868F0"/>
    <w:rsid w:val="00287680"/>
    <w:rsid w:val="0028777E"/>
    <w:rsid w:val="00287A20"/>
    <w:rsid w:val="00291150"/>
    <w:rsid w:val="0029208E"/>
    <w:rsid w:val="00295038"/>
    <w:rsid w:val="002A06A2"/>
    <w:rsid w:val="002A2E7A"/>
    <w:rsid w:val="002A5B1D"/>
    <w:rsid w:val="002A6DF5"/>
    <w:rsid w:val="002B54A6"/>
    <w:rsid w:val="002C0C29"/>
    <w:rsid w:val="002C1665"/>
    <w:rsid w:val="002C3D0B"/>
    <w:rsid w:val="002C72FB"/>
    <w:rsid w:val="002D24C8"/>
    <w:rsid w:val="002D6092"/>
    <w:rsid w:val="002E1619"/>
    <w:rsid w:val="002E1648"/>
    <w:rsid w:val="002E5EC1"/>
    <w:rsid w:val="002E63A4"/>
    <w:rsid w:val="002E72B8"/>
    <w:rsid w:val="002F5B70"/>
    <w:rsid w:val="00300E1C"/>
    <w:rsid w:val="00302411"/>
    <w:rsid w:val="00304F89"/>
    <w:rsid w:val="00307101"/>
    <w:rsid w:val="00312913"/>
    <w:rsid w:val="003162FF"/>
    <w:rsid w:val="00317234"/>
    <w:rsid w:val="00317D7B"/>
    <w:rsid w:val="00321961"/>
    <w:rsid w:val="003238BD"/>
    <w:rsid w:val="003252DD"/>
    <w:rsid w:val="0033013A"/>
    <w:rsid w:val="003313AF"/>
    <w:rsid w:val="00334120"/>
    <w:rsid w:val="003353AC"/>
    <w:rsid w:val="00337DEA"/>
    <w:rsid w:val="00342CF1"/>
    <w:rsid w:val="00345E4E"/>
    <w:rsid w:val="00346676"/>
    <w:rsid w:val="003506AC"/>
    <w:rsid w:val="003522EF"/>
    <w:rsid w:val="00356D30"/>
    <w:rsid w:val="00361027"/>
    <w:rsid w:val="003619FD"/>
    <w:rsid w:val="00365B1C"/>
    <w:rsid w:val="003668AB"/>
    <w:rsid w:val="00372D95"/>
    <w:rsid w:val="003758FA"/>
    <w:rsid w:val="003772E5"/>
    <w:rsid w:val="00390051"/>
    <w:rsid w:val="003909FC"/>
    <w:rsid w:val="00395D1B"/>
    <w:rsid w:val="003A029B"/>
    <w:rsid w:val="003B15D2"/>
    <w:rsid w:val="003B18D0"/>
    <w:rsid w:val="003B3DEB"/>
    <w:rsid w:val="003B482B"/>
    <w:rsid w:val="003B6FC6"/>
    <w:rsid w:val="003B7B09"/>
    <w:rsid w:val="003C5181"/>
    <w:rsid w:val="003C6FC6"/>
    <w:rsid w:val="003D1174"/>
    <w:rsid w:val="003D3521"/>
    <w:rsid w:val="003D36DA"/>
    <w:rsid w:val="003D4AE4"/>
    <w:rsid w:val="003E0259"/>
    <w:rsid w:val="003E2EF7"/>
    <w:rsid w:val="003E742D"/>
    <w:rsid w:val="003F0145"/>
    <w:rsid w:val="003F31A3"/>
    <w:rsid w:val="003F4BDB"/>
    <w:rsid w:val="0040132F"/>
    <w:rsid w:val="00402087"/>
    <w:rsid w:val="0040541B"/>
    <w:rsid w:val="004070B7"/>
    <w:rsid w:val="00410737"/>
    <w:rsid w:val="00412899"/>
    <w:rsid w:val="00417699"/>
    <w:rsid w:val="00420968"/>
    <w:rsid w:val="0042118B"/>
    <w:rsid w:val="00431931"/>
    <w:rsid w:val="004403B2"/>
    <w:rsid w:val="00442422"/>
    <w:rsid w:val="00443D8E"/>
    <w:rsid w:val="00445C36"/>
    <w:rsid w:val="00446BC0"/>
    <w:rsid w:val="0045124E"/>
    <w:rsid w:val="00452D08"/>
    <w:rsid w:val="004534E6"/>
    <w:rsid w:val="00455ED0"/>
    <w:rsid w:val="004606BC"/>
    <w:rsid w:val="004617B9"/>
    <w:rsid w:val="00461930"/>
    <w:rsid w:val="0046236B"/>
    <w:rsid w:val="00472DA7"/>
    <w:rsid w:val="0048465D"/>
    <w:rsid w:val="004952B3"/>
    <w:rsid w:val="00495468"/>
    <w:rsid w:val="00497800"/>
    <w:rsid w:val="004A36FB"/>
    <w:rsid w:val="004A51CC"/>
    <w:rsid w:val="004A521B"/>
    <w:rsid w:val="004B0E6D"/>
    <w:rsid w:val="004B1374"/>
    <w:rsid w:val="004B2049"/>
    <w:rsid w:val="004C3691"/>
    <w:rsid w:val="004D2BEE"/>
    <w:rsid w:val="004D2CC8"/>
    <w:rsid w:val="004D3BC0"/>
    <w:rsid w:val="004D7AED"/>
    <w:rsid w:val="004F0846"/>
    <w:rsid w:val="004F3DA9"/>
    <w:rsid w:val="004F5312"/>
    <w:rsid w:val="00500129"/>
    <w:rsid w:val="0050202A"/>
    <w:rsid w:val="00505A6F"/>
    <w:rsid w:val="00505E68"/>
    <w:rsid w:val="00512BD9"/>
    <w:rsid w:val="00513D05"/>
    <w:rsid w:val="00514408"/>
    <w:rsid w:val="00517495"/>
    <w:rsid w:val="00525D13"/>
    <w:rsid w:val="00527FBA"/>
    <w:rsid w:val="00535135"/>
    <w:rsid w:val="00540F52"/>
    <w:rsid w:val="005441BF"/>
    <w:rsid w:val="005450A3"/>
    <w:rsid w:val="0055044B"/>
    <w:rsid w:val="00550AA9"/>
    <w:rsid w:val="00554DC1"/>
    <w:rsid w:val="00555792"/>
    <w:rsid w:val="005638AB"/>
    <w:rsid w:val="00565CDB"/>
    <w:rsid w:val="00565FCA"/>
    <w:rsid w:val="00567E9D"/>
    <w:rsid w:val="0057481E"/>
    <w:rsid w:val="005758D5"/>
    <w:rsid w:val="005864C6"/>
    <w:rsid w:val="0059182A"/>
    <w:rsid w:val="00594A96"/>
    <w:rsid w:val="00597DE2"/>
    <w:rsid w:val="00597F87"/>
    <w:rsid w:val="005A0A78"/>
    <w:rsid w:val="005A43F7"/>
    <w:rsid w:val="005A64C4"/>
    <w:rsid w:val="005C666A"/>
    <w:rsid w:val="005D1040"/>
    <w:rsid w:val="005D16CF"/>
    <w:rsid w:val="005D78F4"/>
    <w:rsid w:val="005E4B0F"/>
    <w:rsid w:val="005E56A5"/>
    <w:rsid w:val="005E5EA8"/>
    <w:rsid w:val="005E71B3"/>
    <w:rsid w:val="005E7F93"/>
    <w:rsid w:val="005F3798"/>
    <w:rsid w:val="005F5209"/>
    <w:rsid w:val="005F7C66"/>
    <w:rsid w:val="0060336D"/>
    <w:rsid w:val="00611026"/>
    <w:rsid w:val="006165B1"/>
    <w:rsid w:val="00624A5D"/>
    <w:rsid w:val="006257B3"/>
    <w:rsid w:val="00626C79"/>
    <w:rsid w:val="00633BCB"/>
    <w:rsid w:val="00633ED1"/>
    <w:rsid w:val="00635E6A"/>
    <w:rsid w:val="00637D00"/>
    <w:rsid w:val="006428C7"/>
    <w:rsid w:val="006437C3"/>
    <w:rsid w:val="00647112"/>
    <w:rsid w:val="006529DC"/>
    <w:rsid w:val="00652A42"/>
    <w:rsid w:val="0065310A"/>
    <w:rsid w:val="00662262"/>
    <w:rsid w:val="0066248A"/>
    <w:rsid w:val="00662A38"/>
    <w:rsid w:val="0066366A"/>
    <w:rsid w:val="0066500A"/>
    <w:rsid w:val="00665A67"/>
    <w:rsid w:val="00674A96"/>
    <w:rsid w:val="00674C14"/>
    <w:rsid w:val="00677027"/>
    <w:rsid w:val="006804A3"/>
    <w:rsid w:val="006855DD"/>
    <w:rsid w:val="0068567D"/>
    <w:rsid w:val="00687D66"/>
    <w:rsid w:val="006921AB"/>
    <w:rsid w:val="006945E0"/>
    <w:rsid w:val="006967EE"/>
    <w:rsid w:val="006A0928"/>
    <w:rsid w:val="006A1E04"/>
    <w:rsid w:val="006A39BF"/>
    <w:rsid w:val="006B18BC"/>
    <w:rsid w:val="006B651C"/>
    <w:rsid w:val="006C064D"/>
    <w:rsid w:val="006C1CB3"/>
    <w:rsid w:val="006C3477"/>
    <w:rsid w:val="006C7017"/>
    <w:rsid w:val="006D73DF"/>
    <w:rsid w:val="006E4A28"/>
    <w:rsid w:val="006E4C04"/>
    <w:rsid w:val="006E6552"/>
    <w:rsid w:val="006E7D57"/>
    <w:rsid w:val="006F0575"/>
    <w:rsid w:val="006F31EF"/>
    <w:rsid w:val="006F34B6"/>
    <w:rsid w:val="006F57E1"/>
    <w:rsid w:val="006F71B6"/>
    <w:rsid w:val="006F7691"/>
    <w:rsid w:val="006F7732"/>
    <w:rsid w:val="00702061"/>
    <w:rsid w:val="00703E54"/>
    <w:rsid w:val="007076FC"/>
    <w:rsid w:val="007148CD"/>
    <w:rsid w:val="007212E4"/>
    <w:rsid w:val="00724B6C"/>
    <w:rsid w:val="007259DB"/>
    <w:rsid w:val="00730B28"/>
    <w:rsid w:val="00733014"/>
    <w:rsid w:val="00733415"/>
    <w:rsid w:val="00733477"/>
    <w:rsid w:val="00742FFE"/>
    <w:rsid w:val="00745F21"/>
    <w:rsid w:val="00750826"/>
    <w:rsid w:val="007609F3"/>
    <w:rsid w:val="00761458"/>
    <w:rsid w:val="007636EE"/>
    <w:rsid w:val="00771C37"/>
    <w:rsid w:val="00772190"/>
    <w:rsid w:val="00777C5C"/>
    <w:rsid w:val="0078287B"/>
    <w:rsid w:val="00782F0F"/>
    <w:rsid w:val="00785FE0"/>
    <w:rsid w:val="00792170"/>
    <w:rsid w:val="007A0FC5"/>
    <w:rsid w:val="007A41B4"/>
    <w:rsid w:val="007A4ECF"/>
    <w:rsid w:val="007A4F34"/>
    <w:rsid w:val="007A715E"/>
    <w:rsid w:val="007A7907"/>
    <w:rsid w:val="007B2D51"/>
    <w:rsid w:val="007B3A02"/>
    <w:rsid w:val="007C2F53"/>
    <w:rsid w:val="007C3ECB"/>
    <w:rsid w:val="007C5207"/>
    <w:rsid w:val="007C5D11"/>
    <w:rsid w:val="007C683C"/>
    <w:rsid w:val="007C7D20"/>
    <w:rsid w:val="007D5ADA"/>
    <w:rsid w:val="007E040B"/>
    <w:rsid w:val="007E7B78"/>
    <w:rsid w:val="008025E1"/>
    <w:rsid w:val="00805BB4"/>
    <w:rsid w:val="0081602B"/>
    <w:rsid w:val="00816B7D"/>
    <w:rsid w:val="008208E6"/>
    <w:rsid w:val="0082195C"/>
    <w:rsid w:val="0082440A"/>
    <w:rsid w:val="008269E7"/>
    <w:rsid w:val="00826F89"/>
    <w:rsid w:val="00827235"/>
    <w:rsid w:val="00830384"/>
    <w:rsid w:val="008465B4"/>
    <w:rsid w:val="00846E5C"/>
    <w:rsid w:val="0085258E"/>
    <w:rsid w:val="008526BE"/>
    <w:rsid w:val="0085373E"/>
    <w:rsid w:val="00853750"/>
    <w:rsid w:val="008538A4"/>
    <w:rsid w:val="008579D8"/>
    <w:rsid w:val="0086162B"/>
    <w:rsid w:val="0086532A"/>
    <w:rsid w:val="00865FBB"/>
    <w:rsid w:val="00867C8F"/>
    <w:rsid w:val="0087158C"/>
    <w:rsid w:val="00871F1F"/>
    <w:rsid w:val="0087399E"/>
    <w:rsid w:val="00875A56"/>
    <w:rsid w:val="00884A30"/>
    <w:rsid w:val="008902F3"/>
    <w:rsid w:val="00890C0E"/>
    <w:rsid w:val="00896B10"/>
    <w:rsid w:val="00897839"/>
    <w:rsid w:val="008A03EA"/>
    <w:rsid w:val="008A07BA"/>
    <w:rsid w:val="008A11A2"/>
    <w:rsid w:val="008A52CD"/>
    <w:rsid w:val="008A6EF9"/>
    <w:rsid w:val="008A785B"/>
    <w:rsid w:val="008A7F00"/>
    <w:rsid w:val="008B1353"/>
    <w:rsid w:val="008B2798"/>
    <w:rsid w:val="008B37C7"/>
    <w:rsid w:val="008B6505"/>
    <w:rsid w:val="008C35D7"/>
    <w:rsid w:val="008C3B75"/>
    <w:rsid w:val="008C572C"/>
    <w:rsid w:val="008C5BC7"/>
    <w:rsid w:val="008D0744"/>
    <w:rsid w:val="008D107E"/>
    <w:rsid w:val="008D19E9"/>
    <w:rsid w:val="008D71D9"/>
    <w:rsid w:val="008E0FC4"/>
    <w:rsid w:val="008E142C"/>
    <w:rsid w:val="008E2D9B"/>
    <w:rsid w:val="008F0197"/>
    <w:rsid w:val="008F1217"/>
    <w:rsid w:val="008F246E"/>
    <w:rsid w:val="008F2674"/>
    <w:rsid w:val="008F4E95"/>
    <w:rsid w:val="00901595"/>
    <w:rsid w:val="00914581"/>
    <w:rsid w:val="009148D9"/>
    <w:rsid w:val="00916534"/>
    <w:rsid w:val="009235D2"/>
    <w:rsid w:val="00923E41"/>
    <w:rsid w:val="0092505F"/>
    <w:rsid w:val="0092621B"/>
    <w:rsid w:val="00931497"/>
    <w:rsid w:val="00932E84"/>
    <w:rsid w:val="0093402F"/>
    <w:rsid w:val="009364EC"/>
    <w:rsid w:val="00943592"/>
    <w:rsid w:val="00952EF4"/>
    <w:rsid w:val="00953A82"/>
    <w:rsid w:val="00953FE3"/>
    <w:rsid w:val="00955055"/>
    <w:rsid w:val="00955275"/>
    <w:rsid w:val="0095652A"/>
    <w:rsid w:val="00960540"/>
    <w:rsid w:val="00961859"/>
    <w:rsid w:val="009627DB"/>
    <w:rsid w:val="0096414A"/>
    <w:rsid w:val="00964C3F"/>
    <w:rsid w:val="00964ED7"/>
    <w:rsid w:val="00965821"/>
    <w:rsid w:val="009746C9"/>
    <w:rsid w:val="00984025"/>
    <w:rsid w:val="00985582"/>
    <w:rsid w:val="009861EB"/>
    <w:rsid w:val="009943B9"/>
    <w:rsid w:val="00995303"/>
    <w:rsid w:val="009A0D69"/>
    <w:rsid w:val="009A2CFA"/>
    <w:rsid w:val="009A3DBE"/>
    <w:rsid w:val="009A4107"/>
    <w:rsid w:val="009A4E49"/>
    <w:rsid w:val="009A6AB2"/>
    <w:rsid w:val="009A6DFC"/>
    <w:rsid w:val="009B770F"/>
    <w:rsid w:val="009C1FF7"/>
    <w:rsid w:val="009C66B4"/>
    <w:rsid w:val="009E11F9"/>
    <w:rsid w:val="009E156B"/>
    <w:rsid w:val="009E3723"/>
    <w:rsid w:val="009E3BFF"/>
    <w:rsid w:val="009E5A22"/>
    <w:rsid w:val="009F1937"/>
    <w:rsid w:val="009F43B3"/>
    <w:rsid w:val="009F579B"/>
    <w:rsid w:val="009F7BD1"/>
    <w:rsid w:val="009F7E10"/>
    <w:rsid w:val="00A01781"/>
    <w:rsid w:val="00A12F05"/>
    <w:rsid w:val="00A222B1"/>
    <w:rsid w:val="00A2471D"/>
    <w:rsid w:val="00A27E79"/>
    <w:rsid w:val="00A30459"/>
    <w:rsid w:val="00A3335B"/>
    <w:rsid w:val="00A45139"/>
    <w:rsid w:val="00A50A40"/>
    <w:rsid w:val="00A74AED"/>
    <w:rsid w:val="00A76657"/>
    <w:rsid w:val="00A76F5E"/>
    <w:rsid w:val="00A83396"/>
    <w:rsid w:val="00A84570"/>
    <w:rsid w:val="00A8524E"/>
    <w:rsid w:val="00A85B1C"/>
    <w:rsid w:val="00A90CB9"/>
    <w:rsid w:val="00A918D3"/>
    <w:rsid w:val="00A94805"/>
    <w:rsid w:val="00A975DD"/>
    <w:rsid w:val="00AA0912"/>
    <w:rsid w:val="00AA17A5"/>
    <w:rsid w:val="00AB306F"/>
    <w:rsid w:val="00AB3F25"/>
    <w:rsid w:val="00AB4B9E"/>
    <w:rsid w:val="00AB730D"/>
    <w:rsid w:val="00AC393F"/>
    <w:rsid w:val="00AC6632"/>
    <w:rsid w:val="00AC6BBB"/>
    <w:rsid w:val="00AD0892"/>
    <w:rsid w:val="00AE0C2C"/>
    <w:rsid w:val="00AE62E4"/>
    <w:rsid w:val="00AF0ECE"/>
    <w:rsid w:val="00AF49A7"/>
    <w:rsid w:val="00AF6DAB"/>
    <w:rsid w:val="00B03B9B"/>
    <w:rsid w:val="00B07F84"/>
    <w:rsid w:val="00B11B7E"/>
    <w:rsid w:val="00B1348B"/>
    <w:rsid w:val="00B14DAD"/>
    <w:rsid w:val="00B1635E"/>
    <w:rsid w:val="00B20B04"/>
    <w:rsid w:val="00B20D32"/>
    <w:rsid w:val="00B23F54"/>
    <w:rsid w:val="00B25160"/>
    <w:rsid w:val="00B25966"/>
    <w:rsid w:val="00B2610E"/>
    <w:rsid w:val="00B32C60"/>
    <w:rsid w:val="00B41542"/>
    <w:rsid w:val="00B43134"/>
    <w:rsid w:val="00B4796D"/>
    <w:rsid w:val="00B519D0"/>
    <w:rsid w:val="00B56600"/>
    <w:rsid w:val="00B65472"/>
    <w:rsid w:val="00B65DB2"/>
    <w:rsid w:val="00B66ACF"/>
    <w:rsid w:val="00B6741D"/>
    <w:rsid w:val="00B703DF"/>
    <w:rsid w:val="00B722D9"/>
    <w:rsid w:val="00B7293D"/>
    <w:rsid w:val="00B74FEB"/>
    <w:rsid w:val="00B82B11"/>
    <w:rsid w:val="00B835ED"/>
    <w:rsid w:val="00B85A70"/>
    <w:rsid w:val="00B873F4"/>
    <w:rsid w:val="00B87AF5"/>
    <w:rsid w:val="00B9443B"/>
    <w:rsid w:val="00B95B7B"/>
    <w:rsid w:val="00B96806"/>
    <w:rsid w:val="00B97438"/>
    <w:rsid w:val="00B97AFB"/>
    <w:rsid w:val="00BA22B5"/>
    <w:rsid w:val="00BA78F9"/>
    <w:rsid w:val="00BB215B"/>
    <w:rsid w:val="00BB5E3D"/>
    <w:rsid w:val="00BB771E"/>
    <w:rsid w:val="00BC0AA0"/>
    <w:rsid w:val="00BC40D8"/>
    <w:rsid w:val="00BC44F9"/>
    <w:rsid w:val="00BC5C95"/>
    <w:rsid w:val="00BD209B"/>
    <w:rsid w:val="00BD6107"/>
    <w:rsid w:val="00BE0461"/>
    <w:rsid w:val="00BE1D53"/>
    <w:rsid w:val="00BE2962"/>
    <w:rsid w:val="00BE6637"/>
    <w:rsid w:val="00BE7AEB"/>
    <w:rsid w:val="00BF1487"/>
    <w:rsid w:val="00BF29EE"/>
    <w:rsid w:val="00C00055"/>
    <w:rsid w:val="00C00851"/>
    <w:rsid w:val="00C04332"/>
    <w:rsid w:val="00C049D8"/>
    <w:rsid w:val="00C071C5"/>
    <w:rsid w:val="00C0774E"/>
    <w:rsid w:val="00C11302"/>
    <w:rsid w:val="00C20218"/>
    <w:rsid w:val="00C22F33"/>
    <w:rsid w:val="00C22F46"/>
    <w:rsid w:val="00C26585"/>
    <w:rsid w:val="00C3262F"/>
    <w:rsid w:val="00C32A95"/>
    <w:rsid w:val="00C3473C"/>
    <w:rsid w:val="00C35B36"/>
    <w:rsid w:val="00C36E71"/>
    <w:rsid w:val="00C37933"/>
    <w:rsid w:val="00C40100"/>
    <w:rsid w:val="00C45CF3"/>
    <w:rsid w:val="00C46D9C"/>
    <w:rsid w:val="00C50AEA"/>
    <w:rsid w:val="00C5134D"/>
    <w:rsid w:val="00C57CB3"/>
    <w:rsid w:val="00C6060B"/>
    <w:rsid w:val="00C638E0"/>
    <w:rsid w:val="00C6422B"/>
    <w:rsid w:val="00C6570E"/>
    <w:rsid w:val="00C71257"/>
    <w:rsid w:val="00C754C3"/>
    <w:rsid w:val="00C76FDC"/>
    <w:rsid w:val="00C83B60"/>
    <w:rsid w:val="00C859C1"/>
    <w:rsid w:val="00C877AB"/>
    <w:rsid w:val="00C87E9E"/>
    <w:rsid w:val="00C93ED1"/>
    <w:rsid w:val="00CA2E19"/>
    <w:rsid w:val="00CA3EE7"/>
    <w:rsid w:val="00CB2752"/>
    <w:rsid w:val="00CB3B0D"/>
    <w:rsid w:val="00CB40DD"/>
    <w:rsid w:val="00CB47FF"/>
    <w:rsid w:val="00CC6069"/>
    <w:rsid w:val="00CE0DA2"/>
    <w:rsid w:val="00CE2761"/>
    <w:rsid w:val="00CE3198"/>
    <w:rsid w:val="00CF05B0"/>
    <w:rsid w:val="00D02D72"/>
    <w:rsid w:val="00D07F1E"/>
    <w:rsid w:val="00D10058"/>
    <w:rsid w:val="00D1647A"/>
    <w:rsid w:val="00D17327"/>
    <w:rsid w:val="00D17AD5"/>
    <w:rsid w:val="00D202AB"/>
    <w:rsid w:val="00D20F86"/>
    <w:rsid w:val="00D23C68"/>
    <w:rsid w:val="00D23D45"/>
    <w:rsid w:val="00D23E29"/>
    <w:rsid w:val="00D26326"/>
    <w:rsid w:val="00D432D5"/>
    <w:rsid w:val="00D433AF"/>
    <w:rsid w:val="00D43DFD"/>
    <w:rsid w:val="00D45618"/>
    <w:rsid w:val="00D45D82"/>
    <w:rsid w:val="00D470D9"/>
    <w:rsid w:val="00D5044B"/>
    <w:rsid w:val="00D53102"/>
    <w:rsid w:val="00D61A87"/>
    <w:rsid w:val="00D66993"/>
    <w:rsid w:val="00D7499A"/>
    <w:rsid w:val="00D75AEE"/>
    <w:rsid w:val="00D807A7"/>
    <w:rsid w:val="00D81F47"/>
    <w:rsid w:val="00D82488"/>
    <w:rsid w:val="00D8409D"/>
    <w:rsid w:val="00D8672E"/>
    <w:rsid w:val="00D91898"/>
    <w:rsid w:val="00D91DFA"/>
    <w:rsid w:val="00D96AE4"/>
    <w:rsid w:val="00D973B3"/>
    <w:rsid w:val="00DA0E72"/>
    <w:rsid w:val="00DA3DA6"/>
    <w:rsid w:val="00DA48F8"/>
    <w:rsid w:val="00DA7796"/>
    <w:rsid w:val="00DB0AA9"/>
    <w:rsid w:val="00DB1937"/>
    <w:rsid w:val="00DB2D6B"/>
    <w:rsid w:val="00DB7D52"/>
    <w:rsid w:val="00DC0F13"/>
    <w:rsid w:val="00DC1578"/>
    <w:rsid w:val="00DC1906"/>
    <w:rsid w:val="00DC2811"/>
    <w:rsid w:val="00DC6CD9"/>
    <w:rsid w:val="00DC7E73"/>
    <w:rsid w:val="00DD16D7"/>
    <w:rsid w:val="00DD2E9C"/>
    <w:rsid w:val="00DD4683"/>
    <w:rsid w:val="00DD4B1B"/>
    <w:rsid w:val="00DE0BD6"/>
    <w:rsid w:val="00DF5E9B"/>
    <w:rsid w:val="00E0614E"/>
    <w:rsid w:val="00E12B38"/>
    <w:rsid w:val="00E15BF6"/>
    <w:rsid w:val="00E208AA"/>
    <w:rsid w:val="00E255B7"/>
    <w:rsid w:val="00E31489"/>
    <w:rsid w:val="00E32DB8"/>
    <w:rsid w:val="00E33C46"/>
    <w:rsid w:val="00E34DF0"/>
    <w:rsid w:val="00E363B3"/>
    <w:rsid w:val="00E372C0"/>
    <w:rsid w:val="00E4117F"/>
    <w:rsid w:val="00E414CC"/>
    <w:rsid w:val="00E42BA9"/>
    <w:rsid w:val="00E52EA4"/>
    <w:rsid w:val="00E5531C"/>
    <w:rsid w:val="00E60FD8"/>
    <w:rsid w:val="00E61C49"/>
    <w:rsid w:val="00E63560"/>
    <w:rsid w:val="00E6509E"/>
    <w:rsid w:val="00E650A7"/>
    <w:rsid w:val="00E6799E"/>
    <w:rsid w:val="00E72774"/>
    <w:rsid w:val="00E76C95"/>
    <w:rsid w:val="00E76CAA"/>
    <w:rsid w:val="00E80923"/>
    <w:rsid w:val="00E825B0"/>
    <w:rsid w:val="00E8737B"/>
    <w:rsid w:val="00E878DE"/>
    <w:rsid w:val="00E9022D"/>
    <w:rsid w:val="00E91045"/>
    <w:rsid w:val="00E91507"/>
    <w:rsid w:val="00E92F21"/>
    <w:rsid w:val="00E9314C"/>
    <w:rsid w:val="00EA1EF0"/>
    <w:rsid w:val="00EA5C63"/>
    <w:rsid w:val="00EA5CCE"/>
    <w:rsid w:val="00EA7EB2"/>
    <w:rsid w:val="00EB1FCA"/>
    <w:rsid w:val="00EB4F47"/>
    <w:rsid w:val="00EB57CA"/>
    <w:rsid w:val="00EB6620"/>
    <w:rsid w:val="00EB79CC"/>
    <w:rsid w:val="00EC1210"/>
    <w:rsid w:val="00EC6CD5"/>
    <w:rsid w:val="00EC7C54"/>
    <w:rsid w:val="00ED19E8"/>
    <w:rsid w:val="00ED3CCB"/>
    <w:rsid w:val="00ED5B8C"/>
    <w:rsid w:val="00ED623D"/>
    <w:rsid w:val="00EE291E"/>
    <w:rsid w:val="00EE3138"/>
    <w:rsid w:val="00EF2C73"/>
    <w:rsid w:val="00EF5DC8"/>
    <w:rsid w:val="00F02DC8"/>
    <w:rsid w:val="00F033A8"/>
    <w:rsid w:val="00F055B5"/>
    <w:rsid w:val="00F10B38"/>
    <w:rsid w:val="00F1214C"/>
    <w:rsid w:val="00F127A9"/>
    <w:rsid w:val="00F144BA"/>
    <w:rsid w:val="00F214AA"/>
    <w:rsid w:val="00F23577"/>
    <w:rsid w:val="00F25725"/>
    <w:rsid w:val="00F27D2A"/>
    <w:rsid w:val="00F330C0"/>
    <w:rsid w:val="00F3577D"/>
    <w:rsid w:val="00F375E8"/>
    <w:rsid w:val="00F379BE"/>
    <w:rsid w:val="00F37E9B"/>
    <w:rsid w:val="00F453CB"/>
    <w:rsid w:val="00F46310"/>
    <w:rsid w:val="00F50C86"/>
    <w:rsid w:val="00F53AB1"/>
    <w:rsid w:val="00F5533B"/>
    <w:rsid w:val="00F57938"/>
    <w:rsid w:val="00F6061A"/>
    <w:rsid w:val="00F64C77"/>
    <w:rsid w:val="00F70CB5"/>
    <w:rsid w:val="00F75C94"/>
    <w:rsid w:val="00F77C30"/>
    <w:rsid w:val="00F81431"/>
    <w:rsid w:val="00F83781"/>
    <w:rsid w:val="00F86FD7"/>
    <w:rsid w:val="00F90119"/>
    <w:rsid w:val="00F9033A"/>
    <w:rsid w:val="00F943A5"/>
    <w:rsid w:val="00F9565B"/>
    <w:rsid w:val="00F97D7C"/>
    <w:rsid w:val="00FA3CA9"/>
    <w:rsid w:val="00FA5913"/>
    <w:rsid w:val="00FA6E4C"/>
    <w:rsid w:val="00FB3979"/>
    <w:rsid w:val="00FB3EE6"/>
    <w:rsid w:val="00FB5918"/>
    <w:rsid w:val="00FB7A9B"/>
    <w:rsid w:val="00FD0946"/>
    <w:rsid w:val="00FD1E54"/>
    <w:rsid w:val="00FD68FD"/>
    <w:rsid w:val="00FD6CC6"/>
    <w:rsid w:val="00FE087F"/>
    <w:rsid w:val="00FE1E86"/>
    <w:rsid w:val="00FE3892"/>
    <w:rsid w:val="00FE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77F3"/>
  <w15:chartTrackingRefBased/>
  <w15:docId w15:val="{E230BF71-1207-489B-A7D3-F5A29257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267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674"/>
    <w:pPr>
      <w:ind w:left="720"/>
      <w:contextualSpacing/>
    </w:pPr>
    <w:rPr>
      <w:rFonts w:ascii="Times New Roman" w:hAnsi="Times New Roman"/>
      <w:sz w:val="24"/>
    </w:rPr>
  </w:style>
  <w:style w:type="paragraph" w:styleId="NoSpacing">
    <w:name w:val="No Spacing"/>
    <w:uiPriority w:val="1"/>
    <w:qFormat/>
    <w:rsid w:val="008F2674"/>
    <w:pPr>
      <w:spacing w:after="0" w:line="240" w:lineRule="auto"/>
    </w:pPr>
    <w:rPr>
      <w:rFonts w:ascii="Calibri" w:eastAsia="Calibri" w:hAnsi="Calibri" w:cs="Times New Roman"/>
    </w:rPr>
  </w:style>
  <w:style w:type="paragraph" w:styleId="NormalWeb">
    <w:name w:val="Normal (Web)"/>
    <w:basedOn w:val="Normal"/>
    <w:link w:val="NormalWebChar"/>
    <w:uiPriority w:val="99"/>
    <w:rsid w:val="008F2674"/>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8F2674"/>
    <w:rPr>
      <w:rFonts w:ascii="Arial" w:eastAsia="Times New Roman" w:hAnsi="Arial" w:cs="Times New Roman"/>
      <w:sz w:val="24"/>
      <w:szCs w:val="24"/>
    </w:rPr>
  </w:style>
  <w:style w:type="character" w:styleId="Hyperlink">
    <w:name w:val="Hyperlink"/>
    <w:basedOn w:val="DefaultParagraphFont"/>
    <w:uiPriority w:val="99"/>
    <w:unhideWhenUsed/>
    <w:rsid w:val="008F2674"/>
    <w:rPr>
      <w:color w:val="0563C1" w:themeColor="hyperlink"/>
      <w:u w:val="single"/>
    </w:rPr>
  </w:style>
  <w:style w:type="character" w:styleId="CommentReference">
    <w:name w:val="annotation reference"/>
    <w:basedOn w:val="DefaultParagraphFont"/>
    <w:uiPriority w:val="99"/>
    <w:semiHidden/>
    <w:unhideWhenUsed/>
    <w:rsid w:val="003E0259"/>
    <w:rPr>
      <w:sz w:val="16"/>
      <w:szCs w:val="16"/>
    </w:rPr>
  </w:style>
  <w:style w:type="paragraph" w:styleId="CommentText">
    <w:name w:val="annotation text"/>
    <w:basedOn w:val="Normal"/>
    <w:link w:val="CommentTextChar"/>
    <w:uiPriority w:val="99"/>
    <w:unhideWhenUsed/>
    <w:rsid w:val="003E0259"/>
    <w:pPr>
      <w:spacing w:line="240" w:lineRule="auto"/>
    </w:pPr>
    <w:rPr>
      <w:sz w:val="20"/>
      <w:szCs w:val="20"/>
    </w:rPr>
  </w:style>
  <w:style w:type="character" w:customStyle="1" w:styleId="CommentTextChar">
    <w:name w:val="Comment Text Char"/>
    <w:basedOn w:val="DefaultParagraphFont"/>
    <w:link w:val="CommentText"/>
    <w:uiPriority w:val="99"/>
    <w:rsid w:val="003E025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E0259"/>
    <w:rPr>
      <w:b/>
      <w:bCs/>
    </w:rPr>
  </w:style>
  <w:style w:type="character" w:customStyle="1" w:styleId="CommentSubjectChar">
    <w:name w:val="Comment Subject Char"/>
    <w:basedOn w:val="CommentTextChar"/>
    <w:link w:val="CommentSubject"/>
    <w:uiPriority w:val="99"/>
    <w:semiHidden/>
    <w:rsid w:val="003E025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3E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259"/>
    <w:rPr>
      <w:rFonts w:ascii="Segoe UI" w:eastAsia="Calibri" w:hAnsi="Segoe UI" w:cs="Segoe UI"/>
      <w:sz w:val="18"/>
      <w:szCs w:val="18"/>
    </w:rPr>
  </w:style>
  <w:style w:type="paragraph" w:styleId="Revision">
    <w:name w:val="Revision"/>
    <w:hidden/>
    <w:uiPriority w:val="99"/>
    <w:semiHidden/>
    <w:rsid w:val="009E3BF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4594">
      <w:bodyDiv w:val="1"/>
      <w:marLeft w:val="0"/>
      <w:marRight w:val="0"/>
      <w:marTop w:val="0"/>
      <w:marBottom w:val="0"/>
      <w:divBdr>
        <w:top w:val="none" w:sz="0" w:space="0" w:color="auto"/>
        <w:left w:val="none" w:sz="0" w:space="0" w:color="auto"/>
        <w:bottom w:val="none" w:sz="0" w:space="0" w:color="auto"/>
        <w:right w:val="none" w:sz="0" w:space="0" w:color="auto"/>
      </w:divBdr>
    </w:div>
    <w:div w:id="8531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rosoft.com/en-us/inves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news" TargetMode="External"/><Relationship Id="rId5" Type="http://schemas.openxmlformats.org/officeDocument/2006/relationships/styles" Target="styles.xml"/><Relationship Id="rId10" Type="http://schemas.openxmlformats.org/officeDocument/2006/relationships/hyperlink" Target="mailto:rrt@waggeneredstrom.com" TargetMode="External"/><Relationship Id="rId4" Type="http://schemas.openxmlformats.org/officeDocument/2006/relationships/numbering" Target="numbering.xml"/><Relationship Id="rId9" Type="http://schemas.openxmlformats.org/officeDocument/2006/relationships/hyperlink" Target="http://www.microsoft.com/en-us/inves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33557618422DA444AAE3BD5E9875568E" ma:contentTypeVersion="13" ma:contentTypeDescription="Document Library with additional metadata fields for Earning Release Process:  Deliverable Type, Milestone, ER Subject" ma:contentTypeScope="" ma:versionID="5302d9e0034bbb82b90f6c42f86d30f8">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9f30d15e90cbd5a2a4e02126d80b23d6"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9CFE1-0FF5-4EE3-8D15-3BE2001C7EAD}">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27edee5f-94e3-4077-b4ce-20f56c0ba83d"/>
    <ds:schemaRef ds:uri="http://purl.org/dc/elements/1.1/"/>
    <ds:schemaRef ds:uri="http://schemas.openxmlformats.org/package/2006/metadata/core-properties"/>
    <ds:schemaRef ds:uri="230e9df3-be65-4c73-a93b-d1236ebd677e"/>
    <ds:schemaRef ds:uri="http://www.w3.org/XML/1998/namespace"/>
    <ds:schemaRef ds:uri="http://purl.org/dc/dcmitype/"/>
  </ds:schemaRefs>
</ds:datastoreItem>
</file>

<file path=customXml/itemProps2.xml><?xml version="1.0" encoding="utf-8"?>
<ds:datastoreItem xmlns:ds="http://schemas.openxmlformats.org/officeDocument/2006/customXml" ds:itemID="{9EED9A61-1250-4F1F-B28A-E91DCC8DE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1EB57-9C07-43BE-97DB-9BAEA0854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6016</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Dennie Kimbrough</cp:lastModifiedBy>
  <cp:revision>2</cp:revision>
  <cp:lastPrinted>2016-07-14T02:18:00Z</cp:lastPrinted>
  <dcterms:created xsi:type="dcterms:W3CDTF">2016-07-19T02:01:00Z</dcterms:created>
  <dcterms:modified xsi:type="dcterms:W3CDTF">2016-07-19T02:01:00Z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0x0101002DEF51921D697F4DB2B582A6545F0CB30033557618422DA444AAE3BD5E9875568E</vt:lpwstr>
  </property>
</Properties>
</file>