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C06F7" w14:textId="77777777" w:rsidR="00314DAE" w:rsidRPr="00243400" w:rsidRDefault="00314DAE" w:rsidP="00314DAE">
      <w:pPr>
        <w:spacing w:after="0"/>
        <w:rPr>
          <w:rFonts w:ascii="Segoe UI" w:hAnsi="Segoe UI" w:cs="Segoe UI"/>
          <w:color w:val="666666"/>
          <w:sz w:val="26"/>
          <w:szCs w:val="26"/>
        </w:rPr>
      </w:pPr>
      <w:bookmarkStart w:id="0" w:name="_GoBack"/>
      <w:bookmarkEnd w:id="0"/>
      <w:r w:rsidRPr="00243400">
        <w:rPr>
          <w:rFonts w:ascii="Segoe UI" w:hAnsi="Segoe UI" w:cs="Segoe UI"/>
          <w:color w:val="666666"/>
          <w:sz w:val="26"/>
          <w:szCs w:val="26"/>
        </w:rPr>
        <w:t xml:space="preserve">Microsoft Cloud Strength Highlights </w:t>
      </w:r>
      <w:r w:rsidR="00FF7D87">
        <w:rPr>
          <w:rFonts w:ascii="Segoe UI" w:hAnsi="Segoe UI" w:cs="Segoe UI"/>
          <w:color w:val="666666"/>
          <w:sz w:val="26"/>
          <w:szCs w:val="26"/>
        </w:rPr>
        <w:t xml:space="preserve">Third </w:t>
      </w:r>
      <w:r w:rsidRPr="00243400">
        <w:rPr>
          <w:rFonts w:ascii="Segoe UI" w:hAnsi="Segoe UI" w:cs="Segoe UI"/>
          <w:color w:val="666666"/>
          <w:sz w:val="26"/>
          <w:szCs w:val="26"/>
        </w:rPr>
        <w:t>Quarter Results</w:t>
      </w:r>
    </w:p>
    <w:p w14:paraId="17E4002F" w14:textId="77777777" w:rsidR="002A022B" w:rsidRDefault="00314DAE" w:rsidP="008824FA">
      <w:pPr>
        <w:spacing w:after="0"/>
        <w:rPr>
          <w:rFonts w:ascii="Segoe UI" w:eastAsiaTheme="minorHAnsi" w:hAnsi="Segoe UI" w:cs="Segoe UI"/>
          <w:i/>
          <w:color w:val="666666"/>
          <w:sz w:val="18"/>
          <w:szCs w:val="18"/>
        </w:rPr>
      </w:pPr>
      <w:r w:rsidRPr="00243400">
        <w:rPr>
          <w:rFonts w:ascii="Segoe UI" w:eastAsiaTheme="minorHAnsi" w:hAnsi="Segoe UI" w:cs="Segoe UI"/>
          <w:i/>
          <w:color w:val="666666"/>
          <w:sz w:val="18"/>
          <w:szCs w:val="18"/>
        </w:rPr>
        <w:t>Commercial cloud annualized revenue run rate exceeds $</w:t>
      </w:r>
      <w:r w:rsidR="00E4147E">
        <w:rPr>
          <w:rFonts w:ascii="Segoe UI" w:eastAsiaTheme="minorHAnsi" w:hAnsi="Segoe UI" w:cs="Segoe UI"/>
          <w:i/>
          <w:color w:val="666666"/>
          <w:sz w:val="18"/>
          <w:szCs w:val="18"/>
        </w:rPr>
        <w:t>15.2</w:t>
      </w:r>
      <w:r w:rsidRPr="00243400">
        <w:rPr>
          <w:rFonts w:ascii="Segoe UI" w:eastAsiaTheme="minorHAnsi" w:hAnsi="Segoe UI" w:cs="Segoe UI"/>
          <w:i/>
          <w:color w:val="666666"/>
          <w:sz w:val="18"/>
          <w:szCs w:val="18"/>
        </w:rPr>
        <w:t xml:space="preserve"> billion</w:t>
      </w:r>
    </w:p>
    <w:p w14:paraId="20E7C55F"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b/>
          <w:color w:val="666666"/>
          <w:sz w:val="20"/>
          <w:szCs w:val="20"/>
        </w:rPr>
        <w:t xml:space="preserve">REDMOND, Wash. — </w:t>
      </w:r>
      <w:r w:rsidR="00FF7D87">
        <w:rPr>
          <w:rFonts w:ascii="Segoe UI" w:hAnsi="Segoe UI" w:cs="Segoe UI"/>
          <w:b/>
          <w:color w:val="666666"/>
          <w:sz w:val="20"/>
          <w:szCs w:val="20"/>
        </w:rPr>
        <w:t>April</w:t>
      </w:r>
      <w:r w:rsidRPr="00243400">
        <w:rPr>
          <w:rFonts w:ascii="Segoe UI" w:hAnsi="Segoe UI" w:cs="Segoe UI"/>
          <w:b/>
          <w:color w:val="666666"/>
          <w:sz w:val="20"/>
          <w:szCs w:val="20"/>
        </w:rPr>
        <w:t xml:space="preserve"> 2</w:t>
      </w:r>
      <w:r w:rsidR="008F6ADD">
        <w:rPr>
          <w:rFonts w:ascii="Segoe UI" w:hAnsi="Segoe UI" w:cs="Segoe UI"/>
          <w:b/>
          <w:color w:val="666666"/>
          <w:sz w:val="20"/>
          <w:szCs w:val="20"/>
        </w:rPr>
        <w:t>7</w:t>
      </w:r>
      <w:r w:rsidRPr="00243400">
        <w:rPr>
          <w:rFonts w:ascii="Segoe UI" w:hAnsi="Segoe UI" w:cs="Segoe UI"/>
          <w:b/>
          <w:color w:val="666666"/>
          <w:sz w:val="20"/>
          <w:szCs w:val="20"/>
        </w:rPr>
        <w:t xml:space="preserve">, 2017 — </w:t>
      </w:r>
      <w:r w:rsidRPr="00243400">
        <w:rPr>
          <w:rFonts w:ascii="Segoe UI" w:hAnsi="Segoe UI" w:cs="Segoe UI"/>
          <w:color w:val="666666"/>
          <w:sz w:val="20"/>
          <w:szCs w:val="20"/>
        </w:rPr>
        <w:t xml:space="preserve">Microsoft Corp. today announced the following results for the quarter ended </w:t>
      </w:r>
      <w:r w:rsidR="008F6ADD">
        <w:rPr>
          <w:rFonts w:ascii="Segoe UI" w:hAnsi="Segoe UI" w:cs="Segoe UI"/>
          <w:color w:val="666666"/>
          <w:sz w:val="20"/>
          <w:szCs w:val="20"/>
        </w:rPr>
        <w:t xml:space="preserve">March </w:t>
      </w:r>
      <w:r w:rsidRPr="00243400">
        <w:rPr>
          <w:rFonts w:ascii="Segoe UI" w:hAnsi="Segoe UI" w:cs="Segoe UI"/>
          <w:color w:val="666666"/>
          <w:sz w:val="20"/>
          <w:szCs w:val="20"/>
        </w:rPr>
        <w:t xml:space="preserve">31, </w:t>
      </w:r>
      <w:r w:rsidR="008F6ADD">
        <w:rPr>
          <w:rFonts w:ascii="Segoe UI" w:hAnsi="Segoe UI" w:cs="Segoe UI"/>
          <w:color w:val="666666"/>
          <w:sz w:val="20"/>
          <w:szCs w:val="20"/>
        </w:rPr>
        <w:t>2017</w:t>
      </w:r>
      <w:r w:rsidRPr="00243400">
        <w:rPr>
          <w:rFonts w:ascii="Segoe UI" w:hAnsi="Segoe UI" w:cs="Segoe UI"/>
          <w:color w:val="666666"/>
          <w:sz w:val="20"/>
          <w:szCs w:val="20"/>
        </w:rPr>
        <w:t>:</w:t>
      </w:r>
    </w:p>
    <w:p w14:paraId="768B8D1F" w14:textId="77777777" w:rsidR="00314DAE" w:rsidRPr="00243400" w:rsidRDefault="00314DAE" w:rsidP="00314DAE">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Revenue was $</w:t>
      </w:r>
      <w:r w:rsidR="00086924">
        <w:rPr>
          <w:rFonts w:ascii="Segoe UI" w:hAnsi="Segoe UI" w:cs="Segoe UI"/>
          <w:color w:val="666666"/>
          <w:sz w:val="20"/>
          <w:szCs w:val="20"/>
        </w:rPr>
        <w:t>22.1</w:t>
      </w:r>
      <w:r w:rsidRPr="00243400">
        <w:rPr>
          <w:rFonts w:ascii="Segoe UI" w:hAnsi="Segoe UI" w:cs="Segoe UI"/>
          <w:color w:val="666666"/>
          <w:sz w:val="20"/>
          <w:szCs w:val="20"/>
        </w:rPr>
        <w:t xml:space="preserve"> billion GAAP, and $</w:t>
      </w:r>
      <w:r w:rsidR="00086924">
        <w:rPr>
          <w:rFonts w:ascii="Segoe UI" w:hAnsi="Segoe UI" w:cs="Segoe UI"/>
          <w:color w:val="666666"/>
          <w:sz w:val="20"/>
          <w:szCs w:val="20"/>
        </w:rPr>
        <w:t>23.6</w:t>
      </w:r>
      <w:r w:rsidRPr="00243400">
        <w:rPr>
          <w:rFonts w:ascii="Segoe UI" w:hAnsi="Segoe UI" w:cs="Segoe UI"/>
          <w:color w:val="666666"/>
          <w:sz w:val="20"/>
          <w:szCs w:val="20"/>
        </w:rPr>
        <w:t xml:space="preserve"> billion non-GAAP</w:t>
      </w:r>
    </w:p>
    <w:p w14:paraId="62B1E6A1" w14:textId="77777777" w:rsidR="00314DAE" w:rsidRPr="00243400" w:rsidRDefault="00314DAE" w:rsidP="00314DAE">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Operating income was $</w:t>
      </w:r>
      <w:r w:rsidR="00086924">
        <w:rPr>
          <w:rFonts w:ascii="Segoe UI" w:hAnsi="Segoe UI" w:cs="Segoe UI"/>
          <w:color w:val="666666"/>
          <w:sz w:val="20"/>
          <w:szCs w:val="20"/>
        </w:rPr>
        <w:t>5.6</w:t>
      </w:r>
      <w:r w:rsidRPr="00243400">
        <w:rPr>
          <w:rFonts w:ascii="Segoe UI" w:hAnsi="Segoe UI" w:cs="Segoe UI"/>
          <w:color w:val="666666"/>
          <w:sz w:val="20"/>
          <w:szCs w:val="20"/>
        </w:rPr>
        <w:t xml:space="preserve"> billion GAAP, and $</w:t>
      </w:r>
      <w:r w:rsidR="00086924">
        <w:rPr>
          <w:rFonts w:ascii="Segoe UI" w:hAnsi="Segoe UI" w:cs="Segoe UI"/>
          <w:color w:val="666666"/>
          <w:sz w:val="20"/>
          <w:szCs w:val="20"/>
        </w:rPr>
        <w:t>7.1</w:t>
      </w:r>
      <w:r w:rsidRPr="00243400">
        <w:rPr>
          <w:rFonts w:ascii="Segoe UI" w:hAnsi="Segoe UI" w:cs="Segoe UI"/>
          <w:color w:val="666666"/>
          <w:sz w:val="20"/>
          <w:szCs w:val="20"/>
        </w:rPr>
        <w:t xml:space="preserve"> billion non-GAAP</w:t>
      </w:r>
    </w:p>
    <w:p w14:paraId="5DE99ECE" w14:textId="77777777" w:rsidR="00314DAE" w:rsidRPr="00243400" w:rsidRDefault="00314DAE" w:rsidP="00314DAE">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Net income was $</w:t>
      </w:r>
      <w:r w:rsidR="00086924">
        <w:rPr>
          <w:rFonts w:ascii="Segoe UI" w:hAnsi="Segoe UI" w:cs="Segoe UI"/>
          <w:color w:val="666666"/>
          <w:sz w:val="20"/>
          <w:szCs w:val="20"/>
        </w:rPr>
        <w:t>4.8</w:t>
      </w:r>
      <w:r w:rsidRPr="00243400">
        <w:rPr>
          <w:rFonts w:ascii="Segoe UI" w:hAnsi="Segoe UI" w:cs="Segoe UI"/>
          <w:color w:val="666666"/>
          <w:sz w:val="20"/>
          <w:szCs w:val="20"/>
        </w:rPr>
        <w:t xml:space="preserve"> billion GAAP, and $</w:t>
      </w:r>
      <w:r w:rsidR="00086924">
        <w:rPr>
          <w:rFonts w:ascii="Segoe UI" w:hAnsi="Segoe UI" w:cs="Segoe UI"/>
          <w:color w:val="666666"/>
          <w:sz w:val="20"/>
          <w:szCs w:val="20"/>
        </w:rPr>
        <w:t>5.7</w:t>
      </w:r>
      <w:r w:rsidRPr="00243400">
        <w:rPr>
          <w:rFonts w:ascii="Segoe UI" w:hAnsi="Segoe UI" w:cs="Segoe UI"/>
          <w:color w:val="666666"/>
          <w:sz w:val="20"/>
          <w:szCs w:val="20"/>
        </w:rPr>
        <w:t xml:space="preserve"> billion non-GAAP</w:t>
      </w:r>
    </w:p>
    <w:p w14:paraId="667E2963" w14:textId="77777777" w:rsidR="00314DAE" w:rsidRPr="00243400" w:rsidRDefault="00314DAE" w:rsidP="00314DAE">
      <w:pPr>
        <w:pStyle w:val="ListParagraph"/>
        <w:numPr>
          <w:ilvl w:val="0"/>
          <w:numId w:val="4"/>
        </w:numPr>
        <w:spacing w:before="240" w:after="240"/>
        <w:rPr>
          <w:rFonts w:ascii="Segoe UI" w:hAnsi="Segoe UI" w:cs="Segoe UI"/>
          <w:color w:val="666666"/>
          <w:sz w:val="20"/>
          <w:szCs w:val="20"/>
        </w:rPr>
      </w:pPr>
      <w:r w:rsidRPr="00243400">
        <w:rPr>
          <w:rFonts w:ascii="Segoe UI" w:hAnsi="Segoe UI" w:cs="Segoe UI"/>
          <w:color w:val="666666"/>
          <w:sz w:val="20"/>
          <w:szCs w:val="20"/>
        </w:rPr>
        <w:t>Diluted earnings per share was $</w:t>
      </w:r>
      <w:r w:rsidR="00086924">
        <w:rPr>
          <w:rFonts w:ascii="Segoe UI" w:hAnsi="Segoe UI" w:cs="Segoe UI"/>
          <w:color w:val="666666"/>
          <w:sz w:val="20"/>
          <w:szCs w:val="20"/>
        </w:rPr>
        <w:t>0.61</w:t>
      </w:r>
      <w:r w:rsidRPr="00243400">
        <w:rPr>
          <w:rFonts w:ascii="Segoe UI" w:hAnsi="Segoe UI" w:cs="Segoe UI"/>
          <w:color w:val="666666"/>
          <w:sz w:val="20"/>
          <w:szCs w:val="20"/>
        </w:rPr>
        <w:t xml:space="preserve"> GAAP, and $</w:t>
      </w:r>
      <w:r w:rsidR="00086924">
        <w:rPr>
          <w:rFonts w:ascii="Segoe UI" w:hAnsi="Segoe UI" w:cs="Segoe UI"/>
          <w:color w:val="666666"/>
          <w:sz w:val="20"/>
          <w:szCs w:val="20"/>
        </w:rPr>
        <w:t>0.73</w:t>
      </w:r>
      <w:r w:rsidRPr="00243400">
        <w:rPr>
          <w:rFonts w:ascii="Segoe UI" w:hAnsi="Segoe UI" w:cs="Segoe UI"/>
          <w:color w:val="666666"/>
          <w:sz w:val="20"/>
          <w:szCs w:val="20"/>
        </w:rPr>
        <w:t xml:space="preserve"> non-GAAP</w:t>
      </w:r>
    </w:p>
    <w:p w14:paraId="1106B207" w14:textId="61D61D73" w:rsidR="00314DAE" w:rsidRPr="00CB6F63" w:rsidRDefault="00314DAE" w:rsidP="00314DAE">
      <w:pPr>
        <w:spacing w:before="240" w:after="240"/>
        <w:rPr>
          <w:rFonts w:ascii="Segoe UI" w:hAnsi="Segoe UI" w:cs="Segoe UI"/>
          <w:color w:val="666666"/>
          <w:sz w:val="20"/>
          <w:szCs w:val="20"/>
        </w:rPr>
      </w:pPr>
      <w:bookmarkStart w:id="1" w:name="_Hlk480280576"/>
      <w:r w:rsidRPr="00CB6F63">
        <w:rPr>
          <w:rFonts w:ascii="Segoe UI" w:hAnsi="Segoe UI" w:cs="Segoe UI"/>
          <w:color w:val="666666"/>
          <w:sz w:val="20"/>
          <w:szCs w:val="20"/>
        </w:rPr>
        <w:t>“</w:t>
      </w:r>
      <w:r w:rsidR="00485ED7" w:rsidRPr="00485ED7">
        <w:rPr>
          <w:rFonts w:ascii="Segoe UI" w:hAnsi="Segoe UI" w:cs="Segoe UI"/>
          <w:color w:val="666666"/>
          <w:sz w:val="20"/>
          <w:szCs w:val="20"/>
        </w:rPr>
        <w:t>Our results this quarter reflect the trust customers are placing in the Microsoft Cloud</w:t>
      </w:r>
      <w:r w:rsidRPr="00CB6F63">
        <w:rPr>
          <w:rFonts w:ascii="Segoe UI" w:hAnsi="Segoe UI" w:cs="Segoe UI"/>
          <w:color w:val="666666"/>
          <w:sz w:val="20"/>
          <w:szCs w:val="20"/>
        </w:rPr>
        <w:t>,” said Satya Nadella, chief executive officer at Microsoft.</w:t>
      </w:r>
      <w:bookmarkEnd w:id="1"/>
      <w:r w:rsidR="00E9116C" w:rsidRPr="00CB6F63">
        <w:rPr>
          <w:rFonts w:ascii="Segoe UI" w:hAnsi="Segoe UI" w:cs="Segoe UI"/>
          <w:color w:val="666666"/>
          <w:sz w:val="20"/>
          <w:szCs w:val="20"/>
        </w:rPr>
        <w:t xml:space="preserve"> “</w:t>
      </w:r>
      <w:r w:rsidR="00485ED7" w:rsidRPr="00485ED7">
        <w:rPr>
          <w:rFonts w:ascii="Segoe UI" w:hAnsi="Segoe UI" w:cs="Segoe UI"/>
          <w:color w:val="666666"/>
          <w:sz w:val="20"/>
          <w:szCs w:val="20"/>
        </w:rPr>
        <w:t>From large multi-nationals to small and medium businesses to non-profits all over the world, organizations are using Microsoft’s cloud platforms to power their digital transformation</w:t>
      </w:r>
      <w:r w:rsidR="00E9116C" w:rsidRPr="00CB6F63">
        <w:rPr>
          <w:rFonts w:ascii="Segoe UI" w:hAnsi="Segoe UI" w:cs="Segoe UI"/>
          <w:color w:val="666666"/>
          <w:sz w:val="20"/>
          <w:szCs w:val="20"/>
        </w:rPr>
        <w:t>.”</w:t>
      </w:r>
    </w:p>
    <w:p w14:paraId="48E88212" w14:textId="77777777" w:rsidR="00314DAE" w:rsidRPr="00243400" w:rsidRDefault="00314DAE" w:rsidP="00314DAE">
      <w:pPr>
        <w:spacing w:before="240" w:after="240"/>
        <w:rPr>
          <w:rFonts w:ascii="Segoe UI" w:eastAsiaTheme="minorHAnsi" w:hAnsi="Segoe UI" w:cs="Segoe UI"/>
          <w:color w:val="666666"/>
          <w:sz w:val="20"/>
          <w:szCs w:val="20"/>
        </w:rPr>
      </w:pPr>
      <w:r w:rsidRPr="00243400">
        <w:rPr>
          <w:rFonts w:ascii="Segoe UI" w:hAnsi="Segoe UI" w:cs="Segoe UI"/>
          <w:color w:val="666666"/>
          <w:sz w:val="20"/>
          <w:szCs w:val="20"/>
        </w:rPr>
        <w:t>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Additional information regarding our non-GAAP definition is provided below. All growth comparisons relate to the corresponding period in the last fiscal year.</w:t>
      </w:r>
    </w:p>
    <w:tbl>
      <w:tblPr>
        <w:tblW w:w="9504" w:type="dxa"/>
        <w:tblLayout w:type="fixed"/>
        <w:tblLook w:val="04A0" w:firstRow="1" w:lastRow="0" w:firstColumn="1" w:lastColumn="0" w:noHBand="0" w:noVBand="1"/>
      </w:tblPr>
      <w:tblGrid>
        <w:gridCol w:w="5472"/>
        <w:gridCol w:w="1008"/>
        <w:gridCol w:w="1008"/>
        <w:gridCol w:w="1008"/>
        <w:gridCol w:w="1008"/>
      </w:tblGrid>
      <w:tr w:rsidR="00314DAE" w:rsidRPr="00243400" w14:paraId="165AC6CA" w14:textId="77777777" w:rsidTr="00D51EA0">
        <w:trPr>
          <w:trHeight w:val="340"/>
        </w:trPr>
        <w:tc>
          <w:tcPr>
            <w:tcW w:w="5472" w:type="dxa"/>
            <w:tcBorders>
              <w:top w:val="nil"/>
              <w:left w:val="nil"/>
              <w:bottom w:val="single" w:sz="4" w:space="0" w:color="auto"/>
              <w:right w:val="nil"/>
            </w:tcBorders>
          </w:tcPr>
          <w:p w14:paraId="1AD2C9FA" w14:textId="77777777" w:rsidR="00314DAE" w:rsidRPr="00243400" w:rsidRDefault="00314DAE" w:rsidP="00D51EA0">
            <w:pPr>
              <w:spacing w:after="0"/>
              <w:rPr>
                <w:rFonts w:ascii="Segoe UI" w:eastAsia="Times New Roman" w:hAnsi="Segoe UI" w:cs="Segoe UI"/>
                <w:color w:val="666666"/>
                <w:sz w:val="16"/>
                <w:szCs w:val="16"/>
              </w:rPr>
            </w:pPr>
          </w:p>
        </w:tc>
        <w:tc>
          <w:tcPr>
            <w:tcW w:w="4032" w:type="dxa"/>
            <w:gridSpan w:val="4"/>
            <w:tcBorders>
              <w:top w:val="nil"/>
              <w:left w:val="nil"/>
              <w:bottom w:val="single" w:sz="4" w:space="0" w:color="auto"/>
            </w:tcBorders>
          </w:tcPr>
          <w:p w14:paraId="239B42B4"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AD4CEC">
              <w:rPr>
                <w:rFonts w:ascii="Segoe UI" w:eastAsia="Times New Roman" w:hAnsi="Segoe UI" w:cs="Segoe UI"/>
                <w:b/>
                <w:bCs/>
                <w:color w:val="666666"/>
                <w:sz w:val="16"/>
                <w:szCs w:val="16"/>
              </w:rPr>
              <w:t xml:space="preserve">March </w:t>
            </w:r>
            <w:r w:rsidRPr="00243400">
              <w:rPr>
                <w:rFonts w:ascii="Segoe UI" w:eastAsia="Times New Roman" w:hAnsi="Segoe UI" w:cs="Segoe UI"/>
                <w:b/>
                <w:bCs/>
                <w:color w:val="666666"/>
                <w:sz w:val="16"/>
                <w:szCs w:val="16"/>
              </w:rPr>
              <w:t>31,</w:t>
            </w:r>
          </w:p>
        </w:tc>
      </w:tr>
      <w:tr w:rsidR="00314DAE" w:rsidRPr="00243400" w14:paraId="6C1F75B9" w14:textId="77777777" w:rsidTr="00D51EA0">
        <w:trPr>
          <w:trHeight w:val="365"/>
        </w:trPr>
        <w:tc>
          <w:tcPr>
            <w:tcW w:w="5472" w:type="dxa"/>
            <w:tcBorders>
              <w:top w:val="single" w:sz="8" w:space="0" w:color="auto"/>
              <w:left w:val="nil"/>
              <w:bottom w:val="single" w:sz="8" w:space="0" w:color="auto"/>
              <w:right w:val="nil"/>
            </w:tcBorders>
            <w:vAlign w:val="bottom"/>
            <w:hideMark/>
          </w:tcPr>
          <w:p w14:paraId="3388ED3B" w14:textId="77777777" w:rsidR="00314DAE" w:rsidRPr="00243400" w:rsidRDefault="00314DAE" w:rsidP="00D51EA0">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 except per share amounts)</w:t>
            </w:r>
          </w:p>
        </w:tc>
        <w:tc>
          <w:tcPr>
            <w:tcW w:w="1008" w:type="dxa"/>
            <w:tcBorders>
              <w:top w:val="single" w:sz="8" w:space="0" w:color="auto"/>
              <w:left w:val="nil"/>
              <w:bottom w:val="single" w:sz="8" w:space="0" w:color="auto"/>
              <w:right w:val="nil"/>
            </w:tcBorders>
            <w:vAlign w:val="bottom"/>
          </w:tcPr>
          <w:p w14:paraId="2701AC9A"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Revenue</w:t>
            </w:r>
          </w:p>
        </w:tc>
        <w:tc>
          <w:tcPr>
            <w:tcW w:w="1008" w:type="dxa"/>
            <w:tcBorders>
              <w:top w:val="single" w:sz="8" w:space="0" w:color="auto"/>
              <w:left w:val="nil"/>
              <w:bottom w:val="single" w:sz="8" w:space="0" w:color="auto"/>
              <w:right w:val="nil"/>
            </w:tcBorders>
            <w:vAlign w:val="bottom"/>
          </w:tcPr>
          <w:p w14:paraId="06476452"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Operating Income</w:t>
            </w:r>
          </w:p>
        </w:tc>
        <w:tc>
          <w:tcPr>
            <w:tcW w:w="1008" w:type="dxa"/>
            <w:tcBorders>
              <w:top w:val="single" w:sz="8" w:space="0" w:color="auto"/>
              <w:left w:val="nil"/>
              <w:bottom w:val="single" w:sz="8" w:space="0" w:color="auto"/>
              <w:right w:val="nil"/>
            </w:tcBorders>
            <w:vAlign w:val="bottom"/>
          </w:tcPr>
          <w:p w14:paraId="7BE03F21"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Net Income</w:t>
            </w:r>
          </w:p>
        </w:tc>
        <w:tc>
          <w:tcPr>
            <w:tcW w:w="1008" w:type="dxa"/>
            <w:tcBorders>
              <w:top w:val="single" w:sz="8" w:space="0" w:color="auto"/>
              <w:left w:val="nil"/>
              <w:bottom w:val="single" w:sz="8" w:space="0" w:color="auto"/>
              <w:right w:val="nil"/>
            </w:tcBorders>
            <w:vAlign w:val="bottom"/>
          </w:tcPr>
          <w:p w14:paraId="64E2CEAB"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Diluted Earnings per Share</w:t>
            </w:r>
          </w:p>
        </w:tc>
      </w:tr>
      <w:tr w:rsidR="00314DAE" w:rsidRPr="00243400" w14:paraId="1CC3B3DB" w14:textId="77777777" w:rsidTr="00D51EA0">
        <w:trPr>
          <w:trHeight w:val="288"/>
        </w:trPr>
        <w:tc>
          <w:tcPr>
            <w:tcW w:w="5472" w:type="dxa"/>
            <w:tcBorders>
              <w:top w:val="single" w:sz="8" w:space="0" w:color="auto"/>
              <w:left w:val="nil"/>
              <w:bottom w:val="single" w:sz="4" w:space="0" w:color="auto"/>
              <w:right w:val="nil"/>
            </w:tcBorders>
            <w:noWrap/>
            <w:vAlign w:val="center"/>
          </w:tcPr>
          <w:p w14:paraId="0DF420DD" w14:textId="77777777" w:rsidR="00314DAE" w:rsidRPr="00243400" w:rsidRDefault="00AD4CEC" w:rsidP="00D51EA0">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00314DAE" w:rsidRPr="00243400">
              <w:rPr>
                <w:rFonts w:ascii="Segoe UI" w:eastAsia="Times New Roman" w:hAnsi="Segoe UI" w:cs="Segoe UI"/>
                <w:b/>
                <w:bCs/>
                <w:color w:val="666666"/>
                <w:sz w:val="16"/>
                <w:szCs w:val="16"/>
              </w:rPr>
              <w:t xml:space="preserve"> As Reported (GAAP)</w:t>
            </w:r>
          </w:p>
        </w:tc>
        <w:tc>
          <w:tcPr>
            <w:tcW w:w="1008" w:type="dxa"/>
            <w:tcBorders>
              <w:top w:val="single" w:sz="8" w:space="0" w:color="auto"/>
              <w:left w:val="nil"/>
              <w:bottom w:val="single" w:sz="4" w:space="0" w:color="auto"/>
              <w:right w:val="nil"/>
            </w:tcBorders>
            <w:vAlign w:val="center"/>
          </w:tcPr>
          <w:p w14:paraId="699D6C10" w14:textId="77777777" w:rsidR="00314DAE" w:rsidRPr="00243400" w:rsidRDefault="00314DAE" w:rsidP="00D51EA0">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D4CEC">
              <w:rPr>
                <w:rFonts w:ascii="Segoe UI" w:eastAsia="Times New Roman" w:hAnsi="Segoe UI" w:cs="Segoe UI"/>
                <w:b/>
                <w:bCs/>
                <w:color w:val="666666"/>
                <w:sz w:val="16"/>
                <w:szCs w:val="16"/>
              </w:rPr>
              <w:t>20,531</w:t>
            </w:r>
          </w:p>
        </w:tc>
        <w:tc>
          <w:tcPr>
            <w:tcW w:w="1008" w:type="dxa"/>
            <w:tcBorders>
              <w:top w:val="single" w:sz="8" w:space="0" w:color="auto"/>
              <w:left w:val="nil"/>
              <w:bottom w:val="single" w:sz="4" w:space="0" w:color="auto"/>
              <w:right w:val="nil"/>
            </w:tcBorders>
            <w:vAlign w:val="center"/>
          </w:tcPr>
          <w:p w14:paraId="5747A157"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D4CEC">
              <w:rPr>
                <w:rFonts w:ascii="Segoe UI" w:eastAsia="Times New Roman" w:hAnsi="Segoe UI" w:cs="Segoe UI"/>
                <w:b/>
                <w:bCs/>
                <w:color w:val="666666"/>
                <w:sz w:val="16"/>
                <w:szCs w:val="16"/>
              </w:rPr>
              <w:t>5,283</w:t>
            </w:r>
          </w:p>
        </w:tc>
        <w:tc>
          <w:tcPr>
            <w:tcW w:w="1008" w:type="dxa"/>
            <w:tcBorders>
              <w:top w:val="single" w:sz="8" w:space="0" w:color="auto"/>
              <w:left w:val="nil"/>
              <w:bottom w:val="single" w:sz="4" w:space="0" w:color="auto"/>
              <w:right w:val="nil"/>
            </w:tcBorders>
            <w:vAlign w:val="center"/>
          </w:tcPr>
          <w:p w14:paraId="72056649"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D4CEC">
              <w:rPr>
                <w:rFonts w:ascii="Segoe UI" w:eastAsia="Times New Roman" w:hAnsi="Segoe UI" w:cs="Segoe UI"/>
                <w:b/>
                <w:bCs/>
                <w:color w:val="666666"/>
                <w:sz w:val="16"/>
                <w:szCs w:val="16"/>
              </w:rPr>
              <w:t>3,756</w:t>
            </w:r>
          </w:p>
        </w:tc>
        <w:tc>
          <w:tcPr>
            <w:tcW w:w="1008" w:type="dxa"/>
            <w:tcBorders>
              <w:top w:val="single" w:sz="8" w:space="0" w:color="auto"/>
              <w:left w:val="nil"/>
              <w:bottom w:val="single" w:sz="4" w:space="0" w:color="auto"/>
              <w:right w:val="nil"/>
            </w:tcBorders>
            <w:vAlign w:val="center"/>
          </w:tcPr>
          <w:p w14:paraId="5431FCFF"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D4CEC">
              <w:rPr>
                <w:rFonts w:ascii="Segoe UI" w:eastAsia="Times New Roman" w:hAnsi="Segoe UI" w:cs="Segoe UI"/>
                <w:b/>
                <w:bCs/>
                <w:color w:val="666666"/>
                <w:sz w:val="16"/>
                <w:szCs w:val="16"/>
              </w:rPr>
              <w:t>0.47</w:t>
            </w:r>
          </w:p>
        </w:tc>
      </w:tr>
      <w:tr w:rsidR="00314DAE" w:rsidRPr="00243400" w14:paraId="6EBF8038" w14:textId="77777777" w:rsidTr="00D51EA0">
        <w:trPr>
          <w:trHeight w:val="288"/>
        </w:trPr>
        <w:tc>
          <w:tcPr>
            <w:tcW w:w="5472" w:type="dxa"/>
            <w:tcBorders>
              <w:top w:val="single" w:sz="4" w:space="0" w:color="auto"/>
              <w:left w:val="nil"/>
              <w:bottom w:val="single" w:sz="4" w:space="0" w:color="auto"/>
              <w:right w:val="nil"/>
            </w:tcBorders>
            <w:noWrap/>
            <w:vAlign w:val="center"/>
          </w:tcPr>
          <w:p w14:paraId="1AD79DA5"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5CC7888C" w14:textId="77777777" w:rsidR="00314DAE" w:rsidRPr="00243400" w:rsidRDefault="00AD4CEC"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1,625</w:t>
            </w:r>
          </w:p>
        </w:tc>
        <w:tc>
          <w:tcPr>
            <w:tcW w:w="1008" w:type="dxa"/>
            <w:tcBorders>
              <w:top w:val="single" w:sz="4" w:space="0" w:color="auto"/>
              <w:left w:val="nil"/>
              <w:bottom w:val="single" w:sz="4" w:space="0" w:color="auto"/>
              <w:right w:val="nil"/>
            </w:tcBorders>
            <w:shd w:val="clear" w:color="auto" w:fill="auto"/>
            <w:vAlign w:val="center"/>
          </w:tcPr>
          <w:p w14:paraId="6DCE593E" w14:textId="77777777" w:rsidR="00314DAE" w:rsidRPr="00243400" w:rsidRDefault="00AD4CEC"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1,625</w:t>
            </w:r>
          </w:p>
        </w:tc>
        <w:tc>
          <w:tcPr>
            <w:tcW w:w="1008" w:type="dxa"/>
            <w:tcBorders>
              <w:top w:val="single" w:sz="4" w:space="0" w:color="auto"/>
              <w:left w:val="nil"/>
              <w:bottom w:val="single" w:sz="4" w:space="0" w:color="auto"/>
              <w:right w:val="nil"/>
            </w:tcBorders>
            <w:shd w:val="clear" w:color="auto" w:fill="auto"/>
            <w:vAlign w:val="center"/>
          </w:tcPr>
          <w:p w14:paraId="20429F6E" w14:textId="77777777" w:rsidR="00314DAE" w:rsidRPr="00243400" w:rsidRDefault="00314DAE" w:rsidP="00D51EA0">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1,</w:t>
            </w:r>
            <w:r w:rsidR="00AD4CEC">
              <w:rPr>
                <w:rFonts w:ascii="Segoe UI" w:eastAsia="Times New Roman" w:hAnsi="Segoe UI" w:cs="Segoe UI"/>
                <w:bCs/>
                <w:color w:val="666666"/>
                <w:sz w:val="16"/>
                <w:szCs w:val="16"/>
              </w:rPr>
              <w:t>28</w:t>
            </w:r>
            <w:r w:rsidR="00984860">
              <w:rPr>
                <w:rFonts w:ascii="Segoe UI" w:eastAsia="Times New Roman" w:hAnsi="Segoe UI" w:cs="Segoe UI"/>
                <w:bCs/>
                <w:color w:val="666666"/>
                <w:sz w:val="16"/>
                <w:szCs w:val="16"/>
              </w:rPr>
              <w:t>2</w:t>
            </w:r>
          </w:p>
        </w:tc>
        <w:tc>
          <w:tcPr>
            <w:tcW w:w="1008" w:type="dxa"/>
            <w:tcBorders>
              <w:top w:val="single" w:sz="4" w:space="0" w:color="auto"/>
              <w:left w:val="nil"/>
              <w:bottom w:val="single" w:sz="4" w:space="0" w:color="auto"/>
              <w:right w:val="nil"/>
            </w:tcBorders>
            <w:shd w:val="clear" w:color="auto" w:fill="auto"/>
            <w:vAlign w:val="center"/>
          </w:tcPr>
          <w:p w14:paraId="36EAF4D6" w14:textId="77777777" w:rsidR="00314DAE" w:rsidRPr="00243400" w:rsidRDefault="00314DAE" w:rsidP="00D51EA0">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0.1</w:t>
            </w:r>
            <w:r w:rsidR="00AD4CEC">
              <w:rPr>
                <w:rFonts w:ascii="Segoe UI" w:eastAsia="Times New Roman" w:hAnsi="Segoe UI" w:cs="Segoe UI"/>
                <w:bCs/>
                <w:color w:val="666666"/>
                <w:sz w:val="16"/>
                <w:szCs w:val="16"/>
              </w:rPr>
              <w:t>6</w:t>
            </w:r>
          </w:p>
        </w:tc>
      </w:tr>
      <w:tr w:rsidR="00314DAE" w:rsidRPr="00243400" w14:paraId="6C9D15A6" w14:textId="77777777" w:rsidTr="00D51EA0">
        <w:trPr>
          <w:trHeight w:val="288"/>
        </w:trPr>
        <w:tc>
          <w:tcPr>
            <w:tcW w:w="5472" w:type="dxa"/>
            <w:tcBorders>
              <w:top w:val="single" w:sz="4" w:space="0" w:color="auto"/>
              <w:left w:val="nil"/>
              <w:bottom w:val="single" w:sz="4" w:space="0" w:color="auto"/>
              <w:right w:val="nil"/>
            </w:tcBorders>
            <w:noWrap/>
            <w:vAlign w:val="center"/>
          </w:tcPr>
          <w:p w14:paraId="43A6D350" w14:textId="77777777" w:rsidR="00314DAE" w:rsidRPr="00243400" w:rsidRDefault="00AD4CEC" w:rsidP="00D51EA0">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00314DAE" w:rsidRPr="00243400">
              <w:rPr>
                <w:rFonts w:ascii="Segoe UI" w:eastAsia="Times New Roman" w:hAnsi="Segoe UI" w:cs="Segoe UI"/>
                <w:b/>
                <w:bCs/>
                <w:color w:val="666666"/>
                <w:sz w:val="16"/>
                <w:szCs w:val="16"/>
              </w:rPr>
              <w:t xml:space="preserve"> As Adjusted (non-GAAP)</w:t>
            </w:r>
          </w:p>
        </w:tc>
        <w:tc>
          <w:tcPr>
            <w:tcW w:w="1008" w:type="dxa"/>
            <w:tcBorders>
              <w:top w:val="single" w:sz="4" w:space="0" w:color="auto"/>
              <w:left w:val="nil"/>
              <w:bottom w:val="single" w:sz="4" w:space="0" w:color="auto"/>
              <w:right w:val="nil"/>
            </w:tcBorders>
            <w:vAlign w:val="center"/>
          </w:tcPr>
          <w:p w14:paraId="72057E59" w14:textId="77777777" w:rsidR="00314DAE" w:rsidRPr="00243400" w:rsidRDefault="00314DAE" w:rsidP="00D51EA0">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AD4CEC">
              <w:rPr>
                <w:rFonts w:ascii="Segoe UI" w:eastAsia="Times New Roman" w:hAnsi="Segoe UI" w:cs="Segoe UI"/>
                <w:b/>
                <w:bCs/>
                <w:color w:val="666666"/>
                <w:sz w:val="16"/>
                <w:szCs w:val="16"/>
              </w:rPr>
              <w:t>22,156</w:t>
            </w:r>
          </w:p>
        </w:tc>
        <w:tc>
          <w:tcPr>
            <w:tcW w:w="1008" w:type="dxa"/>
            <w:tcBorders>
              <w:top w:val="single" w:sz="4" w:space="0" w:color="auto"/>
              <w:left w:val="nil"/>
              <w:bottom w:val="single" w:sz="4" w:space="0" w:color="auto"/>
              <w:right w:val="nil"/>
            </w:tcBorders>
            <w:vAlign w:val="center"/>
          </w:tcPr>
          <w:p w14:paraId="57CD17D0"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794664">
              <w:rPr>
                <w:rFonts w:ascii="Segoe UI" w:eastAsia="Times New Roman" w:hAnsi="Segoe UI" w:cs="Segoe UI"/>
                <w:b/>
                <w:bCs/>
                <w:color w:val="666666"/>
                <w:sz w:val="16"/>
                <w:szCs w:val="16"/>
              </w:rPr>
              <w:t>6,908</w:t>
            </w:r>
          </w:p>
        </w:tc>
        <w:tc>
          <w:tcPr>
            <w:tcW w:w="1008" w:type="dxa"/>
            <w:tcBorders>
              <w:top w:val="single" w:sz="4" w:space="0" w:color="auto"/>
              <w:left w:val="nil"/>
              <w:bottom w:val="single" w:sz="4" w:space="0" w:color="auto"/>
              <w:right w:val="nil"/>
            </w:tcBorders>
            <w:vAlign w:val="center"/>
          </w:tcPr>
          <w:p w14:paraId="72176D96"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794664">
              <w:rPr>
                <w:rFonts w:ascii="Segoe UI" w:eastAsia="Times New Roman" w:hAnsi="Segoe UI" w:cs="Segoe UI"/>
                <w:b/>
                <w:bCs/>
                <w:color w:val="666666"/>
                <w:sz w:val="16"/>
                <w:szCs w:val="16"/>
              </w:rPr>
              <w:t>5,038</w:t>
            </w:r>
          </w:p>
        </w:tc>
        <w:tc>
          <w:tcPr>
            <w:tcW w:w="1008" w:type="dxa"/>
            <w:tcBorders>
              <w:top w:val="single" w:sz="4" w:space="0" w:color="auto"/>
              <w:left w:val="nil"/>
              <w:bottom w:val="single" w:sz="4" w:space="0" w:color="auto"/>
              <w:right w:val="nil"/>
            </w:tcBorders>
            <w:vAlign w:val="center"/>
          </w:tcPr>
          <w:p w14:paraId="07D40A55"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794664">
              <w:rPr>
                <w:rFonts w:ascii="Segoe UI" w:eastAsia="Times New Roman" w:hAnsi="Segoe UI" w:cs="Segoe UI"/>
                <w:b/>
                <w:bCs/>
                <w:color w:val="666666"/>
                <w:sz w:val="16"/>
                <w:szCs w:val="16"/>
              </w:rPr>
              <w:t>0.63</w:t>
            </w:r>
          </w:p>
        </w:tc>
      </w:tr>
      <w:tr w:rsidR="00314DAE" w:rsidRPr="00243400" w14:paraId="29E6B4D1" w14:textId="77777777" w:rsidTr="00D51EA0">
        <w:trPr>
          <w:trHeight w:val="288"/>
        </w:trPr>
        <w:tc>
          <w:tcPr>
            <w:tcW w:w="5472" w:type="dxa"/>
            <w:tcBorders>
              <w:top w:val="single" w:sz="4" w:space="0" w:color="auto"/>
              <w:left w:val="nil"/>
              <w:bottom w:val="single" w:sz="4" w:space="0" w:color="auto"/>
              <w:right w:val="nil"/>
            </w:tcBorders>
            <w:noWrap/>
            <w:vAlign w:val="center"/>
          </w:tcPr>
          <w:p w14:paraId="6154790A" w14:textId="77777777" w:rsidR="00314DAE" w:rsidRPr="00243400" w:rsidRDefault="00AD4CEC" w:rsidP="00D51EA0">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w:t>
            </w:r>
            <w:r w:rsidR="00314DAE" w:rsidRPr="00243400">
              <w:rPr>
                <w:rFonts w:ascii="Segoe UI" w:eastAsia="Times New Roman" w:hAnsi="Segoe UI" w:cs="Segoe UI"/>
                <w:b/>
                <w:bCs/>
                <w:color w:val="666666"/>
                <w:sz w:val="16"/>
                <w:szCs w:val="16"/>
              </w:rPr>
              <w:t xml:space="preserve"> As Reported (GAAP)</w:t>
            </w:r>
          </w:p>
        </w:tc>
        <w:tc>
          <w:tcPr>
            <w:tcW w:w="1008" w:type="dxa"/>
            <w:tcBorders>
              <w:top w:val="single" w:sz="4" w:space="0" w:color="auto"/>
              <w:left w:val="nil"/>
              <w:bottom w:val="single" w:sz="4" w:space="0" w:color="auto"/>
              <w:right w:val="nil"/>
            </w:tcBorders>
            <w:vAlign w:val="center"/>
          </w:tcPr>
          <w:p w14:paraId="00B458AB"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22,090</w:t>
            </w:r>
          </w:p>
        </w:tc>
        <w:tc>
          <w:tcPr>
            <w:tcW w:w="1008" w:type="dxa"/>
            <w:tcBorders>
              <w:top w:val="single" w:sz="4" w:space="0" w:color="auto"/>
              <w:left w:val="nil"/>
              <w:bottom w:val="single" w:sz="4" w:space="0" w:color="auto"/>
              <w:right w:val="nil"/>
            </w:tcBorders>
            <w:vAlign w:val="center"/>
          </w:tcPr>
          <w:p w14:paraId="21BA380B"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5,594</w:t>
            </w:r>
          </w:p>
        </w:tc>
        <w:tc>
          <w:tcPr>
            <w:tcW w:w="1008" w:type="dxa"/>
            <w:tcBorders>
              <w:top w:val="single" w:sz="4" w:space="0" w:color="auto"/>
              <w:left w:val="nil"/>
              <w:bottom w:val="single" w:sz="4" w:space="0" w:color="auto"/>
              <w:right w:val="nil"/>
            </w:tcBorders>
            <w:vAlign w:val="center"/>
          </w:tcPr>
          <w:p w14:paraId="0004C003"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4,</w:t>
            </w:r>
            <w:r w:rsidR="00657C94">
              <w:rPr>
                <w:rFonts w:ascii="Segoe UI" w:eastAsia="Times New Roman" w:hAnsi="Segoe UI" w:cs="Segoe UI"/>
                <w:b/>
                <w:bCs/>
                <w:color w:val="666666"/>
                <w:sz w:val="16"/>
                <w:szCs w:val="16"/>
              </w:rPr>
              <w:t>801</w:t>
            </w:r>
          </w:p>
        </w:tc>
        <w:tc>
          <w:tcPr>
            <w:tcW w:w="1008" w:type="dxa"/>
            <w:tcBorders>
              <w:top w:val="single" w:sz="4" w:space="0" w:color="auto"/>
              <w:left w:val="nil"/>
              <w:bottom w:val="single" w:sz="4" w:space="0" w:color="auto"/>
              <w:right w:val="nil"/>
            </w:tcBorders>
            <w:vAlign w:val="center"/>
          </w:tcPr>
          <w:p w14:paraId="5146F30A"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0.61</w:t>
            </w:r>
          </w:p>
        </w:tc>
      </w:tr>
      <w:tr w:rsidR="00314DAE" w:rsidRPr="00243400" w14:paraId="26CFE62F" w14:textId="77777777" w:rsidTr="00D51EA0">
        <w:trPr>
          <w:trHeight w:val="288"/>
        </w:trPr>
        <w:tc>
          <w:tcPr>
            <w:tcW w:w="5472" w:type="dxa"/>
            <w:tcBorders>
              <w:top w:val="single" w:sz="4" w:space="0" w:color="auto"/>
              <w:left w:val="nil"/>
              <w:bottom w:val="single" w:sz="4" w:space="0" w:color="auto"/>
              <w:right w:val="nil"/>
            </w:tcBorders>
            <w:noWrap/>
            <w:vAlign w:val="center"/>
          </w:tcPr>
          <w:p w14:paraId="12B38E58"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p w14:paraId="0D688656"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1,46</w:t>
            </w:r>
            <w:r w:rsidR="009332E0" w:rsidRPr="00984860">
              <w:rPr>
                <w:rFonts w:ascii="Segoe UI" w:eastAsia="Times New Roman" w:hAnsi="Segoe UI" w:cs="Segoe UI"/>
                <w:bCs/>
                <w:color w:val="666666"/>
                <w:sz w:val="16"/>
                <w:szCs w:val="16"/>
              </w:rPr>
              <w:t>7</w:t>
            </w:r>
          </w:p>
        </w:tc>
        <w:tc>
          <w:tcPr>
            <w:tcW w:w="1008" w:type="dxa"/>
            <w:tcBorders>
              <w:top w:val="single" w:sz="4" w:space="0" w:color="auto"/>
              <w:left w:val="nil"/>
              <w:bottom w:val="single" w:sz="4" w:space="0" w:color="auto"/>
              <w:right w:val="nil"/>
            </w:tcBorders>
            <w:vAlign w:val="center"/>
          </w:tcPr>
          <w:p w14:paraId="7DF645D7"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1,46</w:t>
            </w:r>
            <w:r w:rsidR="009332E0" w:rsidRPr="00984860">
              <w:rPr>
                <w:rFonts w:ascii="Segoe UI" w:eastAsia="Times New Roman" w:hAnsi="Segoe UI" w:cs="Segoe UI"/>
                <w:bCs/>
                <w:color w:val="666666"/>
                <w:sz w:val="16"/>
                <w:szCs w:val="16"/>
              </w:rPr>
              <w:t>7</w:t>
            </w:r>
          </w:p>
        </w:tc>
        <w:tc>
          <w:tcPr>
            <w:tcW w:w="1008" w:type="dxa"/>
            <w:tcBorders>
              <w:top w:val="single" w:sz="4" w:space="0" w:color="auto"/>
              <w:left w:val="nil"/>
              <w:bottom w:val="single" w:sz="4" w:space="0" w:color="auto"/>
              <w:right w:val="nil"/>
            </w:tcBorders>
            <w:vAlign w:val="center"/>
          </w:tcPr>
          <w:p w14:paraId="6BE23693"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9</w:t>
            </w:r>
            <w:r w:rsidR="009332E0">
              <w:rPr>
                <w:rFonts w:ascii="Segoe UI" w:eastAsia="Times New Roman" w:hAnsi="Segoe UI" w:cs="Segoe UI"/>
                <w:bCs/>
                <w:color w:val="666666"/>
                <w:sz w:val="16"/>
                <w:szCs w:val="16"/>
              </w:rPr>
              <w:t>1</w:t>
            </w:r>
            <w:r w:rsidR="009332E0" w:rsidRPr="00984860">
              <w:rPr>
                <w:rFonts w:ascii="Segoe UI" w:eastAsia="Times New Roman" w:hAnsi="Segoe UI" w:cs="Segoe UI"/>
                <w:bCs/>
                <w:color w:val="666666"/>
                <w:sz w:val="16"/>
                <w:szCs w:val="16"/>
              </w:rPr>
              <w:t>4</w:t>
            </w:r>
          </w:p>
        </w:tc>
        <w:tc>
          <w:tcPr>
            <w:tcW w:w="1008" w:type="dxa"/>
            <w:tcBorders>
              <w:top w:val="single" w:sz="4" w:space="0" w:color="auto"/>
              <w:left w:val="nil"/>
              <w:bottom w:val="single" w:sz="4" w:space="0" w:color="auto"/>
              <w:right w:val="nil"/>
            </w:tcBorders>
            <w:vAlign w:val="center"/>
          </w:tcPr>
          <w:p w14:paraId="60548DC7"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0.12</w:t>
            </w:r>
          </w:p>
        </w:tc>
      </w:tr>
      <w:tr w:rsidR="00314DAE" w:rsidRPr="00243400" w14:paraId="1AA55E83" w14:textId="77777777" w:rsidTr="00D51EA0">
        <w:trPr>
          <w:trHeight w:val="288"/>
        </w:trPr>
        <w:tc>
          <w:tcPr>
            <w:tcW w:w="5472" w:type="dxa"/>
            <w:tcBorders>
              <w:top w:val="single" w:sz="4" w:space="0" w:color="auto"/>
              <w:left w:val="nil"/>
              <w:bottom w:val="single" w:sz="4" w:space="0" w:color="666666"/>
              <w:right w:val="nil"/>
            </w:tcBorders>
            <w:noWrap/>
            <w:vAlign w:val="center"/>
          </w:tcPr>
          <w:p w14:paraId="10BE5937" w14:textId="77777777" w:rsidR="00314DAE" w:rsidRPr="00243400" w:rsidRDefault="00AD4CEC" w:rsidP="00D51EA0">
            <w:pPr>
              <w:spacing w:after="0"/>
              <w:rPr>
                <w:rFonts w:ascii="Segoe UI" w:eastAsia="Times New Roman" w:hAnsi="Segoe UI" w:cs="Segoe UI"/>
                <w:bCs/>
                <w:color w:val="666666"/>
                <w:sz w:val="16"/>
                <w:szCs w:val="16"/>
              </w:rPr>
            </w:pPr>
            <w:r>
              <w:rPr>
                <w:rFonts w:ascii="Segoe UI" w:eastAsia="Times New Roman" w:hAnsi="Segoe UI" w:cs="Segoe UI"/>
                <w:b/>
                <w:bCs/>
                <w:color w:val="666666"/>
                <w:sz w:val="16"/>
                <w:szCs w:val="16"/>
              </w:rPr>
              <w:t>2017</w:t>
            </w:r>
            <w:r w:rsidR="00314DAE" w:rsidRPr="00243400">
              <w:rPr>
                <w:rFonts w:ascii="Segoe UI" w:eastAsia="Times New Roman" w:hAnsi="Segoe UI" w:cs="Segoe UI"/>
                <w:b/>
                <w:bCs/>
                <w:color w:val="666666"/>
                <w:sz w:val="16"/>
                <w:szCs w:val="16"/>
              </w:rPr>
              <w:t xml:space="preserve"> As Adjusted (non-GAAP)</w:t>
            </w:r>
          </w:p>
        </w:tc>
        <w:tc>
          <w:tcPr>
            <w:tcW w:w="1008" w:type="dxa"/>
            <w:tcBorders>
              <w:top w:val="single" w:sz="4" w:space="0" w:color="auto"/>
              <w:left w:val="nil"/>
              <w:bottom w:val="single" w:sz="4" w:space="0" w:color="666666"/>
              <w:right w:val="nil"/>
            </w:tcBorders>
            <w:vAlign w:val="center"/>
          </w:tcPr>
          <w:p w14:paraId="71715909"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23,55</w:t>
            </w:r>
            <w:r w:rsidR="009332E0" w:rsidRPr="00984860">
              <w:rPr>
                <w:rFonts w:ascii="Segoe UI" w:eastAsia="Times New Roman" w:hAnsi="Segoe UI" w:cs="Segoe UI"/>
                <w:b/>
                <w:bCs/>
                <w:color w:val="666666"/>
                <w:sz w:val="16"/>
                <w:szCs w:val="16"/>
              </w:rPr>
              <w:t>7</w:t>
            </w:r>
          </w:p>
        </w:tc>
        <w:tc>
          <w:tcPr>
            <w:tcW w:w="1008" w:type="dxa"/>
            <w:tcBorders>
              <w:top w:val="single" w:sz="4" w:space="0" w:color="auto"/>
              <w:left w:val="nil"/>
              <w:bottom w:val="single" w:sz="4" w:space="0" w:color="666666"/>
              <w:right w:val="nil"/>
            </w:tcBorders>
            <w:vAlign w:val="center"/>
          </w:tcPr>
          <w:p w14:paraId="2471A81B"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9332E0">
              <w:rPr>
                <w:rFonts w:ascii="Segoe UI" w:eastAsia="Times New Roman" w:hAnsi="Segoe UI" w:cs="Segoe UI"/>
                <w:b/>
                <w:bCs/>
                <w:color w:val="666666"/>
                <w:sz w:val="16"/>
                <w:szCs w:val="16"/>
              </w:rPr>
              <w:t>7,06</w:t>
            </w:r>
            <w:r w:rsidR="009332E0" w:rsidRPr="00984860">
              <w:rPr>
                <w:rFonts w:ascii="Segoe UI" w:eastAsia="Times New Roman" w:hAnsi="Segoe UI" w:cs="Segoe UI"/>
                <w:b/>
                <w:bCs/>
                <w:color w:val="666666"/>
                <w:sz w:val="16"/>
                <w:szCs w:val="16"/>
              </w:rPr>
              <w:t>1</w:t>
            </w:r>
          </w:p>
        </w:tc>
        <w:tc>
          <w:tcPr>
            <w:tcW w:w="1008" w:type="dxa"/>
            <w:tcBorders>
              <w:top w:val="single" w:sz="4" w:space="0" w:color="auto"/>
              <w:left w:val="nil"/>
              <w:bottom w:val="single" w:sz="4" w:space="0" w:color="666666"/>
              <w:right w:val="nil"/>
            </w:tcBorders>
            <w:vAlign w:val="center"/>
          </w:tcPr>
          <w:p w14:paraId="374AD4C6"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9332E0">
              <w:rPr>
                <w:rFonts w:ascii="Segoe UI" w:eastAsia="Times New Roman" w:hAnsi="Segoe UI" w:cs="Segoe UI"/>
                <w:b/>
                <w:bCs/>
                <w:color w:val="666666"/>
                <w:sz w:val="16"/>
                <w:szCs w:val="16"/>
              </w:rPr>
              <w:t>5,71</w:t>
            </w:r>
            <w:r w:rsidR="009332E0" w:rsidRPr="00984860">
              <w:rPr>
                <w:rFonts w:ascii="Segoe UI" w:eastAsia="Times New Roman" w:hAnsi="Segoe UI" w:cs="Segoe UI"/>
                <w:b/>
                <w:bCs/>
                <w:color w:val="666666"/>
                <w:sz w:val="16"/>
                <w:szCs w:val="16"/>
              </w:rPr>
              <w:t>5</w:t>
            </w:r>
          </w:p>
        </w:tc>
        <w:tc>
          <w:tcPr>
            <w:tcW w:w="1008" w:type="dxa"/>
            <w:tcBorders>
              <w:top w:val="single" w:sz="4" w:space="0" w:color="auto"/>
              <w:left w:val="nil"/>
              <w:bottom w:val="single" w:sz="4" w:space="0" w:color="666666"/>
              <w:right w:val="nil"/>
            </w:tcBorders>
            <w:vAlign w:val="center"/>
          </w:tcPr>
          <w:p w14:paraId="4CD175EA"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5447C7">
              <w:rPr>
                <w:rFonts w:ascii="Segoe UI" w:eastAsia="Times New Roman" w:hAnsi="Segoe UI" w:cs="Segoe UI"/>
                <w:b/>
                <w:bCs/>
                <w:color w:val="666666"/>
                <w:sz w:val="16"/>
                <w:szCs w:val="16"/>
              </w:rPr>
              <w:t>0.73</w:t>
            </w:r>
          </w:p>
        </w:tc>
      </w:tr>
      <w:tr w:rsidR="00314DAE" w:rsidRPr="00243400" w14:paraId="0CEA44F2" w14:textId="77777777" w:rsidTr="00D51EA0">
        <w:trPr>
          <w:trHeight w:val="288"/>
        </w:trPr>
        <w:tc>
          <w:tcPr>
            <w:tcW w:w="5472" w:type="dxa"/>
            <w:tcBorders>
              <w:top w:val="single" w:sz="4" w:space="0" w:color="666666"/>
              <w:left w:val="nil"/>
              <w:right w:val="nil"/>
            </w:tcBorders>
            <w:noWrap/>
            <w:vAlign w:val="center"/>
          </w:tcPr>
          <w:p w14:paraId="55278C86"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p w14:paraId="6946CEB6"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8</w:t>
            </w:r>
            <w:r w:rsidR="00314DAE"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5C751ABF"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00314DAE"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138FEA2E"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r w:rsidR="00FA507B">
              <w:rPr>
                <w:rFonts w:ascii="Segoe UI" w:eastAsia="Times New Roman" w:hAnsi="Segoe UI" w:cs="Segoe UI"/>
                <w:bCs/>
                <w:color w:val="666666"/>
                <w:sz w:val="16"/>
                <w:szCs w:val="16"/>
              </w:rPr>
              <w:t>8</w:t>
            </w:r>
            <w:r w:rsidR="00314DAE"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1317A38E" w14:textId="77777777" w:rsidR="00314DAE" w:rsidRPr="00243400" w:rsidRDefault="00A96EC1"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30</w:t>
            </w:r>
            <w:r w:rsidR="00314DAE" w:rsidRPr="00243400">
              <w:rPr>
                <w:rFonts w:ascii="Segoe UI" w:eastAsia="Times New Roman" w:hAnsi="Segoe UI" w:cs="Segoe UI"/>
                <w:bCs/>
                <w:color w:val="666666"/>
                <w:sz w:val="16"/>
                <w:szCs w:val="16"/>
              </w:rPr>
              <w:t>%</w:t>
            </w:r>
          </w:p>
        </w:tc>
      </w:tr>
      <w:tr w:rsidR="00794664" w:rsidRPr="00243400" w14:paraId="221C12BC" w14:textId="77777777" w:rsidTr="00D51EA0">
        <w:trPr>
          <w:trHeight w:val="288"/>
        </w:trPr>
        <w:tc>
          <w:tcPr>
            <w:tcW w:w="5472" w:type="dxa"/>
            <w:tcBorders>
              <w:top w:val="nil"/>
              <w:left w:val="nil"/>
              <w:right w:val="nil"/>
            </w:tcBorders>
            <w:shd w:val="clear" w:color="auto" w:fill="auto"/>
            <w:noWrap/>
            <w:vAlign w:val="center"/>
          </w:tcPr>
          <w:p w14:paraId="1263C0E6" w14:textId="77777777" w:rsidR="00794664" w:rsidRPr="00243400" w:rsidRDefault="00794664" w:rsidP="00794664">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w:t>
            </w:r>
          </w:p>
        </w:tc>
        <w:tc>
          <w:tcPr>
            <w:tcW w:w="1008" w:type="dxa"/>
            <w:tcBorders>
              <w:top w:val="nil"/>
              <w:left w:val="nil"/>
              <w:right w:val="nil"/>
            </w:tcBorders>
            <w:shd w:val="clear" w:color="auto" w:fill="auto"/>
            <w:vAlign w:val="center"/>
          </w:tcPr>
          <w:p w14:paraId="17EBE7E3" w14:textId="77777777" w:rsidR="00794664" w:rsidRPr="00243400" w:rsidRDefault="00A96EC1"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00794664" w:rsidRPr="00243400">
              <w:rPr>
                <w:rFonts w:ascii="Segoe UI" w:eastAsia="Times New Roman" w:hAnsi="Segoe UI" w:cs="Segoe UI"/>
                <w:bCs/>
                <w:color w:val="666666"/>
                <w:sz w:val="16"/>
                <w:szCs w:val="16"/>
              </w:rPr>
              <w:t>%</w:t>
            </w:r>
          </w:p>
        </w:tc>
        <w:tc>
          <w:tcPr>
            <w:tcW w:w="1008" w:type="dxa"/>
            <w:tcBorders>
              <w:top w:val="nil"/>
              <w:left w:val="nil"/>
              <w:right w:val="nil"/>
            </w:tcBorders>
            <w:vAlign w:val="center"/>
          </w:tcPr>
          <w:p w14:paraId="502BA902" w14:textId="77777777" w:rsidR="00794664" w:rsidRPr="00243400" w:rsidRDefault="00A96EC1"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r w:rsidR="00794664" w:rsidRPr="00243400">
              <w:rPr>
                <w:rFonts w:ascii="Segoe UI" w:eastAsia="Times New Roman" w:hAnsi="Segoe UI" w:cs="Segoe UI"/>
                <w:bCs/>
                <w:color w:val="666666"/>
                <w:sz w:val="16"/>
                <w:szCs w:val="16"/>
              </w:rPr>
              <w:t>%</w:t>
            </w:r>
          </w:p>
        </w:tc>
        <w:tc>
          <w:tcPr>
            <w:tcW w:w="1008" w:type="dxa"/>
            <w:tcBorders>
              <w:top w:val="nil"/>
              <w:left w:val="nil"/>
              <w:right w:val="nil"/>
            </w:tcBorders>
            <w:shd w:val="clear" w:color="auto" w:fill="auto"/>
            <w:vAlign w:val="center"/>
          </w:tcPr>
          <w:p w14:paraId="35FF9EC0" w14:textId="77777777" w:rsidR="00794664" w:rsidRPr="00243400" w:rsidRDefault="00A96EC1"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13</w:t>
            </w:r>
            <w:r w:rsidR="00794664" w:rsidRPr="00243400">
              <w:rPr>
                <w:rFonts w:ascii="Segoe UI" w:eastAsia="Times New Roman" w:hAnsi="Segoe UI" w:cs="Segoe UI"/>
                <w:bCs/>
                <w:color w:val="666666"/>
                <w:sz w:val="16"/>
                <w:szCs w:val="16"/>
              </w:rPr>
              <w:t>%</w:t>
            </w:r>
          </w:p>
        </w:tc>
        <w:tc>
          <w:tcPr>
            <w:tcW w:w="1008" w:type="dxa"/>
            <w:tcBorders>
              <w:top w:val="nil"/>
              <w:left w:val="nil"/>
              <w:right w:val="nil"/>
            </w:tcBorders>
            <w:shd w:val="clear" w:color="auto" w:fill="auto"/>
            <w:vAlign w:val="center"/>
          </w:tcPr>
          <w:p w14:paraId="2A79EA3E" w14:textId="77777777" w:rsidR="00794664" w:rsidRPr="00243400" w:rsidRDefault="00A96EC1"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16</w:t>
            </w:r>
            <w:r w:rsidR="00794664" w:rsidRPr="00243400">
              <w:rPr>
                <w:rFonts w:ascii="Segoe UI" w:eastAsia="Times New Roman" w:hAnsi="Segoe UI" w:cs="Segoe UI"/>
                <w:bCs/>
                <w:color w:val="666666"/>
                <w:sz w:val="16"/>
                <w:szCs w:val="16"/>
              </w:rPr>
              <w:t>%</w:t>
            </w:r>
          </w:p>
        </w:tc>
      </w:tr>
      <w:tr w:rsidR="00794664" w:rsidRPr="00243400" w14:paraId="4F5F82A4" w14:textId="77777777" w:rsidTr="00D51EA0">
        <w:trPr>
          <w:trHeight w:val="288"/>
        </w:trPr>
        <w:tc>
          <w:tcPr>
            <w:tcW w:w="5472" w:type="dxa"/>
            <w:tcBorders>
              <w:left w:val="nil"/>
              <w:bottom w:val="single" w:sz="4" w:space="0" w:color="auto"/>
              <w:right w:val="nil"/>
            </w:tcBorders>
            <w:shd w:val="clear" w:color="auto" w:fill="auto"/>
            <w:noWrap/>
            <w:vAlign w:val="center"/>
          </w:tcPr>
          <w:p w14:paraId="2A077158" w14:textId="77777777" w:rsidR="00794664" w:rsidRPr="00243400" w:rsidRDefault="00794664" w:rsidP="00794664">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008" w:type="dxa"/>
            <w:tcBorders>
              <w:left w:val="nil"/>
              <w:bottom w:val="single" w:sz="4" w:space="0" w:color="auto"/>
              <w:right w:val="nil"/>
            </w:tcBorders>
            <w:shd w:val="clear" w:color="auto" w:fill="auto"/>
            <w:vAlign w:val="center"/>
          </w:tcPr>
          <w:p w14:paraId="7A93F589" w14:textId="77777777" w:rsidR="00794664" w:rsidRPr="00243400" w:rsidRDefault="00DE0C5A"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7</w:t>
            </w:r>
            <w:r w:rsidR="00794664"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vAlign w:val="center"/>
          </w:tcPr>
          <w:p w14:paraId="193F8E4B" w14:textId="77777777" w:rsidR="00794664" w:rsidRPr="00243400" w:rsidRDefault="00DE0C5A" w:rsidP="00794664">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r w:rsidR="00794664"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shd w:val="clear" w:color="auto" w:fill="auto"/>
            <w:vAlign w:val="center"/>
          </w:tcPr>
          <w:p w14:paraId="3642A119" w14:textId="77777777" w:rsidR="00794664" w:rsidRPr="00BF0D5C" w:rsidRDefault="00BF0D5C" w:rsidP="00794664">
            <w:pPr>
              <w:spacing w:after="0"/>
              <w:jc w:val="right"/>
              <w:rPr>
                <w:rFonts w:ascii="Segoe UI" w:eastAsia="Times New Roman" w:hAnsi="Segoe UI" w:cs="Segoe UI"/>
                <w:bCs/>
                <w:color w:val="666666"/>
                <w:sz w:val="16"/>
                <w:szCs w:val="16"/>
              </w:rPr>
            </w:pPr>
            <w:r w:rsidRPr="00BF0D5C">
              <w:rPr>
                <w:rFonts w:ascii="Segoe UI" w:eastAsia="Times New Roman" w:hAnsi="Segoe UI" w:cs="Segoe UI"/>
                <w:bCs/>
                <w:color w:val="666666"/>
                <w:sz w:val="16"/>
                <w:szCs w:val="16"/>
              </w:rPr>
              <w:t>16</w:t>
            </w:r>
            <w:r w:rsidR="00794664" w:rsidRPr="00BF0D5C">
              <w:rPr>
                <w:rFonts w:ascii="Segoe UI" w:eastAsia="Times New Roman" w:hAnsi="Segoe UI" w:cs="Segoe UI"/>
                <w:bCs/>
                <w:color w:val="666666"/>
                <w:sz w:val="16"/>
                <w:szCs w:val="16"/>
              </w:rPr>
              <w:t>%</w:t>
            </w:r>
          </w:p>
        </w:tc>
        <w:tc>
          <w:tcPr>
            <w:tcW w:w="1008" w:type="dxa"/>
            <w:tcBorders>
              <w:left w:val="nil"/>
              <w:bottom w:val="single" w:sz="4" w:space="0" w:color="auto"/>
              <w:right w:val="nil"/>
            </w:tcBorders>
            <w:shd w:val="clear" w:color="auto" w:fill="auto"/>
            <w:vAlign w:val="center"/>
          </w:tcPr>
          <w:p w14:paraId="352B0B5B" w14:textId="77777777" w:rsidR="00794664" w:rsidRPr="00BF0D5C" w:rsidRDefault="00BF0D5C" w:rsidP="00794664">
            <w:pPr>
              <w:spacing w:after="0"/>
              <w:jc w:val="right"/>
              <w:rPr>
                <w:rFonts w:ascii="Segoe UI" w:eastAsia="Times New Roman" w:hAnsi="Segoe UI" w:cs="Segoe UI"/>
                <w:bCs/>
                <w:color w:val="666666"/>
                <w:sz w:val="16"/>
                <w:szCs w:val="16"/>
              </w:rPr>
            </w:pPr>
            <w:r w:rsidRPr="00BF0D5C">
              <w:rPr>
                <w:rFonts w:ascii="Segoe UI" w:eastAsia="Times New Roman" w:hAnsi="Segoe UI" w:cs="Segoe UI"/>
                <w:bCs/>
                <w:color w:val="666666"/>
                <w:sz w:val="16"/>
                <w:szCs w:val="16"/>
              </w:rPr>
              <w:t>19</w:t>
            </w:r>
            <w:r w:rsidR="00794664" w:rsidRPr="00BF0D5C">
              <w:rPr>
                <w:rFonts w:ascii="Segoe UI" w:eastAsia="Times New Roman" w:hAnsi="Segoe UI" w:cs="Segoe UI"/>
                <w:bCs/>
                <w:color w:val="666666"/>
                <w:sz w:val="16"/>
                <w:szCs w:val="16"/>
              </w:rPr>
              <w:t>%</w:t>
            </w:r>
          </w:p>
        </w:tc>
      </w:tr>
    </w:tbl>
    <w:p w14:paraId="1E23AC97" w14:textId="77777777" w:rsidR="00314DAE" w:rsidRPr="00243400" w:rsidRDefault="00314DAE" w:rsidP="00AD4CEC">
      <w:pPr>
        <w:spacing w:before="240" w:after="240"/>
        <w:rPr>
          <w:rFonts w:ascii="Segoe UI" w:hAnsi="Segoe UI" w:cs="Segoe UI"/>
          <w:color w:val="666666"/>
          <w:sz w:val="20"/>
          <w:szCs w:val="20"/>
        </w:rPr>
      </w:pPr>
      <w:r w:rsidRPr="00243400">
        <w:rPr>
          <w:rFonts w:ascii="Segoe UI" w:hAnsi="Segoe UI" w:cs="Segoe UI"/>
          <w:color w:val="666666"/>
          <w:sz w:val="20"/>
          <w:szCs w:val="20"/>
        </w:rPr>
        <w:t>Microsoft returned $</w:t>
      </w:r>
      <w:r w:rsidR="005E62A1">
        <w:rPr>
          <w:rFonts w:ascii="Segoe UI" w:hAnsi="Segoe UI" w:cs="Segoe UI"/>
          <w:color w:val="666666"/>
          <w:sz w:val="20"/>
          <w:szCs w:val="20"/>
        </w:rPr>
        <w:t>4.6</w:t>
      </w:r>
      <w:r w:rsidRPr="00243400">
        <w:rPr>
          <w:rFonts w:ascii="Segoe UI" w:hAnsi="Segoe UI" w:cs="Segoe UI"/>
          <w:color w:val="666666"/>
          <w:sz w:val="20"/>
          <w:szCs w:val="20"/>
        </w:rPr>
        <w:t xml:space="preserve"> billion to shareholders in the form of share repurchases and dividends in the </w:t>
      </w:r>
      <w:r w:rsidR="00794664">
        <w:rPr>
          <w:rFonts w:ascii="Segoe UI" w:hAnsi="Segoe UI" w:cs="Segoe UI"/>
          <w:color w:val="666666"/>
          <w:sz w:val="20"/>
          <w:szCs w:val="20"/>
        </w:rPr>
        <w:t xml:space="preserve">third </w:t>
      </w:r>
      <w:r w:rsidRPr="00243400">
        <w:rPr>
          <w:rFonts w:ascii="Segoe UI" w:hAnsi="Segoe UI" w:cs="Segoe UI"/>
          <w:color w:val="666666"/>
          <w:sz w:val="20"/>
          <w:szCs w:val="20"/>
        </w:rPr>
        <w:t>quarter of fiscal year 2017.</w:t>
      </w:r>
    </w:p>
    <w:p w14:paraId="59A0DC9E" w14:textId="14E7EC66" w:rsidR="00314DAE" w:rsidRPr="00391BDF" w:rsidRDefault="00314DAE" w:rsidP="00314DAE">
      <w:pPr>
        <w:spacing w:before="240" w:after="240"/>
        <w:rPr>
          <w:rFonts w:ascii="Segoe UI" w:hAnsi="Segoe UI" w:cs="Segoe UI"/>
          <w:color w:val="FF0000"/>
          <w:sz w:val="20"/>
          <w:szCs w:val="20"/>
        </w:rPr>
      </w:pPr>
      <w:r w:rsidRPr="00D32B85">
        <w:rPr>
          <w:rFonts w:ascii="Segoe UI" w:hAnsi="Segoe UI" w:cs="Segoe UI"/>
          <w:color w:val="666666"/>
          <w:sz w:val="20"/>
          <w:szCs w:val="20"/>
        </w:rPr>
        <w:t>“</w:t>
      </w:r>
      <w:r w:rsidR="00D32B85" w:rsidRPr="00D32B85">
        <w:rPr>
          <w:rFonts w:ascii="Segoe UI" w:hAnsi="Segoe UI" w:cs="Segoe UI"/>
          <w:color w:val="666666"/>
          <w:sz w:val="20"/>
          <w:szCs w:val="20"/>
        </w:rPr>
        <w:t xml:space="preserve">Strong execution and demand for our cloud-based services drove our commercial cloud annualized revenue run rate to more than $15.2 billion,” </w:t>
      </w:r>
      <w:r w:rsidRPr="00D32B85">
        <w:rPr>
          <w:rFonts w:ascii="Segoe UI" w:hAnsi="Segoe UI" w:cs="Segoe UI"/>
          <w:color w:val="666666"/>
          <w:sz w:val="20"/>
          <w:szCs w:val="20"/>
        </w:rPr>
        <w:t xml:space="preserve">said Amy Hood, executive vice president and chief </w:t>
      </w:r>
      <w:r w:rsidR="00C647CD" w:rsidRPr="00D32B85">
        <w:rPr>
          <w:rFonts w:ascii="Segoe UI" w:hAnsi="Segoe UI" w:cs="Segoe UI"/>
          <w:color w:val="666666"/>
          <w:sz w:val="20"/>
          <w:szCs w:val="20"/>
        </w:rPr>
        <w:t>financial officer at Microsoft.</w:t>
      </w:r>
    </w:p>
    <w:p w14:paraId="0B3C8958"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Revenue in Productivity and Business Processes was $</w:t>
      </w:r>
      <w:r w:rsidR="000E30A2">
        <w:rPr>
          <w:rFonts w:ascii="Segoe UI" w:hAnsi="Segoe UI" w:cs="Segoe UI"/>
          <w:color w:val="666666"/>
          <w:sz w:val="20"/>
          <w:szCs w:val="20"/>
        </w:rPr>
        <w:t>8.0</w:t>
      </w:r>
      <w:r w:rsidRPr="00243400">
        <w:rPr>
          <w:rFonts w:ascii="Segoe UI" w:hAnsi="Segoe UI" w:cs="Segoe UI"/>
          <w:color w:val="666666"/>
          <w:sz w:val="20"/>
          <w:szCs w:val="20"/>
        </w:rPr>
        <w:t xml:space="preserve"> billion and increased </w:t>
      </w:r>
      <w:r w:rsidR="000E30A2">
        <w:rPr>
          <w:rFonts w:ascii="Segoe UI" w:hAnsi="Segoe UI" w:cs="Segoe UI"/>
          <w:color w:val="666666"/>
          <w:sz w:val="20"/>
          <w:szCs w:val="20"/>
        </w:rPr>
        <w:t>22</w:t>
      </w:r>
      <w:r w:rsidRPr="00243400">
        <w:rPr>
          <w:rFonts w:ascii="Segoe UI" w:hAnsi="Segoe UI" w:cs="Segoe UI"/>
          <w:color w:val="666666"/>
          <w:sz w:val="20"/>
          <w:szCs w:val="20"/>
        </w:rPr>
        <w:t xml:space="preserve">% (up </w:t>
      </w:r>
      <w:r w:rsidR="000E30A2">
        <w:rPr>
          <w:rFonts w:ascii="Segoe UI" w:hAnsi="Segoe UI" w:cs="Segoe UI"/>
          <w:color w:val="666666"/>
          <w:sz w:val="20"/>
          <w:szCs w:val="20"/>
        </w:rPr>
        <w:t>23</w:t>
      </w:r>
      <w:r w:rsidRPr="00243400">
        <w:rPr>
          <w:rFonts w:ascii="Segoe UI" w:hAnsi="Segoe UI" w:cs="Segoe UI"/>
          <w:color w:val="666666"/>
          <w:sz w:val="20"/>
          <w:szCs w:val="20"/>
        </w:rPr>
        <w:t>% in constant currency), with the following business highlights:</w:t>
      </w:r>
    </w:p>
    <w:p w14:paraId="2C6DB6AF" w14:textId="77777777" w:rsidR="00314DAE" w:rsidRPr="00243400" w:rsidRDefault="00314DAE" w:rsidP="00314DAE">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lastRenderedPageBreak/>
        <w:t xml:space="preserve">Office commercial products and cloud services revenue increased </w:t>
      </w:r>
      <w:r w:rsidR="00754476">
        <w:rPr>
          <w:rFonts w:ascii="Segoe UI" w:hAnsi="Segoe UI" w:cs="Segoe UI"/>
          <w:color w:val="666666"/>
          <w:sz w:val="20"/>
          <w:szCs w:val="20"/>
        </w:rPr>
        <w:t>7</w:t>
      </w:r>
      <w:r w:rsidRPr="00243400">
        <w:rPr>
          <w:rFonts w:ascii="Segoe UI" w:hAnsi="Segoe UI" w:cs="Segoe UI"/>
          <w:color w:val="666666"/>
          <w:sz w:val="20"/>
          <w:szCs w:val="20"/>
        </w:rPr>
        <w:t xml:space="preserve">% (up </w:t>
      </w:r>
      <w:r w:rsidR="00754476">
        <w:rPr>
          <w:rFonts w:ascii="Segoe UI" w:hAnsi="Segoe UI" w:cs="Segoe UI"/>
          <w:color w:val="666666"/>
          <w:sz w:val="20"/>
          <w:szCs w:val="20"/>
        </w:rPr>
        <w:t>8</w:t>
      </w:r>
      <w:r w:rsidRPr="00243400">
        <w:rPr>
          <w:rFonts w:ascii="Segoe UI" w:hAnsi="Segoe UI" w:cs="Segoe UI"/>
          <w:color w:val="666666"/>
          <w:sz w:val="20"/>
          <w:szCs w:val="20"/>
        </w:rPr>
        <w:t xml:space="preserve">% in constant currency) driven by Office 365 commercial revenue growth of </w:t>
      </w:r>
      <w:r w:rsidR="00754476">
        <w:rPr>
          <w:rFonts w:ascii="Segoe UI" w:hAnsi="Segoe UI" w:cs="Segoe UI"/>
          <w:color w:val="666666"/>
          <w:sz w:val="20"/>
          <w:szCs w:val="20"/>
        </w:rPr>
        <w:t>45</w:t>
      </w:r>
      <w:r w:rsidRPr="00243400">
        <w:rPr>
          <w:rFonts w:ascii="Segoe UI" w:hAnsi="Segoe UI" w:cs="Segoe UI"/>
          <w:color w:val="666666"/>
          <w:sz w:val="20"/>
          <w:szCs w:val="20"/>
        </w:rPr>
        <w:t xml:space="preserve">% (up </w:t>
      </w:r>
      <w:r w:rsidR="00E4141E" w:rsidRPr="00E4141E">
        <w:rPr>
          <w:rFonts w:ascii="Segoe UI" w:hAnsi="Segoe UI" w:cs="Segoe UI"/>
          <w:color w:val="666666"/>
          <w:sz w:val="20"/>
          <w:szCs w:val="20"/>
        </w:rPr>
        <w:t>4</w:t>
      </w:r>
      <w:r w:rsidR="003950F9">
        <w:rPr>
          <w:rFonts w:ascii="Segoe UI" w:hAnsi="Segoe UI" w:cs="Segoe UI"/>
          <w:color w:val="666666"/>
          <w:sz w:val="20"/>
          <w:szCs w:val="20"/>
        </w:rPr>
        <w:t>5</w:t>
      </w:r>
      <w:r w:rsidRPr="00E4141E">
        <w:rPr>
          <w:rFonts w:ascii="Segoe UI" w:hAnsi="Segoe UI" w:cs="Segoe UI"/>
          <w:color w:val="666666"/>
          <w:sz w:val="20"/>
          <w:szCs w:val="20"/>
        </w:rPr>
        <w:t>%</w:t>
      </w:r>
      <w:r w:rsidRPr="00243400">
        <w:rPr>
          <w:rFonts w:ascii="Segoe UI" w:hAnsi="Segoe UI" w:cs="Segoe UI"/>
          <w:color w:val="666666"/>
          <w:sz w:val="20"/>
          <w:szCs w:val="20"/>
        </w:rPr>
        <w:t xml:space="preserve"> in constant currency)</w:t>
      </w:r>
    </w:p>
    <w:p w14:paraId="08061685" w14:textId="77777777" w:rsidR="00314DAE" w:rsidRPr="00243400" w:rsidRDefault="00314DAE" w:rsidP="00314DAE">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Office consumer products and cloud services revenue increased </w:t>
      </w:r>
      <w:r w:rsidR="00E668E5">
        <w:rPr>
          <w:rFonts w:ascii="Segoe UI" w:hAnsi="Segoe UI" w:cs="Segoe UI"/>
          <w:color w:val="666666"/>
          <w:sz w:val="20"/>
          <w:szCs w:val="20"/>
        </w:rPr>
        <w:t>15</w:t>
      </w:r>
      <w:r w:rsidRPr="00243400">
        <w:rPr>
          <w:rFonts w:ascii="Segoe UI" w:hAnsi="Segoe UI" w:cs="Segoe UI"/>
          <w:color w:val="666666"/>
          <w:sz w:val="20"/>
          <w:szCs w:val="20"/>
        </w:rPr>
        <w:t xml:space="preserve">% (up </w:t>
      </w:r>
      <w:r w:rsidR="00026EFD">
        <w:rPr>
          <w:rFonts w:ascii="Segoe UI" w:hAnsi="Segoe UI" w:cs="Segoe UI"/>
          <w:color w:val="666666"/>
          <w:sz w:val="20"/>
          <w:szCs w:val="20"/>
        </w:rPr>
        <w:t>14</w:t>
      </w:r>
      <w:r w:rsidRPr="00243400">
        <w:rPr>
          <w:rFonts w:ascii="Segoe UI" w:hAnsi="Segoe UI" w:cs="Segoe UI"/>
          <w:color w:val="666666"/>
          <w:sz w:val="20"/>
          <w:szCs w:val="20"/>
        </w:rPr>
        <w:t xml:space="preserve">% in constant currency) and Office 365 consumer subscribers increased to </w:t>
      </w:r>
      <w:r w:rsidR="00E668E5">
        <w:rPr>
          <w:rFonts w:ascii="Segoe UI" w:hAnsi="Segoe UI" w:cs="Segoe UI"/>
          <w:color w:val="666666"/>
          <w:sz w:val="20"/>
          <w:szCs w:val="20"/>
        </w:rPr>
        <w:t>26.2</w:t>
      </w:r>
      <w:r w:rsidRPr="00243400">
        <w:rPr>
          <w:rFonts w:ascii="Segoe UI" w:hAnsi="Segoe UI" w:cs="Segoe UI"/>
          <w:color w:val="666666"/>
          <w:sz w:val="20"/>
          <w:szCs w:val="20"/>
        </w:rPr>
        <w:t xml:space="preserve"> million</w:t>
      </w:r>
    </w:p>
    <w:p w14:paraId="6C9A8F9B" w14:textId="77777777" w:rsidR="00314DAE" w:rsidRPr="00243400" w:rsidRDefault="00314DAE" w:rsidP="00314DAE">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Dynamics products and cloud services revenue increased </w:t>
      </w:r>
      <w:r w:rsidR="00E668E5">
        <w:rPr>
          <w:rFonts w:ascii="Segoe UI" w:hAnsi="Segoe UI" w:cs="Segoe UI"/>
          <w:color w:val="666666"/>
          <w:sz w:val="20"/>
          <w:szCs w:val="20"/>
        </w:rPr>
        <w:t>10</w:t>
      </w:r>
      <w:r w:rsidRPr="00243400">
        <w:rPr>
          <w:rFonts w:ascii="Segoe UI" w:hAnsi="Segoe UI" w:cs="Segoe UI"/>
          <w:color w:val="666666"/>
          <w:sz w:val="20"/>
          <w:szCs w:val="20"/>
        </w:rPr>
        <w:t xml:space="preserve">% (up </w:t>
      </w:r>
      <w:r w:rsidR="00E668E5">
        <w:rPr>
          <w:rFonts w:ascii="Segoe UI" w:hAnsi="Segoe UI" w:cs="Segoe UI"/>
          <w:color w:val="666666"/>
          <w:sz w:val="20"/>
          <w:szCs w:val="20"/>
        </w:rPr>
        <w:t>11</w:t>
      </w:r>
      <w:r w:rsidRPr="00243400">
        <w:rPr>
          <w:rFonts w:ascii="Segoe UI" w:hAnsi="Segoe UI" w:cs="Segoe UI"/>
          <w:color w:val="666666"/>
          <w:sz w:val="20"/>
          <w:szCs w:val="20"/>
        </w:rPr>
        <w:t>% in constant currency) driven by Dynamics 365 revenue growth</w:t>
      </w:r>
      <w:r w:rsidR="00F0700C">
        <w:rPr>
          <w:rFonts w:ascii="Segoe UI" w:hAnsi="Segoe UI" w:cs="Segoe UI"/>
          <w:color w:val="666666"/>
          <w:sz w:val="20"/>
          <w:szCs w:val="20"/>
        </w:rPr>
        <w:t xml:space="preserve"> of</w:t>
      </w:r>
      <w:r w:rsidR="00F055AF">
        <w:rPr>
          <w:rFonts w:ascii="Segoe UI" w:hAnsi="Segoe UI" w:cs="Segoe UI"/>
          <w:color w:val="666666"/>
          <w:sz w:val="20"/>
          <w:szCs w:val="20"/>
        </w:rPr>
        <w:t xml:space="preserve"> 81% (up 82% in constant currency)</w:t>
      </w:r>
      <w:r w:rsidR="00F0700C">
        <w:rPr>
          <w:rFonts w:ascii="Segoe UI" w:hAnsi="Segoe UI" w:cs="Segoe UI"/>
          <w:color w:val="666666"/>
          <w:sz w:val="20"/>
          <w:szCs w:val="20"/>
        </w:rPr>
        <w:t xml:space="preserve"> </w:t>
      </w:r>
    </w:p>
    <w:p w14:paraId="00841C5B" w14:textId="202AF876" w:rsidR="00314DAE" w:rsidRPr="00243400" w:rsidRDefault="00314DAE" w:rsidP="00314DAE">
      <w:pPr>
        <w:pStyle w:val="ListParagraph"/>
        <w:numPr>
          <w:ilvl w:val="0"/>
          <w:numId w:val="2"/>
        </w:numPr>
        <w:spacing w:before="240" w:after="240"/>
        <w:rPr>
          <w:rFonts w:ascii="Segoe UI" w:hAnsi="Segoe UI" w:cs="Segoe UI"/>
          <w:color w:val="666666"/>
          <w:sz w:val="20"/>
          <w:szCs w:val="20"/>
        </w:rPr>
      </w:pPr>
      <w:r w:rsidRPr="00243400">
        <w:rPr>
          <w:rFonts w:ascii="Segoe UI" w:hAnsi="Segoe UI" w:cs="Segoe UI"/>
          <w:color w:val="666666"/>
          <w:sz w:val="20"/>
          <w:szCs w:val="20"/>
        </w:rPr>
        <w:t>LinkedIn contributed revenue of $</w:t>
      </w:r>
      <w:r w:rsidR="00E668E5">
        <w:rPr>
          <w:rFonts w:ascii="Segoe UI" w:hAnsi="Segoe UI" w:cs="Segoe UI"/>
          <w:color w:val="666666"/>
          <w:sz w:val="20"/>
          <w:szCs w:val="20"/>
        </w:rPr>
        <w:t>97</w:t>
      </w:r>
      <w:r w:rsidR="00E50CCE">
        <w:rPr>
          <w:rFonts w:ascii="Segoe UI" w:hAnsi="Segoe UI" w:cs="Segoe UI"/>
          <w:color w:val="666666"/>
          <w:sz w:val="20"/>
          <w:szCs w:val="20"/>
        </w:rPr>
        <w:t>5</w:t>
      </w:r>
      <w:r w:rsidR="00DE0C37">
        <w:rPr>
          <w:rFonts w:ascii="Segoe UI" w:hAnsi="Segoe UI" w:cs="Segoe UI"/>
          <w:color w:val="666666"/>
          <w:sz w:val="20"/>
          <w:szCs w:val="20"/>
        </w:rPr>
        <w:t xml:space="preserve"> million</w:t>
      </w:r>
    </w:p>
    <w:p w14:paraId="67408A06" w14:textId="77777777" w:rsidR="00314DAE" w:rsidRPr="00243400" w:rsidRDefault="00314DAE" w:rsidP="00314DAE">
      <w:p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Revenue in Intelligent Cloud was $</w:t>
      </w:r>
      <w:r w:rsidR="00E12219">
        <w:rPr>
          <w:rFonts w:ascii="Segoe UI" w:eastAsia="Segoe UI" w:hAnsi="Segoe UI" w:cs="Segoe UI"/>
          <w:color w:val="666666"/>
          <w:sz w:val="20"/>
          <w:szCs w:val="20"/>
        </w:rPr>
        <w:t>6.8</w:t>
      </w:r>
      <w:r w:rsidRPr="00243400">
        <w:rPr>
          <w:rFonts w:ascii="Segoe UI" w:eastAsia="Segoe UI" w:hAnsi="Segoe UI" w:cs="Segoe UI"/>
          <w:color w:val="666666"/>
          <w:sz w:val="20"/>
          <w:szCs w:val="20"/>
        </w:rPr>
        <w:t xml:space="preserve"> billion and </w:t>
      </w:r>
      <w:r w:rsidRPr="00243400">
        <w:rPr>
          <w:rFonts w:ascii="Segoe UI" w:hAnsi="Segoe UI" w:cs="Segoe UI"/>
          <w:color w:val="666666"/>
          <w:sz w:val="20"/>
          <w:szCs w:val="20"/>
        </w:rPr>
        <w:t xml:space="preserve">increased </w:t>
      </w:r>
      <w:r w:rsidR="00E12219">
        <w:rPr>
          <w:rFonts w:ascii="Segoe UI" w:eastAsia="Segoe UI" w:hAnsi="Segoe UI" w:cs="Segoe UI"/>
          <w:color w:val="666666"/>
          <w:sz w:val="20"/>
          <w:szCs w:val="20"/>
        </w:rPr>
        <w:t>11</w:t>
      </w:r>
      <w:r w:rsidRPr="00243400">
        <w:rPr>
          <w:rFonts w:ascii="Segoe UI" w:eastAsia="Segoe UI" w:hAnsi="Segoe UI" w:cs="Segoe UI"/>
          <w:color w:val="666666"/>
          <w:sz w:val="20"/>
          <w:szCs w:val="20"/>
        </w:rPr>
        <w:t xml:space="preserve">% (up </w:t>
      </w:r>
      <w:r w:rsidR="00E12219">
        <w:rPr>
          <w:rFonts w:ascii="Segoe UI" w:eastAsia="Segoe UI" w:hAnsi="Segoe UI" w:cs="Segoe UI"/>
          <w:color w:val="666666"/>
          <w:sz w:val="20"/>
          <w:szCs w:val="20"/>
        </w:rPr>
        <w:t>12</w:t>
      </w:r>
      <w:r w:rsidRPr="00243400">
        <w:rPr>
          <w:rFonts w:ascii="Segoe UI" w:eastAsia="Segoe UI" w:hAnsi="Segoe UI" w:cs="Segoe UI"/>
          <w:color w:val="666666"/>
          <w:sz w:val="20"/>
          <w:szCs w:val="20"/>
        </w:rPr>
        <w:t>% in constant currency), with the following business highlights:</w:t>
      </w:r>
    </w:p>
    <w:p w14:paraId="31FC0683" w14:textId="77777777" w:rsidR="00621125" w:rsidRPr="003C0E25" w:rsidRDefault="00621125" w:rsidP="00621125">
      <w:pPr>
        <w:pStyle w:val="ListParagraph"/>
        <w:numPr>
          <w:ilvl w:val="0"/>
          <w:numId w:val="3"/>
        </w:numPr>
        <w:spacing w:before="240" w:after="240"/>
        <w:rPr>
          <w:rFonts w:ascii="Segoe UI" w:hAnsi="Segoe UI" w:cs="Segoe UI"/>
          <w:color w:val="666666"/>
          <w:sz w:val="20"/>
          <w:szCs w:val="20"/>
        </w:rPr>
      </w:pPr>
      <w:r w:rsidRPr="003C0E25">
        <w:rPr>
          <w:rFonts w:ascii="Segoe UI" w:hAnsi="Segoe UI" w:cs="Segoe UI"/>
          <w:color w:val="666666"/>
          <w:sz w:val="20"/>
          <w:szCs w:val="20"/>
        </w:rPr>
        <w:t xml:space="preserve">Server products and cloud services revenue increased 15% (up 16% in constant currency) driven by Azure revenue </w:t>
      </w:r>
      <w:r w:rsidR="003C0E25">
        <w:rPr>
          <w:rFonts w:ascii="Segoe UI" w:hAnsi="Segoe UI" w:cs="Segoe UI"/>
          <w:color w:val="666666"/>
          <w:sz w:val="20"/>
          <w:szCs w:val="20"/>
        </w:rPr>
        <w:t xml:space="preserve">growth of </w:t>
      </w:r>
      <w:r w:rsidRPr="003C0E25">
        <w:rPr>
          <w:rFonts w:ascii="Segoe UI" w:hAnsi="Segoe UI" w:cs="Segoe UI"/>
          <w:color w:val="666666"/>
          <w:sz w:val="20"/>
          <w:szCs w:val="20"/>
        </w:rPr>
        <w:t>93% (up 94% in constant currency)</w:t>
      </w:r>
      <w:r w:rsidR="003C0E25" w:rsidRPr="003C0E25">
        <w:rPr>
          <w:rFonts w:ascii="Segoe UI" w:hAnsi="Segoe UI" w:cs="Segoe UI"/>
          <w:color w:val="666666"/>
          <w:sz w:val="20"/>
          <w:szCs w:val="20"/>
        </w:rPr>
        <w:t xml:space="preserve"> </w:t>
      </w:r>
    </w:p>
    <w:p w14:paraId="2C9297F9" w14:textId="39351F12" w:rsidR="00314DAE" w:rsidRPr="00243400" w:rsidRDefault="00621125" w:rsidP="00621125">
      <w:pPr>
        <w:pStyle w:val="ListParagraph"/>
        <w:numPr>
          <w:ilvl w:val="0"/>
          <w:numId w:val="3"/>
        </w:numPr>
        <w:spacing w:before="240" w:after="240"/>
        <w:rPr>
          <w:rFonts w:ascii="Segoe UI" w:hAnsi="Segoe UI" w:cs="Segoe UI"/>
          <w:color w:val="666666"/>
          <w:sz w:val="20"/>
          <w:szCs w:val="20"/>
        </w:rPr>
      </w:pPr>
      <w:r w:rsidRPr="00621125">
        <w:rPr>
          <w:rFonts w:ascii="Segoe UI" w:hAnsi="Segoe UI" w:cs="Segoe UI"/>
          <w:color w:val="666666"/>
          <w:sz w:val="20"/>
          <w:szCs w:val="20"/>
        </w:rPr>
        <w:t>Enterprise Services revenue decreased 1% (</w:t>
      </w:r>
      <w:r w:rsidR="00567115">
        <w:rPr>
          <w:rFonts w:ascii="Segoe UI" w:hAnsi="Segoe UI" w:cs="Segoe UI"/>
          <w:color w:val="666666"/>
          <w:sz w:val="20"/>
          <w:szCs w:val="20"/>
        </w:rPr>
        <w:t>unchanged</w:t>
      </w:r>
      <w:r w:rsidRPr="00621125">
        <w:rPr>
          <w:rFonts w:ascii="Segoe UI" w:hAnsi="Segoe UI" w:cs="Segoe UI"/>
          <w:color w:val="666666"/>
          <w:sz w:val="20"/>
          <w:szCs w:val="20"/>
        </w:rPr>
        <w:t xml:space="preserve"> in constant currency) with declines in custom support agreements offset by growth in Premier Support Services and consulting</w:t>
      </w:r>
    </w:p>
    <w:p w14:paraId="0EDCF0C5"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Revenue in More Personal Computing was $</w:t>
      </w:r>
      <w:r w:rsidR="008848B8">
        <w:rPr>
          <w:rFonts w:ascii="Segoe UI" w:hAnsi="Segoe UI" w:cs="Segoe UI"/>
          <w:color w:val="666666"/>
          <w:sz w:val="20"/>
          <w:szCs w:val="20"/>
        </w:rPr>
        <w:t>8.8</w:t>
      </w:r>
      <w:r w:rsidRPr="00243400">
        <w:rPr>
          <w:rFonts w:ascii="Segoe UI" w:hAnsi="Segoe UI" w:cs="Segoe UI"/>
          <w:color w:val="666666"/>
          <w:sz w:val="20"/>
          <w:szCs w:val="20"/>
        </w:rPr>
        <w:t xml:space="preserve"> billion and decreased </w:t>
      </w:r>
      <w:r w:rsidR="008848B8">
        <w:rPr>
          <w:rFonts w:ascii="Segoe UI" w:hAnsi="Segoe UI" w:cs="Segoe UI"/>
          <w:color w:val="666666"/>
          <w:sz w:val="20"/>
          <w:szCs w:val="20"/>
        </w:rPr>
        <w:t>7</w:t>
      </w:r>
      <w:r w:rsidRPr="00243400">
        <w:rPr>
          <w:rFonts w:ascii="Segoe UI" w:hAnsi="Segoe UI" w:cs="Segoe UI"/>
          <w:color w:val="666666"/>
          <w:sz w:val="20"/>
          <w:szCs w:val="20"/>
        </w:rPr>
        <w:t xml:space="preserve">% (down </w:t>
      </w:r>
      <w:r w:rsidR="008848B8">
        <w:rPr>
          <w:rFonts w:ascii="Segoe UI" w:hAnsi="Segoe UI" w:cs="Segoe UI"/>
          <w:color w:val="666666"/>
          <w:sz w:val="20"/>
          <w:szCs w:val="20"/>
        </w:rPr>
        <w:t>7</w:t>
      </w:r>
      <w:r w:rsidRPr="00243400">
        <w:rPr>
          <w:rFonts w:ascii="Segoe UI" w:hAnsi="Segoe UI" w:cs="Segoe UI"/>
          <w:color w:val="666666"/>
          <w:sz w:val="20"/>
          <w:szCs w:val="20"/>
        </w:rPr>
        <w:t>% in constant currency) driven primarily by lower phone revenue, with the following business highlights:</w:t>
      </w:r>
    </w:p>
    <w:p w14:paraId="4D0D69B7" w14:textId="77777777" w:rsidR="00314DAE" w:rsidRPr="00243400" w:rsidRDefault="00314DAE" w:rsidP="00314DAE">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Windows OEM revenue increased </w:t>
      </w:r>
      <w:r w:rsidR="00FE64CA">
        <w:rPr>
          <w:rFonts w:ascii="Segoe UI" w:eastAsia="Segoe UI" w:hAnsi="Segoe UI" w:cs="Segoe UI"/>
          <w:color w:val="666666"/>
          <w:sz w:val="20"/>
          <w:szCs w:val="20"/>
        </w:rPr>
        <w:t>5</w:t>
      </w:r>
      <w:r w:rsidRPr="00FE64CA">
        <w:rPr>
          <w:rFonts w:ascii="Segoe UI" w:eastAsia="Segoe UI" w:hAnsi="Segoe UI" w:cs="Segoe UI"/>
          <w:color w:val="666666"/>
          <w:sz w:val="20"/>
          <w:szCs w:val="20"/>
        </w:rPr>
        <w:t>%</w:t>
      </w:r>
      <w:r w:rsidRPr="00243400">
        <w:rPr>
          <w:rFonts w:ascii="Segoe UI" w:eastAsia="Segoe UI" w:hAnsi="Segoe UI" w:cs="Segoe UI"/>
          <w:color w:val="666666"/>
          <w:sz w:val="20"/>
          <w:szCs w:val="20"/>
        </w:rPr>
        <w:t xml:space="preserve"> (up </w:t>
      </w:r>
      <w:r w:rsidR="00FE64CA">
        <w:rPr>
          <w:rFonts w:ascii="Segoe UI" w:eastAsia="Segoe UI" w:hAnsi="Segoe UI" w:cs="Segoe UI"/>
          <w:color w:val="666666"/>
          <w:sz w:val="20"/>
          <w:szCs w:val="20"/>
        </w:rPr>
        <w:t>5</w:t>
      </w:r>
      <w:r w:rsidRPr="00FE64CA">
        <w:rPr>
          <w:rFonts w:ascii="Segoe UI" w:eastAsia="Segoe UI" w:hAnsi="Segoe UI" w:cs="Segoe UI"/>
          <w:color w:val="666666"/>
          <w:sz w:val="20"/>
          <w:szCs w:val="20"/>
        </w:rPr>
        <w:t>%</w:t>
      </w:r>
      <w:r w:rsidRPr="00243400">
        <w:rPr>
          <w:rFonts w:ascii="Segoe UI" w:eastAsia="Segoe UI" w:hAnsi="Segoe UI" w:cs="Segoe UI"/>
          <w:color w:val="666666"/>
          <w:sz w:val="20"/>
          <w:szCs w:val="20"/>
        </w:rPr>
        <w:t xml:space="preserve"> in constant currency)</w:t>
      </w:r>
    </w:p>
    <w:p w14:paraId="169D7B82" w14:textId="77777777" w:rsidR="00314DAE" w:rsidRPr="00243400" w:rsidRDefault="00314DAE" w:rsidP="00314DAE">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Windows commercial products and cloud services revenue increased </w:t>
      </w:r>
      <w:r w:rsidR="008848B8">
        <w:rPr>
          <w:rFonts w:ascii="Segoe UI" w:eastAsia="Segoe UI" w:hAnsi="Segoe UI" w:cs="Segoe UI"/>
          <w:color w:val="666666"/>
          <w:sz w:val="20"/>
          <w:szCs w:val="20"/>
        </w:rPr>
        <w:t>6</w:t>
      </w:r>
      <w:r w:rsidRPr="00243400">
        <w:rPr>
          <w:rFonts w:ascii="Segoe UI" w:eastAsia="Segoe UI" w:hAnsi="Segoe UI" w:cs="Segoe UI"/>
          <w:color w:val="666666"/>
          <w:sz w:val="20"/>
          <w:szCs w:val="20"/>
        </w:rPr>
        <w:t xml:space="preserve">% (up </w:t>
      </w:r>
      <w:r w:rsidR="008848B8">
        <w:rPr>
          <w:rFonts w:ascii="Segoe UI" w:eastAsia="Segoe UI" w:hAnsi="Segoe UI" w:cs="Segoe UI"/>
          <w:color w:val="666666"/>
          <w:sz w:val="20"/>
          <w:szCs w:val="20"/>
        </w:rPr>
        <w:t>6</w:t>
      </w:r>
      <w:r w:rsidRPr="00243400">
        <w:rPr>
          <w:rFonts w:ascii="Segoe UI" w:eastAsia="Segoe UI" w:hAnsi="Segoe UI" w:cs="Segoe UI"/>
          <w:color w:val="666666"/>
          <w:sz w:val="20"/>
          <w:szCs w:val="20"/>
        </w:rPr>
        <w:t xml:space="preserve">% in constant currency) </w:t>
      </w:r>
    </w:p>
    <w:p w14:paraId="3297DE87" w14:textId="77777777" w:rsidR="00201872" w:rsidRPr="00243400" w:rsidRDefault="00201872" w:rsidP="00DC24DB">
      <w:pPr>
        <w:pStyle w:val="ListParagraph"/>
        <w:numPr>
          <w:ilvl w:val="0"/>
          <w:numId w:val="3"/>
        </w:numPr>
        <w:spacing w:before="240" w:after="240"/>
        <w:rPr>
          <w:rFonts w:ascii="Segoe UI" w:eastAsia="Segoe UI" w:hAnsi="Segoe UI" w:cs="Segoe UI"/>
          <w:color w:val="666666"/>
          <w:sz w:val="20"/>
          <w:szCs w:val="20"/>
        </w:rPr>
      </w:pPr>
      <w:r>
        <w:rPr>
          <w:rFonts w:ascii="Segoe UI" w:eastAsia="Segoe UI" w:hAnsi="Segoe UI" w:cs="Segoe UI"/>
          <w:color w:val="666666"/>
          <w:sz w:val="20"/>
          <w:szCs w:val="20"/>
        </w:rPr>
        <w:t xml:space="preserve">Surface revenue decreased </w:t>
      </w:r>
      <w:r w:rsidRPr="00B729CE">
        <w:rPr>
          <w:rFonts w:ascii="Segoe UI" w:eastAsia="Segoe UI" w:hAnsi="Segoe UI" w:cs="Segoe UI"/>
          <w:color w:val="666666"/>
          <w:sz w:val="20"/>
          <w:szCs w:val="20"/>
        </w:rPr>
        <w:t>26%</w:t>
      </w:r>
      <w:r>
        <w:rPr>
          <w:rFonts w:ascii="Segoe UI" w:eastAsia="Segoe UI" w:hAnsi="Segoe UI" w:cs="Segoe UI"/>
          <w:color w:val="666666"/>
          <w:sz w:val="20"/>
          <w:szCs w:val="20"/>
        </w:rPr>
        <w:t xml:space="preserve"> (down </w:t>
      </w:r>
      <w:r w:rsidRPr="004025B7">
        <w:rPr>
          <w:rFonts w:ascii="Segoe UI" w:eastAsia="Segoe UI" w:hAnsi="Segoe UI" w:cs="Segoe UI"/>
          <w:color w:val="666666"/>
          <w:sz w:val="20"/>
          <w:szCs w:val="20"/>
        </w:rPr>
        <w:t>25%</w:t>
      </w:r>
      <w:r>
        <w:rPr>
          <w:rFonts w:ascii="Segoe UI" w:eastAsia="Segoe UI" w:hAnsi="Segoe UI" w:cs="Segoe UI"/>
          <w:color w:val="666666"/>
          <w:sz w:val="20"/>
          <w:szCs w:val="20"/>
        </w:rPr>
        <w:t xml:space="preserve"> in constant currency) </w:t>
      </w:r>
    </w:p>
    <w:p w14:paraId="0740B2A5" w14:textId="77777777" w:rsidR="00314DAE" w:rsidRPr="00243400" w:rsidRDefault="00314DAE" w:rsidP="00314DAE">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Search advertising revenue excluding traffic acquisition costs </w:t>
      </w:r>
      <w:r w:rsidRPr="00243400">
        <w:rPr>
          <w:rFonts w:ascii="Segoe UI" w:hAnsi="Segoe UI" w:cs="Segoe UI"/>
          <w:color w:val="666666"/>
          <w:sz w:val="20"/>
          <w:szCs w:val="20"/>
        </w:rPr>
        <w:t xml:space="preserve">increased </w:t>
      </w:r>
      <w:r w:rsidR="00654418">
        <w:rPr>
          <w:rFonts w:ascii="Segoe UI" w:eastAsia="Segoe UI" w:hAnsi="Segoe UI" w:cs="Segoe UI"/>
          <w:color w:val="666666"/>
          <w:sz w:val="20"/>
          <w:szCs w:val="20"/>
        </w:rPr>
        <w:t>8</w:t>
      </w:r>
      <w:r w:rsidRPr="00243400">
        <w:rPr>
          <w:rFonts w:ascii="Segoe UI" w:eastAsia="Segoe UI" w:hAnsi="Segoe UI" w:cs="Segoe UI"/>
          <w:color w:val="666666"/>
          <w:sz w:val="20"/>
          <w:szCs w:val="20"/>
        </w:rPr>
        <w:t xml:space="preserve">% (up </w:t>
      </w:r>
      <w:r w:rsidR="00654418">
        <w:rPr>
          <w:rFonts w:ascii="Segoe UI" w:eastAsia="Segoe UI" w:hAnsi="Segoe UI" w:cs="Segoe UI"/>
          <w:color w:val="666666"/>
          <w:sz w:val="20"/>
          <w:szCs w:val="20"/>
        </w:rPr>
        <w:t>9</w:t>
      </w:r>
      <w:r w:rsidRPr="00243400">
        <w:rPr>
          <w:rFonts w:ascii="Segoe UI" w:eastAsia="Segoe UI" w:hAnsi="Segoe UI" w:cs="Segoe UI"/>
          <w:color w:val="666666"/>
          <w:sz w:val="20"/>
          <w:szCs w:val="20"/>
        </w:rPr>
        <w:t xml:space="preserve">% in constant currency) </w:t>
      </w:r>
    </w:p>
    <w:p w14:paraId="58121000" w14:textId="77777777" w:rsidR="00314DAE" w:rsidRDefault="00314DAE" w:rsidP="00314DAE">
      <w:pPr>
        <w:pStyle w:val="ListParagraph"/>
        <w:numPr>
          <w:ilvl w:val="0"/>
          <w:numId w:val="3"/>
        </w:numPr>
        <w:spacing w:before="240" w:after="240"/>
        <w:rPr>
          <w:rFonts w:ascii="Segoe UI" w:eastAsia="Segoe UI" w:hAnsi="Segoe UI" w:cs="Segoe UI"/>
          <w:color w:val="666666"/>
          <w:sz w:val="20"/>
          <w:szCs w:val="20"/>
        </w:rPr>
      </w:pPr>
      <w:r w:rsidRPr="00243400">
        <w:rPr>
          <w:rFonts w:ascii="Segoe UI" w:eastAsia="Segoe UI" w:hAnsi="Segoe UI" w:cs="Segoe UI"/>
          <w:color w:val="666666"/>
          <w:sz w:val="20"/>
          <w:szCs w:val="20"/>
        </w:rPr>
        <w:t xml:space="preserve">Gaming revenue </w:t>
      </w:r>
      <w:r w:rsidR="00046C21">
        <w:rPr>
          <w:rFonts w:ascii="Segoe UI" w:eastAsia="Segoe UI" w:hAnsi="Segoe UI" w:cs="Segoe UI"/>
          <w:color w:val="666666"/>
          <w:sz w:val="20"/>
          <w:szCs w:val="20"/>
        </w:rPr>
        <w:t xml:space="preserve">increased </w:t>
      </w:r>
      <w:r w:rsidR="00654418">
        <w:rPr>
          <w:rFonts w:ascii="Segoe UI" w:eastAsia="Segoe UI" w:hAnsi="Segoe UI" w:cs="Segoe UI"/>
          <w:color w:val="666666"/>
          <w:sz w:val="20"/>
          <w:szCs w:val="20"/>
        </w:rPr>
        <w:t>4</w:t>
      </w:r>
      <w:r w:rsidRPr="00243400">
        <w:rPr>
          <w:rFonts w:ascii="Segoe UI" w:eastAsia="Segoe UI" w:hAnsi="Segoe UI" w:cs="Segoe UI"/>
          <w:color w:val="666666"/>
          <w:sz w:val="20"/>
          <w:szCs w:val="20"/>
        </w:rPr>
        <w:t>% (</w:t>
      </w:r>
      <w:r w:rsidR="00046C21">
        <w:rPr>
          <w:rFonts w:ascii="Segoe UI" w:eastAsia="Segoe UI" w:hAnsi="Segoe UI" w:cs="Segoe UI"/>
          <w:color w:val="666666"/>
          <w:sz w:val="20"/>
          <w:szCs w:val="20"/>
        </w:rPr>
        <w:t xml:space="preserve">up </w:t>
      </w:r>
      <w:r w:rsidR="004025B7" w:rsidRPr="004025B7">
        <w:rPr>
          <w:rFonts w:ascii="Segoe UI" w:eastAsia="Segoe UI" w:hAnsi="Segoe UI" w:cs="Segoe UI"/>
          <w:color w:val="666666"/>
          <w:sz w:val="20"/>
          <w:szCs w:val="20"/>
        </w:rPr>
        <w:t>6</w:t>
      </w:r>
      <w:r w:rsidRPr="004025B7">
        <w:rPr>
          <w:rFonts w:ascii="Segoe UI" w:eastAsia="Segoe UI" w:hAnsi="Segoe UI" w:cs="Segoe UI"/>
          <w:color w:val="666666"/>
          <w:sz w:val="20"/>
          <w:szCs w:val="20"/>
        </w:rPr>
        <w:t>%</w:t>
      </w:r>
      <w:r w:rsidRPr="00243400">
        <w:rPr>
          <w:rFonts w:ascii="Segoe UI" w:eastAsia="Segoe UI" w:hAnsi="Segoe UI" w:cs="Segoe UI"/>
          <w:color w:val="666666"/>
          <w:sz w:val="20"/>
          <w:szCs w:val="20"/>
        </w:rPr>
        <w:t xml:space="preserve"> in constant currency) </w:t>
      </w:r>
    </w:p>
    <w:p w14:paraId="47FCA259" w14:textId="77777777" w:rsidR="00314DAE" w:rsidRPr="00243400" w:rsidRDefault="00314DAE" w:rsidP="00314DAE">
      <w:pPr>
        <w:spacing w:before="240" w:after="240"/>
        <w:rPr>
          <w:rFonts w:ascii="Segoe UI" w:eastAsia="Times New Roman" w:hAnsi="Segoe UI" w:cs="Segoe UI"/>
          <w:b/>
          <w:bCs/>
          <w:color w:val="666666"/>
          <w:sz w:val="20"/>
          <w:szCs w:val="20"/>
        </w:rPr>
      </w:pPr>
      <w:bookmarkStart w:id="2" w:name="_MailEndCompose"/>
      <w:bookmarkEnd w:id="2"/>
      <w:r w:rsidRPr="00243400">
        <w:rPr>
          <w:rFonts w:ascii="Segoe UI" w:eastAsia="Times New Roman" w:hAnsi="Segoe UI" w:cs="Segoe UI"/>
          <w:b/>
          <w:bCs/>
          <w:color w:val="666666"/>
          <w:sz w:val="20"/>
          <w:szCs w:val="20"/>
        </w:rPr>
        <w:t>Business Outlook</w:t>
      </w:r>
    </w:p>
    <w:p w14:paraId="41ECFBB6"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Microsoft will provide forward-looking guidance </w:t>
      </w:r>
      <w:proofErr w:type="gramStart"/>
      <w:r w:rsidRPr="00243400">
        <w:rPr>
          <w:rFonts w:ascii="Segoe UI" w:hAnsi="Segoe UI" w:cs="Segoe UI"/>
          <w:color w:val="666666"/>
          <w:sz w:val="20"/>
          <w:szCs w:val="20"/>
        </w:rPr>
        <w:t>in connection with</w:t>
      </w:r>
      <w:proofErr w:type="gramEnd"/>
      <w:r w:rsidRPr="00243400">
        <w:rPr>
          <w:rFonts w:ascii="Segoe UI" w:hAnsi="Segoe UI" w:cs="Segoe UI"/>
          <w:color w:val="666666"/>
          <w:sz w:val="20"/>
          <w:szCs w:val="20"/>
        </w:rPr>
        <w:t xml:space="preserve"> this quarterly earnings announcement on its earnings conference call and webcast.</w:t>
      </w:r>
    </w:p>
    <w:p w14:paraId="3B81449E" w14:textId="77777777" w:rsidR="00314DAE" w:rsidRPr="00243400" w:rsidRDefault="00314DAE" w:rsidP="00314DAE">
      <w:pPr>
        <w:spacing w:before="240" w:after="240"/>
        <w:rPr>
          <w:rFonts w:ascii="Segoe UI" w:eastAsia="Times New Roman" w:hAnsi="Segoe UI" w:cs="Segoe UI"/>
          <w:b/>
          <w:bCs/>
          <w:color w:val="666666"/>
          <w:sz w:val="20"/>
          <w:szCs w:val="20"/>
        </w:rPr>
      </w:pPr>
      <w:bookmarkStart w:id="3" w:name="RANGE!A1:D14"/>
      <w:bookmarkEnd w:id="3"/>
      <w:r w:rsidRPr="00243400">
        <w:rPr>
          <w:rFonts w:ascii="Segoe UI" w:eastAsia="Times New Roman" w:hAnsi="Segoe UI" w:cs="Segoe UI"/>
          <w:b/>
          <w:bCs/>
          <w:color w:val="666666"/>
          <w:sz w:val="20"/>
          <w:szCs w:val="20"/>
        </w:rPr>
        <w:t>Webcast Details</w:t>
      </w:r>
    </w:p>
    <w:p w14:paraId="69323085"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Satya Nadella, chief executive officer, Amy Hood, executive vice president and chief financial officer, Frank Brod, chief accounting officer, John Seethoff, deputy general counsel and corporate secretary,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7" w:history="1">
        <w:r w:rsidRPr="00243400">
          <w:rPr>
            <w:rStyle w:val="Hyperlink"/>
            <w:color w:val="666666"/>
          </w:rPr>
          <w:t>http://www.microsoft.com/en-us/investor</w:t>
        </w:r>
      </w:hyperlink>
      <w:r w:rsidRPr="00243400">
        <w:rPr>
          <w:rFonts w:ascii="Segoe UI" w:hAnsi="Segoe UI" w:cs="Segoe UI"/>
          <w:color w:val="666666"/>
          <w:sz w:val="20"/>
          <w:szCs w:val="20"/>
        </w:rPr>
        <w:t>. The webcast will be available for replay t</w:t>
      </w:r>
      <w:r w:rsidR="003E07C1">
        <w:rPr>
          <w:rFonts w:ascii="Segoe UI" w:hAnsi="Segoe UI" w:cs="Segoe UI"/>
          <w:color w:val="666666"/>
          <w:sz w:val="20"/>
          <w:szCs w:val="20"/>
        </w:rPr>
        <w:t xml:space="preserve">hrough the close of business on April </w:t>
      </w:r>
      <w:r w:rsidRPr="00243400">
        <w:rPr>
          <w:rFonts w:ascii="Segoe UI" w:hAnsi="Segoe UI" w:cs="Segoe UI"/>
          <w:color w:val="666666"/>
          <w:sz w:val="20"/>
          <w:szCs w:val="20"/>
        </w:rPr>
        <w:t>2</w:t>
      </w:r>
      <w:r w:rsidR="003E07C1">
        <w:rPr>
          <w:rFonts w:ascii="Segoe UI" w:hAnsi="Segoe UI" w:cs="Segoe UI"/>
          <w:color w:val="666666"/>
          <w:sz w:val="20"/>
          <w:szCs w:val="20"/>
        </w:rPr>
        <w:t>7</w:t>
      </w:r>
      <w:r w:rsidRPr="00243400">
        <w:rPr>
          <w:rFonts w:ascii="Segoe UI" w:hAnsi="Segoe UI" w:cs="Segoe UI"/>
          <w:color w:val="666666"/>
          <w:sz w:val="20"/>
          <w:szCs w:val="20"/>
        </w:rPr>
        <w:t>, 2018.</w:t>
      </w:r>
    </w:p>
    <w:p w14:paraId="457C5753" w14:textId="77777777" w:rsidR="00314DAE" w:rsidRPr="00243400" w:rsidRDefault="00314DAE" w:rsidP="00314DAE">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“As Adjusted” Financial Results and non-GAAP Measures </w:t>
      </w:r>
    </w:p>
    <w:p w14:paraId="4E2EF267"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During the </w:t>
      </w:r>
      <w:r w:rsidR="003E07C1">
        <w:rPr>
          <w:rFonts w:ascii="Segoe UI" w:hAnsi="Segoe UI" w:cs="Segoe UI"/>
          <w:color w:val="666666"/>
          <w:sz w:val="20"/>
          <w:szCs w:val="20"/>
        </w:rPr>
        <w:t xml:space="preserve">third </w:t>
      </w:r>
      <w:r w:rsidRPr="00243400">
        <w:rPr>
          <w:rFonts w:ascii="Segoe UI" w:hAnsi="Segoe UI" w:cs="Segoe UI"/>
          <w:color w:val="666666"/>
          <w:sz w:val="20"/>
          <w:szCs w:val="20"/>
        </w:rPr>
        <w:t xml:space="preserve">quarter of fiscal years 2017 and 2016, GAAP revenue, operating income, net income, and diluted earnings per share include the net impact from Windows 10 revenue deferrals. </w:t>
      </w:r>
      <w:r w:rsidR="003E07C1">
        <w:rPr>
          <w:rFonts w:ascii="Segoe UI" w:hAnsi="Segoe UI" w:cs="Segoe UI"/>
          <w:color w:val="666666"/>
          <w:sz w:val="20"/>
          <w:szCs w:val="20"/>
        </w:rPr>
        <w:t xml:space="preserve">This item is </w:t>
      </w:r>
      <w:r w:rsidRPr="00243400">
        <w:rPr>
          <w:rFonts w:ascii="Segoe UI" w:hAnsi="Segoe UI" w:cs="Segoe UI"/>
          <w:color w:val="666666"/>
          <w:sz w:val="20"/>
          <w:szCs w:val="20"/>
        </w:rPr>
        <w:t xml:space="preserve">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t>
      </w:r>
    </w:p>
    <w:p w14:paraId="7A163ECB"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i/>
          <w:color w:val="666666"/>
          <w:sz w:val="20"/>
          <w:szCs w:val="20"/>
        </w:rPr>
        <w:t>Net Impact from Windows 10 Revenue Deferrals.</w:t>
      </w:r>
      <w:r w:rsidRPr="00243400">
        <w:rPr>
          <w:rFonts w:ascii="Segoe UI" w:hAnsi="Segoe UI" w:cs="Segoe UI"/>
          <w:color w:val="666666"/>
          <w:sz w:val="20"/>
          <w:szCs w:val="20"/>
        </w:rPr>
        <w:t xml:space="preserve"> With respect to our non-GAAP measures related to Windows 10 revenue, we believe these measures bridge investor information and minimize potential confusion during the brief period between the time Windows 10 revenue recognition moved from upfront to ratable, and the adoption of the new revenue standard, when Windows 10 will again be recognized predominantly upfront. The net change in Windows 10 revenue from period to period is indicative of the net change in revenue we expect from adoption of the new revenue standard. </w:t>
      </w:r>
    </w:p>
    <w:p w14:paraId="4273E8BB" w14:textId="77777777" w:rsidR="00314DAE" w:rsidRPr="00243400" w:rsidRDefault="00314DAE" w:rsidP="00FB6AEC">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Non-GAAP Definitions</w:t>
      </w:r>
    </w:p>
    <w:p w14:paraId="73B438DA"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i/>
          <w:color w:val="666666"/>
          <w:sz w:val="20"/>
          <w:szCs w:val="20"/>
        </w:rPr>
        <w:t>Net Impact from Windows 10 Revenue Deferrals.</w:t>
      </w:r>
      <w:r w:rsidRPr="00243400">
        <w:rPr>
          <w:rFonts w:ascii="Segoe UI" w:hAnsi="Segoe UI" w:cs="Segoe UI"/>
          <w:color w:val="666666"/>
          <w:sz w:val="20"/>
          <w:szCs w:val="20"/>
        </w:rPr>
        <w:t xml:space="preserve"> Microsoft recorded net revenue deferrals of $</w:t>
      </w:r>
      <w:r w:rsidR="006B7087">
        <w:rPr>
          <w:rFonts w:ascii="Segoe UI" w:hAnsi="Segoe UI" w:cs="Segoe UI"/>
          <w:color w:val="666666"/>
          <w:sz w:val="20"/>
          <w:szCs w:val="20"/>
        </w:rPr>
        <w:t>1.5</w:t>
      </w:r>
      <w:r w:rsidRPr="00243400">
        <w:rPr>
          <w:rFonts w:ascii="Segoe UI" w:hAnsi="Segoe UI" w:cs="Segoe UI"/>
          <w:color w:val="666666"/>
          <w:sz w:val="20"/>
          <w:szCs w:val="20"/>
        </w:rPr>
        <w:t xml:space="preserve"> billion during the </w:t>
      </w:r>
      <w:r w:rsidR="003E07C1">
        <w:rPr>
          <w:rFonts w:ascii="Segoe UI" w:hAnsi="Segoe UI" w:cs="Segoe UI"/>
          <w:color w:val="666666"/>
          <w:sz w:val="20"/>
          <w:szCs w:val="20"/>
        </w:rPr>
        <w:t xml:space="preserve">third </w:t>
      </w:r>
      <w:r w:rsidRPr="00243400">
        <w:rPr>
          <w:rFonts w:ascii="Segoe UI" w:hAnsi="Segoe UI" w:cs="Segoe UI"/>
          <w:color w:val="666666"/>
          <w:sz w:val="20"/>
          <w:szCs w:val="20"/>
        </w:rPr>
        <w:t>quarter of fiscal year 2017 and net revenue deferrals of $</w:t>
      </w:r>
      <w:r w:rsidR="003E07C1">
        <w:rPr>
          <w:rFonts w:ascii="Segoe UI" w:hAnsi="Segoe UI" w:cs="Segoe UI"/>
          <w:color w:val="666666"/>
          <w:sz w:val="20"/>
          <w:szCs w:val="20"/>
        </w:rPr>
        <w:t>1.6</w:t>
      </w:r>
      <w:r w:rsidRPr="00243400">
        <w:rPr>
          <w:rFonts w:ascii="Segoe UI" w:hAnsi="Segoe UI" w:cs="Segoe UI"/>
          <w:color w:val="666666"/>
          <w:sz w:val="20"/>
          <w:szCs w:val="20"/>
        </w:rPr>
        <w:t xml:space="preserve"> billion during the </w:t>
      </w:r>
      <w:r w:rsidR="003E07C1">
        <w:rPr>
          <w:rFonts w:ascii="Segoe UI" w:hAnsi="Segoe UI" w:cs="Segoe UI"/>
          <w:color w:val="666666"/>
          <w:sz w:val="20"/>
          <w:szCs w:val="20"/>
        </w:rPr>
        <w:t xml:space="preserve">third </w:t>
      </w:r>
      <w:r w:rsidRPr="00243400">
        <w:rPr>
          <w:rFonts w:ascii="Segoe UI" w:hAnsi="Segoe UI" w:cs="Segoe UI"/>
          <w:color w:val="666666"/>
          <w:sz w:val="20"/>
          <w:szCs w:val="20"/>
        </w:rPr>
        <w:t>quarter of fiscal year 2016, related to Windows 10.</w:t>
      </w:r>
    </w:p>
    <w:p w14:paraId="63F60B1D" w14:textId="77777777"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With the launch of Windows 10 in July 2015, Windows 10 customers 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 i.e., upfront. </w:t>
      </w:r>
    </w:p>
    <w:p w14:paraId="7115448E" w14:textId="6F5548F9" w:rsidR="00314DAE" w:rsidRPr="00243400" w:rsidRDefault="00314DAE" w:rsidP="00314DAE">
      <w:pPr>
        <w:spacing w:before="240" w:after="240"/>
        <w:rPr>
          <w:rFonts w:ascii="Segoe UI" w:hAnsi="Segoe UI" w:cs="Segoe UI"/>
          <w:color w:val="666666"/>
          <w:sz w:val="20"/>
          <w:szCs w:val="20"/>
        </w:rPr>
      </w:pPr>
      <w:r w:rsidRPr="00243400">
        <w:rPr>
          <w:rFonts w:ascii="Segoe UI" w:hAnsi="Segoe UI" w:cs="Segoe UI"/>
          <w:color w:val="666666"/>
          <w:sz w:val="20"/>
          <w:szCs w:val="20"/>
        </w:rPr>
        <w:t xml:space="preserve">When Microsoft adopts the new revenue standard, predominantly all Windows OEM revenue will be recognized at the time of billing, which is </w:t>
      </w:r>
      <w:proofErr w:type="gramStart"/>
      <w:r w:rsidRPr="00243400">
        <w:rPr>
          <w:rFonts w:ascii="Segoe UI" w:hAnsi="Segoe UI" w:cs="Segoe UI"/>
          <w:color w:val="666666"/>
          <w:sz w:val="20"/>
          <w:szCs w:val="20"/>
        </w:rPr>
        <w:t>similar to</w:t>
      </w:r>
      <w:proofErr w:type="gramEnd"/>
      <w:r w:rsidRPr="00243400">
        <w:rPr>
          <w:rFonts w:ascii="Segoe UI" w:hAnsi="Segoe UI" w:cs="Segoe UI"/>
          <w:color w:val="666666"/>
          <w:sz w:val="20"/>
          <w:szCs w:val="20"/>
        </w:rPr>
        <w:t xml:space="preserve"> the revenue recognition for prior versions of Windows. Additional information regarding the new revenue standard is provided in the “Recent Accounting Guidance Not Yet Adopted” section of Microsoft’s Form 10-Q for the quarter ended </w:t>
      </w:r>
      <w:r w:rsidR="003E07C1">
        <w:rPr>
          <w:rFonts w:ascii="Segoe UI" w:hAnsi="Segoe UI" w:cs="Segoe UI"/>
          <w:color w:val="666666"/>
          <w:sz w:val="20"/>
          <w:szCs w:val="20"/>
        </w:rPr>
        <w:t>March 31, 2017</w:t>
      </w:r>
      <w:r w:rsidRPr="00243400">
        <w:rPr>
          <w:rFonts w:ascii="Segoe UI" w:hAnsi="Segoe UI" w:cs="Segoe UI"/>
          <w:color w:val="666666"/>
          <w:sz w:val="20"/>
          <w:szCs w:val="20"/>
        </w:rPr>
        <w:t xml:space="preserve"> (Notes to Financial Statements). Microsoft reflects the recognition of Windows 10 revenue at the time of billing in “As Adjusted (non-GAAP)” revenue to provide comparability during the short period where Windows 10 will be recognized over the estimated life of a device, i.e., </w:t>
      </w:r>
      <w:r w:rsidR="0048450B">
        <w:rPr>
          <w:rFonts w:ascii="Segoe UI" w:hAnsi="Segoe UI" w:cs="Segoe UI"/>
          <w:color w:val="666666"/>
          <w:sz w:val="20"/>
          <w:szCs w:val="20"/>
        </w:rPr>
        <w:t>ratably</w:t>
      </w:r>
      <w:r w:rsidRPr="00243400">
        <w:rPr>
          <w:rFonts w:ascii="Segoe UI" w:hAnsi="Segoe UI" w:cs="Segoe UI"/>
          <w:color w:val="666666"/>
          <w:sz w:val="20"/>
          <w:szCs w:val="20"/>
        </w:rPr>
        <w:t>, rather than at the time of billing.</w:t>
      </w:r>
    </w:p>
    <w:p w14:paraId="57F3E070" w14:textId="77777777" w:rsidR="00314DAE" w:rsidRPr="00243400" w:rsidRDefault="00314DAE" w:rsidP="00314DAE">
      <w:pPr>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Constant Currency</w:t>
      </w:r>
    </w:p>
    <w:p w14:paraId="41F61569" w14:textId="77777777" w:rsidR="00314DAE" w:rsidRPr="00243400" w:rsidRDefault="00314DAE" w:rsidP="001C4CD8">
      <w:pPr>
        <w:spacing w:before="240" w:after="240"/>
        <w:rPr>
          <w:rFonts w:ascii="Segoe UI" w:eastAsia="Times New Roman" w:hAnsi="Segoe UI" w:cs="Segoe UI"/>
          <w:b/>
          <w:bCs/>
          <w:color w:val="666666"/>
          <w:sz w:val="20"/>
          <w:szCs w:val="20"/>
        </w:rPr>
      </w:pPr>
      <w:r w:rsidRPr="00243400">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r w:rsidRPr="00243400">
        <w:rPr>
          <w:rFonts w:ascii="Segoe UI" w:eastAsia="Times New Roman" w:hAnsi="Segoe UI" w:cs="Segoe UI"/>
          <w:b/>
          <w:bCs/>
          <w:color w:val="666666"/>
          <w:sz w:val="20"/>
          <w:szCs w:val="20"/>
        </w:rPr>
        <w:br w:type="page"/>
      </w:r>
    </w:p>
    <w:p w14:paraId="18A02621" w14:textId="77777777" w:rsidR="00314DAE" w:rsidRPr="00243400" w:rsidRDefault="00314DAE" w:rsidP="00314DAE">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1008"/>
        <w:gridCol w:w="1008"/>
      </w:tblGrid>
      <w:tr w:rsidR="00314DAE" w:rsidRPr="00243400" w14:paraId="37E4B0E7" w14:textId="77777777" w:rsidTr="00D51EA0">
        <w:trPr>
          <w:trHeight w:val="340"/>
        </w:trPr>
        <w:tc>
          <w:tcPr>
            <w:tcW w:w="5474" w:type="dxa"/>
            <w:tcBorders>
              <w:top w:val="nil"/>
              <w:left w:val="nil"/>
              <w:bottom w:val="single" w:sz="8" w:space="0" w:color="auto"/>
              <w:right w:val="nil"/>
            </w:tcBorders>
          </w:tcPr>
          <w:p w14:paraId="52E37051" w14:textId="77777777" w:rsidR="00314DAE" w:rsidRPr="00243400" w:rsidRDefault="00314DAE" w:rsidP="00D51EA0">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7A58B355"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F441A5">
              <w:rPr>
                <w:rFonts w:ascii="Segoe UI" w:eastAsia="Times New Roman" w:hAnsi="Segoe UI" w:cs="Segoe UI"/>
                <w:b/>
                <w:bCs/>
                <w:color w:val="666666"/>
                <w:sz w:val="16"/>
                <w:szCs w:val="16"/>
              </w:rPr>
              <w:t xml:space="preserve">March </w:t>
            </w:r>
            <w:r w:rsidRPr="00243400">
              <w:rPr>
                <w:rFonts w:ascii="Segoe UI" w:eastAsia="Times New Roman" w:hAnsi="Segoe UI" w:cs="Segoe UI"/>
                <w:b/>
                <w:bCs/>
                <w:color w:val="666666"/>
                <w:sz w:val="16"/>
                <w:szCs w:val="16"/>
              </w:rPr>
              <w:t>31,</w:t>
            </w:r>
          </w:p>
        </w:tc>
      </w:tr>
      <w:tr w:rsidR="00314DAE" w:rsidRPr="00243400" w14:paraId="4F0A59A9" w14:textId="77777777" w:rsidTr="00D51EA0">
        <w:trPr>
          <w:trHeight w:val="365"/>
        </w:trPr>
        <w:tc>
          <w:tcPr>
            <w:tcW w:w="5474" w:type="dxa"/>
            <w:tcBorders>
              <w:top w:val="single" w:sz="8" w:space="0" w:color="666666"/>
              <w:left w:val="nil"/>
              <w:bottom w:val="single" w:sz="8" w:space="0" w:color="666666"/>
              <w:right w:val="nil"/>
            </w:tcBorders>
            <w:vAlign w:val="bottom"/>
            <w:hideMark/>
          </w:tcPr>
          <w:p w14:paraId="5B634C7B" w14:textId="77777777" w:rsidR="00314DAE" w:rsidRPr="00243400" w:rsidRDefault="00314DAE" w:rsidP="00D51EA0">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0B79FE3A"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21AADFE"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Operating Income </w:t>
            </w:r>
          </w:p>
        </w:tc>
        <w:tc>
          <w:tcPr>
            <w:tcW w:w="1008" w:type="dxa"/>
            <w:tcBorders>
              <w:top w:val="single" w:sz="8" w:space="0" w:color="666666"/>
              <w:left w:val="nil"/>
              <w:bottom w:val="single" w:sz="8" w:space="0" w:color="666666"/>
              <w:right w:val="nil"/>
            </w:tcBorders>
            <w:vAlign w:val="bottom"/>
          </w:tcPr>
          <w:p w14:paraId="3491C895"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Net Income </w:t>
            </w:r>
          </w:p>
        </w:tc>
        <w:tc>
          <w:tcPr>
            <w:tcW w:w="1008" w:type="dxa"/>
            <w:tcBorders>
              <w:top w:val="single" w:sz="8" w:space="0" w:color="666666"/>
              <w:left w:val="nil"/>
              <w:bottom w:val="single" w:sz="8" w:space="0" w:color="666666"/>
              <w:right w:val="nil"/>
            </w:tcBorders>
            <w:vAlign w:val="bottom"/>
          </w:tcPr>
          <w:p w14:paraId="57C8D7C4"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Diluted Earnings per Share</w:t>
            </w:r>
          </w:p>
        </w:tc>
      </w:tr>
      <w:tr w:rsidR="00D6132D" w:rsidRPr="00243400" w14:paraId="44E978E7" w14:textId="77777777" w:rsidTr="00D51EA0">
        <w:trPr>
          <w:trHeight w:val="288"/>
        </w:trPr>
        <w:tc>
          <w:tcPr>
            <w:tcW w:w="5474" w:type="dxa"/>
            <w:tcBorders>
              <w:top w:val="single" w:sz="8" w:space="0" w:color="666666"/>
              <w:left w:val="nil"/>
              <w:bottom w:val="single" w:sz="4" w:space="0" w:color="auto"/>
              <w:right w:val="nil"/>
            </w:tcBorders>
            <w:noWrap/>
            <w:vAlign w:val="center"/>
          </w:tcPr>
          <w:p w14:paraId="5B1E91F8" w14:textId="77777777" w:rsidR="00D6132D" w:rsidRPr="00243400" w:rsidRDefault="00D6132D" w:rsidP="00D6132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Pr="00243400">
              <w:rPr>
                <w:rFonts w:ascii="Segoe UI" w:eastAsia="Times New Roman" w:hAnsi="Segoe UI" w:cs="Segoe UI"/>
                <w:b/>
                <w:bCs/>
                <w:color w:val="666666"/>
                <w:sz w:val="16"/>
                <w:szCs w:val="16"/>
              </w:rPr>
              <w:t xml:space="preserve"> As Reported (GAAP)</w:t>
            </w:r>
          </w:p>
        </w:tc>
        <w:tc>
          <w:tcPr>
            <w:tcW w:w="1008" w:type="dxa"/>
            <w:tcBorders>
              <w:top w:val="single" w:sz="8" w:space="0" w:color="666666"/>
              <w:left w:val="nil"/>
              <w:bottom w:val="single" w:sz="4" w:space="0" w:color="auto"/>
              <w:right w:val="nil"/>
            </w:tcBorders>
            <w:vAlign w:val="center"/>
          </w:tcPr>
          <w:p w14:paraId="3ED2AE50" w14:textId="77777777" w:rsidR="00D6132D" w:rsidRPr="00243400" w:rsidRDefault="00D6132D" w:rsidP="00D6132D">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20,531</w:t>
            </w:r>
          </w:p>
        </w:tc>
        <w:tc>
          <w:tcPr>
            <w:tcW w:w="1008" w:type="dxa"/>
            <w:tcBorders>
              <w:top w:val="single" w:sz="8" w:space="0" w:color="666666"/>
              <w:left w:val="nil"/>
              <w:bottom w:val="single" w:sz="4" w:space="0" w:color="auto"/>
              <w:right w:val="nil"/>
            </w:tcBorders>
            <w:vAlign w:val="center"/>
          </w:tcPr>
          <w:p w14:paraId="3375F706"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5,283</w:t>
            </w:r>
          </w:p>
        </w:tc>
        <w:tc>
          <w:tcPr>
            <w:tcW w:w="1008" w:type="dxa"/>
            <w:tcBorders>
              <w:top w:val="single" w:sz="8" w:space="0" w:color="666666"/>
              <w:left w:val="nil"/>
              <w:bottom w:val="single" w:sz="4" w:space="0" w:color="auto"/>
              <w:right w:val="nil"/>
            </w:tcBorders>
            <w:vAlign w:val="center"/>
          </w:tcPr>
          <w:p w14:paraId="4F92715A"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3,756</w:t>
            </w:r>
          </w:p>
        </w:tc>
        <w:tc>
          <w:tcPr>
            <w:tcW w:w="1008" w:type="dxa"/>
            <w:tcBorders>
              <w:top w:val="single" w:sz="8" w:space="0" w:color="666666"/>
              <w:left w:val="nil"/>
              <w:bottom w:val="single" w:sz="4" w:space="0" w:color="auto"/>
              <w:right w:val="nil"/>
            </w:tcBorders>
            <w:vAlign w:val="center"/>
          </w:tcPr>
          <w:p w14:paraId="4013712C"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0.47</w:t>
            </w:r>
          </w:p>
        </w:tc>
      </w:tr>
      <w:tr w:rsidR="00D6132D" w:rsidRPr="00243400" w14:paraId="29E39A1D" w14:textId="77777777" w:rsidTr="00D51EA0">
        <w:trPr>
          <w:trHeight w:val="288"/>
        </w:trPr>
        <w:tc>
          <w:tcPr>
            <w:tcW w:w="5474" w:type="dxa"/>
            <w:tcBorders>
              <w:top w:val="single" w:sz="4" w:space="0" w:color="auto"/>
              <w:left w:val="nil"/>
              <w:bottom w:val="single" w:sz="4" w:space="0" w:color="auto"/>
              <w:right w:val="nil"/>
            </w:tcBorders>
            <w:noWrap/>
            <w:vAlign w:val="center"/>
          </w:tcPr>
          <w:p w14:paraId="4BD0208A" w14:textId="77777777" w:rsidR="00D6132D" w:rsidRPr="00243400" w:rsidRDefault="00D6132D" w:rsidP="00D6132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Pr="00243400">
              <w:rPr>
                <w:rFonts w:ascii="Segoe UI" w:eastAsia="Times New Roman" w:hAnsi="Segoe UI" w:cs="Segoe UI"/>
                <w:b/>
                <w:bCs/>
                <w:color w:val="666666"/>
                <w:sz w:val="16"/>
                <w:szCs w:val="16"/>
              </w:rPr>
              <w:t xml:space="preserve"> As Adjusted (non-GAAP)</w:t>
            </w:r>
          </w:p>
        </w:tc>
        <w:tc>
          <w:tcPr>
            <w:tcW w:w="1008" w:type="dxa"/>
            <w:tcBorders>
              <w:top w:val="single" w:sz="4" w:space="0" w:color="auto"/>
              <w:left w:val="nil"/>
              <w:bottom w:val="single" w:sz="4" w:space="0" w:color="auto"/>
              <w:right w:val="nil"/>
            </w:tcBorders>
            <w:vAlign w:val="center"/>
          </w:tcPr>
          <w:p w14:paraId="0A7D3A2F"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22,156</w:t>
            </w:r>
          </w:p>
        </w:tc>
        <w:tc>
          <w:tcPr>
            <w:tcW w:w="1008" w:type="dxa"/>
            <w:tcBorders>
              <w:top w:val="single" w:sz="4" w:space="0" w:color="auto"/>
              <w:left w:val="nil"/>
              <w:bottom w:val="single" w:sz="4" w:space="0" w:color="auto"/>
              <w:right w:val="nil"/>
            </w:tcBorders>
            <w:vAlign w:val="center"/>
          </w:tcPr>
          <w:p w14:paraId="012DCDB5"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6,908</w:t>
            </w:r>
          </w:p>
        </w:tc>
        <w:tc>
          <w:tcPr>
            <w:tcW w:w="1008" w:type="dxa"/>
            <w:tcBorders>
              <w:top w:val="single" w:sz="4" w:space="0" w:color="auto"/>
              <w:left w:val="nil"/>
              <w:bottom w:val="single" w:sz="4" w:space="0" w:color="auto"/>
              <w:right w:val="nil"/>
            </w:tcBorders>
            <w:vAlign w:val="center"/>
          </w:tcPr>
          <w:p w14:paraId="553947CF"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5,038</w:t>
            </w:r>
          </w:p>
        </w:tc>
        <w:tc>
          <w:tcPr>
            <w:tcW w:w="1008" w:type="dxa"/>
            <w:tcBorders>
              <w:top w:val="single" w:sz="4" w:space="0" w:color="auto"/>
              <w:left w:val="nil"/>
              <w:bottom w:val="single" w:sz="4" w:space="0" w:color="auto"/>
              <w:right w:val="nil"/>
            </w:tcBorders>
            <w:vAlign w:val="center"/>
          </w:tcPr>
          <w:p w14:paraId="1184ACBD"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0.63</w:t>
            </w:r>
          </w:p>
        </w:tc>
      </w:tr>
      <w:tr w:rsidR="00D6132D" w:rsidRPr="00243400" w14:paraId="76E93EF5" w14:textId="77777777" w:rsidTr="00D51EA0">
        <w:trPr>
          <w:trHeight w:val="288"/>
        </w:trPr>
        <w:tc>
          <w:tcPr>
            <w:tcW w:w="5474" w:type="dxa"/>
            <w:tcBorders>
              <w:top w:val="single" w:sz="4" w:space="0" w:color="auto"/>
              <w:left w:val="nil"/>
              <w:bottom w:val="single" w:sz="4" w:space="0" w:color="auto"/>
              <w:right w:val="nil"/>
            </w:tcBorders>
            <w:noWrap/>
            <w:vAlign w:val="center"/>
          </w:tcPr>
          <w:p w14:paraId="1B9C2101" w14:textId="77777777" w:rsidR="00D6132D" w:rsidRPr="00243400" w:rsidRDefault="00D6132D" w:rsidP="00D6132D">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w:t>
            </w:r>
            <w:r w:rsidRPr="00243400">
              <w:rPr>
                <w:rFonts w:ascii="Segoe UI" w:eastAsia="Times New Roman" w:hAnsi="Segoe UI" w:cs="Segoe UI"/>
                <w:b/>
                <w:bCs/>
                <w:color w:val="666666"/>
                <w:sz w:val="16"/>
                <w:szCs w:val="16"/>
              </w:rPr>
              <w:t xml:space="preserve"> As Reported (GAAP)</w:t>
            </w:r>
          </w:p>
        </w:tc>
        <w:tc>
          <w:tcPr>
            <w:tcW w:w="1008" w:type="dxa"/>
            <w:tcBorders>
              <w:top w:val="single" w:sz="4" w:space="0" w:color="auto"/>
              <w:left w:val="nil"/>
              <w:bottom w:val="single" w:sz="4" w:space="0" w:color="auto"/>
              <w:right w:val="nil"/>
            </w:tcBorders>
            <w:vAlign w:val="center"/>
          </w:tcPr>
          <w:p w14:paraId="4FAAEE5E"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22,090</w:t>
            </w:r>
          </w:p>
        </w:tc>
        <w:tc>
          <w:tcPr>
            <w:tcW w:w="1008" w:type="dxa"/>
            <w:tcBorders>
              <w:top w:val="single" w:sz="4" w:space="0" w:color="auto"/>
              <w:left w:val="nil"/>
              <w:bottom w:val="single" w:sz="4" w:space="0" w:color="auto"/>
              <w:right w:val="nil"/>
            </w:tcBorders>
            <w:vAlign w:val="center"/>
          </w:tcPr>
          <w:p w14:paraId="6B875F2B"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5,594</w:t>
            </w:r>
          </w:p>
        </w:tc>
        <w:tc>
          <w:tcPr>
            <w:tcW w:w="1008" w:type="dxa"/>
            <w:tcBorders>
              <w:top w:val="single" w:sz="4" w:space="0" w:color="auto"/>
              <w:left w:val="nil"/>
              <w:bottom w:val="single" w:sz="4" w:space="0" w:color="auto"/>
              <w:right w:val="nil"/>
            </w:tcBorders>
            <w:vAlign w:val="center"/>
          </w:tcPr>
          <w:p w14:paraId="435AD85A"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4,801</w:t>
            </w:r>
          </w:p>
        </w:tc>
        <w:tc>
          <w:tcPr>
            <w:tcW w:w="1008" w:type="dxa"/>
            <w:tcBorders>
              <w:top w:val="single" w:sz="4" w:space="0" w:color="auto"/>
              <w:left w:val="nil"/>
              <w:bottom w:val="single" w:sz="4" w:space="0" w:color="auto"/>
              <w:right w:val="nil"/>
            </w:tcBorders>
            <w:vAlign w:val="center"/>
          </w:tcPr>
          <w:p w14:paraId="0F2AC58C" w14:textId="77777777" w:rsidR="00D6132D" w:rsidRPr="00243400" w:rsidRDefault="00D6132D" w:rsidP="00D6132D">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0.61</w:t>
            </w:r>
          </w:p>
        </w:tc>
      </w:tr>
      <w:tr w:rsidR="00652DD4" w:rsidRPr="00243400" w14:paraId="5E437E72" w14:textId="77777777" w:rsidTr="00D51EA0">
        <w:trPr>
          <w:trHeight w:val="288"/>
        </w:trPr>
        <w:tc>
          <w:tcPr>
            <w:tcW w:w="5474" w:type="dxa"/>
            <w:tcBorders>
              <w:top w:val="single" w:sz="4" w:space="0" w:color="auto"/>
              <w:left w:val="nil"/>
              <w:bottom w:val="single" w:sz="4" w:space="0" w:color="666666"/>
              <w:right w:val="nil"/>
            </w:tcBorders>
            <w:noWrap/>
            <w:vAlign w:val="center"/>
          </w:tcPr>
          <w:p w14:paraId="6D21388F" w14:textId="77777777" w:rsidR="00652DD4" w:rsidRPr="00243400" w:rsidRDefault="00652DD4" w:rsidP="00652DD4">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w:t>
            </w:r>
            <w:r w:rsidRPr="00243400">
              <w:rPr>
                <w:rFonts w:ascii="Segoe UI" w:eastAsia="Times New Roman" w:hAnsi="Segoe UI" w:cs="Segoe UI"/>
                <w:b/>
                <w:bCs/>
                <w:color w:val="666666"/>
                <w:sz w:val="16"/>
                <w:szCs w:val="16"/>
              </w:rPr>
              <w:t xml:space="preserve"> As Adjusted (non-GAAP)</w:t>
            </w:r>
          </w:p>
        </w:tc>
        <w:tc>
          <w:tcPr>
            <w:tcW w:w="1008" w:type="dxa"/>
            <w:tcBorders>
              <w:top w:val="single" w:sz="4" w:space="0" w:color="auto"/>
              <w:left w:val="nil"/>
              <w:bottom w:val="single" w:sz="4" w:space="0" w:color="666666"/>
              <w:right w:val="nil"/>
            </w:tcBorders>
            <w:vAlign w:val="center"/>
          </w:tcPr>
          <w:p w14:paraId="2E83B405" w14:textId="77777777" w:rsidR="00652DD4" w:rsidRPr="00243400" w:rsidRDefault="00652DD4" w:rsidP="00652DD4">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23,55</w:t>
            </w:r>
            <w:r w:rsidRPr="00C613B0">
              <w:rPr>
                <w:rFonts w:ascii="Segoe UI" w:eastAsia="Times New Roman" w:hAnsi="Segoe UI" w:cs="Segoe UI"/>
                <w:b/>
                <w:bCs/>
                <w:color w:val="666666"/>
                <w:sz w:val="16"/>
                <w:szCs w:val="16"/>
              </w:rPr>
              <w:t>7</w:t>
            </w:r>
          </w:p>
        </w:tc>
        <w:tc>
          <w:tcPr>
            <w:tcW w:w="1008" w:type="dxa"/>
            <w:tcBorders>
              <w:top w:val="single" w:sz="4" w:space="0" w:color="auto"/>
              <w:left w:val="nil"/>
              <w:bottom w:val="single" w:sz="4" w:space="0" w:color="666666"/>
              <w:right w:val="nil"/>
            </w:tcBorders>
            <w:vAlign w:val="center"/>
          </w:tcPr>
          <w:p w14:paraId="0D9DF737" w14:textId="77777777" w:rsidR="00652DD4" w:rsidRPr="00243400" w:rsidRDefault="00652DD4" w:rsidP="00652DD4">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7,06</w:t>
            </w:r>
            <w:r w:rsidRPr="00C613B0">
              <w:rPr>
                <w:rFonts w:ascii="Segoe UI" w:eastAsia="Times New Roman" w:hAnsi="Segoe UI" w:cs="Segoe UI"/>
                <w:b/>
                <w:bCs/>
                <w:color w:val="666666"/>
                <w:sz w:val="16"/>
                <w:szCs w:val="16"/>
              </w:rPr>
              <w:t>1</w:t>
            </w:r>
          </w:p>
        </w:tc>
        <w:tc>
          <w:tcPr>
            <w:tcW w:w="1008" w:type="dxa"/>
            <w:tcBorders>
              <w:top w:val="single" w:sz="4" w:space="0" w:color="auto"/>
              <w:left w:val="nil"/>
              <w:bottom w:val="single" w:sz="4" w:space="0" w:color="666666"/>
              <w:right w:val="nil"/>
            </w:tcBorders>
            <w:vAlign w:val="center"/>
          </w:tcPr>
          <w:p w14:paraId="0021B2D4" w14:textId="77777777" w:rsidR="00652DD4" w:rsidRPr="00243400" w:rsidRDefault="00652DD4" w:rsidP="00652DD4">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5,71</w:t>
            </w:r>
            <w:r w:rsidRPr="00C613B0">
              <w:rPr>
                <w:rFonts w:ascii="Segoe UI" w:eastAsia="Times New Roman" w:hAnsi="Segoe UI" w:cs="Segoe UI"/>
                <w:b/>
                <w:bCs/>
                <w:color w:val="666666"/>
                <w:sz w:val="16"/>
                <w:szCs w:val="16"/>
              </w:rPr>
              <w:t>5</w:t>
            </w:r>
          </w:p>
        </w:tc>
        <w:tc>
          <w:tcPr>
            <w:tcW w:w="1008" w:type="dxa"/>
            <w:tcBorders>
              <w:top w:val="single" w:sz="4" w:space="0" w:color="auto"/>
              <w:left w:val="nil"/>
              <w:bottom w:val="single" w:sz="4" w:space="0" w:color="666666"/>
              <w:right w:val="nil"/>
            </w:tcBorders>
            <w:vAlign w:val="center"/>
          </w:tcPr>
          <w:p w14:paraId="27D62B2F" w14:textId="77777777" w:rsidR="00652DD4" w:rsidRPr="00243400" w:rsidRDefault="00652DD4" w:rsidP="00652DD4">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0.73</w:t>
            </w:r>
          </w:p>
        </w:tc>
      </w:tr>
      <w:tr w:rsidR="006B7087" w:rsidRPr="00243400" w14:paraId="6FF26CDB" w14:textId="77777777" w:rsidTr="00D51EA0">
        <w:trPr>
          <w:trHeight w:val="288"/>
        </w:trPr>
        <w:tc>
          <w:tcPr>
            <w:tcW w:w="5474" w:type="dxa"/>
            <w:tcBorders>
              <w:top w:val="single" w:sz="4" w:space="0" w:color="666666"/>
              <w:left w:val="nil"/>
              <w:right w:val="nil"/>
            </w:tcBorders>
            <w:noWrap/>
            <w:vAlign w:val="center"/>
          </w:tcPr>
          <w:p w14:paraId="5E56B181" w14:textId="77777777" w:rsidR="006B7087" w:rsidRPr="00243400" w:rsidRDefault="006B7087" w:rsidP="006B7087">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p w14:paraId="3EE496C0"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8</w:t>
            </w:r>
            <w:r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62782B60"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3724E3BB" w14:textId="77777777" w:rsidR="006B7087" w:rsidRPr="00243400" w:rsidRDefault="003950F9"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28</w:t>
            </w:r>
            <w:r w:rsidR="006B7087" w:rsidRPr="00243400">
              <w:rPr>
                <w:rFonts w:ascii="Segoe UI" w:eastAsia="Times New Roman" w:hAnsi="Segoe UI" w:cs="Segoe UI"/>
                <w:bCs/>
                <w:color w:val="666666"/>
                <w:sz w:val="16"/>
                <w:szCs w:val="16"/>
              </w:rPr>
              <w:t>%</w:t>
            </w:r>
          </w:p>
        </w:tc>
        <w:tc>
          <w:tcPr>
            <w:tcW w:w="1008" w:type="dxa"/>
            <w:tcBorders>
              <w:top w:val="single" w:sz="4" w:space="0" w:color="666666"/>
              <w:left w:val="nil"/>
              <w:right w:val="nil"/>
            </w:tcBorders>
            <w:vAlign w:val="center"/>
          </w:tcPr>
          <w:p w14:paraId="1D415F51"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30</w:t>
            </w:r>
            <w:r w:rsidRPr="00243400">
              <w:rPr>
                <w:rFonts w:ascii="Segoe UI" w:eastAsia="Times New Roman" w:hAnsi="Segoe UI" w:cs="Segoe UI"/>
                <w:bCs/>
                <w:color w:val="666666"/>
                <w:sz w:val="16"/>
                <w:szCs w:val="16"/>
              </w:rPr>
              <w:t>%</w:t>
            </w:r>
          </w:p>
        </w:tc>
      </w:tr>
      <w:tr w:rsidR="006B7087" w:rsidRPr="00243400" w14:paraId="76AF3E3F" w14:textId="77777777" w:rsidTr="00D51EA0">
        <w:trPr>
          <w:trHeight w:val="288"/>
        </w:trPr>
        <w:tc>
          <w:tcPr>
            <w:tcW w:w="5474" w:type="dxa"/>
            <w:tcBorders>
              <w:left w:val="nil"/>
              <w:bottom w:val="single" w:sz="4" w:space="0" w:color="auto"/>
              <w:right w:val="nil"/>
            </w:tcBorders>
            <w:noWrap/>
            <w:vAlign w:val="center"/>
          </w:tcPr>
          <w:p w14:paraId="424703DF" w14:textId="77777777" w:rsidR="006B7087" w:rsidRPr="00243400" w:rsidRDefault="006B7087" w:rsidP="006B7087">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w:t>
            </w:r>
          </w:p>
        </w:tc>
        <w:tc>
          <w:tcPr>
            <w:tcW w:w="1008" w:type="dxa"/>
            <w:tcBorders>
              <w:left w:val="nil"/>
              <w:bottom w:val="single" w:sz="4" w:space="0" w:color="auto"/>
              <w:right w:val="nil"/>
            </w:tcBorders>
            <w:vAlign w:val="center"/>
          </w:tcPr>
          <w:p w14:paraId="396C54A9"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vAlign w:val="center"/>
          </w:tcPr>
          <w:p w14:paraId="0BF89849"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w:t>
            </w:r>
            <w:r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vAlign w:val="center"/>
          </w:tcPr>
          <w:p w14:paraId="5AF6E788"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13</w:t>
            </w:r>
            <w:r w:rsidRPr="00243400">
              <w:rPr>
                <w:rFonts w:ascii="Segoe UI" w:eastAsia="Times New Roman" w:hAnsi="Segoe UI" w:cs="Segoe UI"/>
                <w:bCs/>
                <w:color w:val="666666"/>
                <w:sz w:val="16"/>
                <w:szCs w:val="16"/>
              </w:rPr>
              <w:t>%</w:t>
            </w:r>
          </w:p>
        </w:tc>
        <w:tc>
          <w:tcPr>
            <w:tcW w:w="1008" w:type="dxa"/>
            <w:tcBorders>
              <w:left w:val="nil"/>
              <w:bottom w:val="single" w:sz="4" w:space="0" w:color="auto"/>
              <w:right w:val="nil"/>
            </w:tcBorders>
            <w:vAlign w:val="center"/>
          </w:tcPr>
          <w:p w14:paraId="4D1D4364"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16</w:t>
            </w:r>
            <w:r w:rsidRPr="00243400">
              <w:rPr>
                <w:rFonts w:ascii="Segoe UI" w:eastAsia="Times New Roman" w:hAnsi="Segoe UI" w:cs="Segoe UI"/>
                <w:bCs/>
                <w:color w:val="666666"/>
                <w:sz w:val="16"/>
                <w:szCs w:val="16"/>
              </w:rPr>
              <w:t>%</w:t>
            </w:r>
          </w:p>
        </w:tc>
      </w:tr>
      <w:tr w:rsidR="00314DAE" w:rsidRPr="00243400" w14:paraId="7EB53365" w14:textId="77777777" w:rsidTr="00F441A5">
        <w:trPr>
          <w:trHeight w:val="288"/>
        </w:trPr>
        <w:tc>
          <w:tcPr>
            <w:tcW w:w="5474" w:type="dxa"/>
            <w:tcBorders>
              <w:top w:val="single" w:sz="4" w:space="0" w:color="auto"/>
              <w:left w:val="nil"/>
              <w:bottom w:val="single" w:sz="4" w:space="0" w:color="auto"/>
              <w:right w:val="nil"/>
            </w:tcBorders>
            <w:noWrap/>
            <w:vAlign w:val="center"/>
          </w:tcPr>
          <w:p w14:paraId="3BF3FECF"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vAlign w:val="center"/>
          </w:tcPr>
          <w:p w14:paraId="1A8311DC" w14:textId="77777777" w:rsidR="00314DAE" w:rsidRPr="002908C6" w:rsidRDefault="00314DAE" w:rsidP="00D51EA0">
            <w:pPr>
              <w:spacing w:after="0"/>
              <w:jc w:val="right"/>
              <w:rPr>
                <w:rFonts w:ascii="Segoe UI" w:eastAsia="Times New Roman" w:hAnsi="Segoe UI" w:cs="Segoe UI"/>
                <w:b/>
                <w:bCs/>
                <w:color w:val="666666"/>
                <w:sz w:val="16"/>
                <w:szCs w:val="16"/>
              </w:rPr>
            </w:pPr>
            <w:r w:rsidRPr="002908C6">
              <w:rPr>
                <w:rFonts w:ascii="Segoe UI" w:eastAsia="Times New Roman" w:hAnsi="Segoe UI" w:cs="Segoe UI"/>
                <w:b/>
                <w:bCs/>
                <w:color w:val="666666"/>
                <w:sz w:val="16"/>
                <w:szCs w:val="16"/>
              </w:rPr>
              <w:t>$(</w:t>
            </w:r>
            <w:r w:rsidR="00BF7E1C" w:rsidRPr="002908C6">
              <w:rPr>
                <w:rFonts w:ascii="Segoe UI" w:eastAsia="Times New Roman" w:hAnsi="Segoe UI" w:cs="Segoe UI"/>
                <w:b/>
                <w:bCs/>
                <w:color w:val="666666"/>
                <w:sz w:val="16"/>
                <w:szCs w:val="16"/>
              </w:rPr>
              <w:t>222</w:t>
            </w:r>
            <w:r w:rsidRPr="002908C6">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vAlign w:val="center"/>
          </w:tcPr>
          <w:p w14:paraId="3150E36A" w14:textId="77777777" w:rsidR="00314DAE" w:rsidRPr="002908C6" w:rsidRDefault="00314DAE" w:rsidP="00D51EA0">
            <w:pPr>
              <w:spacing w:after="0"/>
              <w:jc w:val="right"/>
              <w:rPr>
                <w:rFonts w:ascii="Segoe UI" w:eastAsia="Times New Roman" w:hAnsi="Segoe UI" w:cs="Segoe UI"/>
                <w:b/>
                <w:bCs/>
                <w:color w:val="666666"/>
                <w:sz w:val="16"/>
                <w:szCs w:val="16"/>
              </w:rPr>
            </w:pPr>
            <w:r w:rsidRPr="002908C6">
              <w:rPr>
                <w:rFonts w:ascii="Segoe UI" w:eastAsia="Times New Roman" w:hAnsi="Segoe UI" w:cs="Segoe UI"/>
                <w:b/>
                <w:bCs/>
                <w:color w:val="666666"/>
                <w:sz w:val="16"/>
                <w:szCs w:val="16"/>
              </w:rPr>
              <w:t>$(</w:t>
            </w:r>
            <w:r w:rsidR="00BF7E1C" w:rsidRPr="002908C6">
              <w:rPr>
                <w:rFonts w:ascii="Segoe UI" w:eastAsia="Times New Roman" w:hAnsi="Segoe UI" w:cs="Segoe UI"/>
                <w:b/>
                <w:bCs/>
                <w:color w:val="666666"/>
                <w:sz w:val="16"/>
                <w:szCs w:val="16"/>
              </w:rPr>
              <w:t>181</w:t>
            </w:r>
            <w:r w:rsidRPr="002908C6">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vAlign w:val="center"/>
          </w:tcPr>
          <w:p w14:paraId="07311FB8" w14:textId="77777777" w:rsidR="00314DAE" w:rsidRPr="002908C6" w:rsidRDefault="00314DAE" w:rsidP="00D51EA0">
            <w:pPr>
              <w:spacing w:after="0"/>
              <w:jc w:val="right"/>
              <w:rPr>
                <w:rFonts w:ascii="Segoe UI" w:eastAsia="Times New Roman" w:hAnsi="Segoe UI" w:cs="Segoe UI"/>
                <w:b/>
                <w:bCs/>
                <w:color w:val="666666"/>
                <w:sz w:val="16"/>
                <w:szCs w:val="16"/>
              </w:rPr>
            </w:pPr>
            <w:r w:rsidRPr="002908C6">
              <w:rPr>
                <w:rFonts w:ascii="Segoe UI" w:eastAsia="Times New Roman" w:hAnsi="Segoe UI" w:cs="Segoe UI"/>
                <w:b/>
                <w:bCs/>
                <w:color w:val="666666"/>
                <w:sz w:val="16"/>
                <w:szCs w:val="16"/>
              </w:rPr>
              <w:t>$(</w:t>
            </w:r>
            <w:r w:rsidR="002908C6" w:rsidRPr="002908C6">
              <w:rPr>
                <w:rFonts w:ascii="Segoe UI" w:eastAsia="Times New Roman" w:hAnsi="Segoe UI" w:cs="Segoe UI"/>
                <w:b/>
                <w:bCs/>
                <w:color w:val="666666"/>
                <w:sz w:val="16"/>
                <w:szCs w:val="16"/>
              </w:rPr>
              <w:t>153</w:t>
            </w:r>
            <w:r w:rsidRPr="002908C6">
              <w:rPr>
                <w:rFonts w:ascii="Segoe UI" w:eastAsia="Times New Roman" w:hAnsi="Segoe UI" w:cs="Segoe UI"/>
                <w:b/>
                <w:bCs/>
                <w:color w:val="666666"/>
                <w:sz w:val="16"/>
                <w:szCs w:val="16"/>
              </w:rPr>
              <w:t>)</w:t>
            </w:r>
          </w:p>
        </w:tc>
        <w:tc>
          <w:tcPr>
            <w:tcW w:w="1008" w:type="dxa"/>
            <w:tcBorders>
              <w:top w:val="single" w:sz="4" w:space="0" w:color="auto"/>
              <w:left w:val="nil"/>
              <w:bottom w:val="single" w:sz="4" w:space="0" w:color="auto"/>
              <w:right w:val="nil"/>
            </w:tcBorders>
            <w:vAlign w:val="center"/>
          </w:tcPr>
          <w:p w14:paraId="029A90E4" w14:textId="77777777" w:rsidR="00314DAE" w:rsidRPr="002908C6" w:rsidRDefault="00314DAE" w:rsidP="00D51EA0">
            <w:pPr>
              <w:spacing w:after="0"/>
              <w:jc w:val="right"/>
              <w:rPr>
                <w:rFonts w:ascii="Segoe UI" w:eastAsia="Times New Roman" w:hAnsi="Segoe UI" w:cs="Segoe UI"/>
                <w:b/>
                <w:bCs/>
                <w:color w:val="666666"/>
                <w:sz w:val="16"/>
                <w:szCs w:val="16"/>
              </w:rPr>
            </w:pPr>
            <w:r w:rsidRPr="002908C6">
              <w:rPr>
                <w:rFonts w:ascii="Segoe UI" w:eastAsia="Times New Roman" w:hAnsi="Segoe UI" w:cs="Segoe UI"/>
                <w:b/>
                <w:bCs/>
                <w:color w:val="666666"/>
                <w:sz w:val="16"/>
                <w:szCs w:val="16"/>
              </w:rPr>
              <w:t>$(</w:t>
            </w:r>
            <w:r w:rsidR="002908C6" w:rsidRPr="002908C6">
              <w:rPr>
                <w:rFonts w:ascii="Segoe UI" w:eastAsia="Times New Roman" w:hAnsi="Segoe UI" w:cs="Segoe UI"/>
                <w:b/>
                <w:bCs/>
                <w:color w:val="666666"/>
                <w:sz w:val="16"/>
                <w:szCs w:val="16"/>
              </w:rPr>
              <w:t>0.02</w:t>
            </w:r>
            <w:r w:rsidRPr="002908C6">
              <w:rPr>
                <w:rFonts w:ascii="Segoe UI" w:eastAsia="Times New Roman" w:hAnsi="Segoe UI" w:cs="Segoe UI"/>
                <w:b/>
                <w:bCs/>
                <w:color w:val="666666"/>
                <w:sz w:val="16"/>
                <w:szCs w:val="16"/>
              </w:rPr>
              <w:t>)</w:t>
            </w:r>
          </w:p>
        </w:tc>
      </w:tr>
      <w:tr w:rsidR="006B7087" w:rsidRPr="00243400" w14:paraId="22B01605" w14:textId="77777777" w:rsidTr="00F441A5">
        <w:trPr>
          <w:trHeight w:val="288"/>
        </w:trPr>
        <w:tc>
          <w:tcPr>
            <w:tcW w:w="5474" w:type="dxa"/>
            <w:tcBorders>
              <w:top w:val="single" w:sz="4" w:space="0" w:color="auto"/>
              <w:left w:val="nil"/>
              <w:bottom w:val="single" w:sz="4" w:space="0" w:color="auto"/>
              <w:right w:val="nil"/>
            </w:tcBorders>
            <w:shd w:val="clear" w:color="auto" w:fill="auto"/>
            <w:noWrap/>
            <w:vAlign w:val="center"/>
          </w:tcPr>
          <w:p w14:paraId="0881AF38" w14:textId="77777777" w:rsidR="006B7087" w:rsidRPr="00243400" w:rsidRDefault="006B7087" w:rsidP="006B7087">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008" w:type="dxa"/>
            <w:tcBorders>
              <w:top w:val="single" w:sz="4" w:space="0" w:color="auto"/>
              <w:left w:val="nil"/>
              <w:bottom w:val="single" w:sz="4" w:space="0" w:color="auto"/>
              <w:right w:val="nil"/>
            </w:tcBorders>
            <w:shd w:val="clear" w:color="auto" w:fill="auto"/>
            <w:vAlign w:val="center"/>
          </w:tcPr>
          <w:p w14:paraId="722BB5C2"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7</w:t>
            </w:r>
            <w:r w:rsidRPr="00243400">
              <w:rPr>
                <w:rFonts w:ascii="Segoe UI" w:eastAsia="Times New Roman" w:hAnsi="Segoe UI" w:cs="Segoe UI"/>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11E8B915" w14:textId="77777777" w:rsidR="006B7087" w:rsidRPr="00243400" w:rsidRDefault="006B7087" w:rsidP="006B7087">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5</w:t>
            </w:r>
            <w:r w:rsidRPr="00243400">
              <w:rPr>
                <w:rFonts w:ascii="Segoe UI" w:eastAsia="Times New Roman" w:hAnsi="Segoe UI" w:cs="Segoe UI"/>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281119CC" w14:textId="77777777" w:rsidR="006B7087" w:rsidRPr="00243400" w:rsidRDefault="002908C6" w:rsidP="006B7087">
            <w:pPr>
              <w:spacing w:after="0"/>
              <w:jc w:val="right"/>
              <w:rPr>
                <w:rFonts w:ascii="Segoe UI" w:eastAsia="Times New Roman" w:hAnsi="Segoe UI" w:cs="Segoe UI"/>
                <w:bCs/>
                <w:color w:val="666666"/>
                <w:sz w:val="16"/>
                <w:szCs w:val="16"/>
              </w:rPr>
            </w:pPr>
            <w:r w:rsidRPr="002908C6">
              <w:rPr>
                <w:rFonts w:ascii="Segoe UI" w:eastAsia="Times New Roman" w:hAnsi="Segoe UI" w:cs="Segoe UI"/>
                <w:bCs/>
                <w:color w:val="666666"/>
                <w:sz w:val="16"/>
                <w:szCs w:val="16"/>
              </w:rPr>
              <w:t>16</w:t>
            </w:r>
            <w:r w:rsidR="006B7087" w:rsidRPr="002908C6">
              <w:rPr>
                <w:rFonts w:ascii="Segoe UI" w:eastAsia="Times New Roman" w:hAnsi="Segoe UI" w:cs="Segoe UI"/>
                <w:bCs/>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33175F4F" w14:textId="77777777" w:rsidR="006B7087" w:rsidRPr="00243400" w:rsidRDefault="002908C6" w:rsidP="006B7087">
            <w:pPr>
              <w:spacing w:after="0"/>
              <w:jc w:val="right"/>
              <w:rPr>
                <w:rFonts w:ascii="Segoe UI" w:eastAsia="Times New Roman" w:hAnsi="Segoe UI" w:cs="Segoe UI"/>
                <w:bCs/>
                <w:color w:val="666666"/>
                <w:sz w:val="16"/>
                <w:szCs w:val="16"/>
              </w:rPr>
            </w:pPr>
            <w:r w:rsidRPr="002908C6">
              <w:rPr>
                <w:rFonts w:ascii="Segoe UI" w:eastAsia="Times New Roman" w:hAnsi="Segoe UI" w:cs="Segoe UI"/>
                <w:bCs/>
                <w:color w:val="666666"/>
                <w:sz w:val="16"/>
                <w:szCs w:val="16"/>
              </w:rPr>
              <w:t>19</w:t>
            </w:r>
            <w:r w:rsidR="006B7087" w:rsidRPr="002908C6">
              <w:rPr>
                <w:rFonts w:ascii="Segoe UI" w:eastAsia="Times New Roman" w:hAnsi="Segoe UI" w:cs="Segoe UI"/>
                <w:bCs/>
                <w:color w:val="666666"/>
                <w:sz w:val="16"/>
                <w:szCs w:val="16"/>
              </w:rPr>
              <w:t>%</w:t>
            </w:r>
          </w:p>
        </w:tc>
      </w:tr>
    </w:tbl>
    <w:p w14:paraId="584979C2" w14:textId="77777777" w:rsidR="00314DAE" w:rsidRPr="00243400" w:rsidRDefault="00314DAE" w:rsidP="00314DAE">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314DAE" w:rsidRPr="00243400" w14:paraId="499F70FA" w14:textId="77777777" w:rsidTr="00D51EA0">
        <w:trPr>
          <w:trHeight w:val="340"/>
        </w:trPr>
        <w:tc>
          <w:tcPr>
            <w:tcW w:w="4608" w:type="dxa"/>
            <w:tcBorders>
              <w:top w:val="nil"/>
              <w:left w:val="nil"/>
              <w:bottom w:val="single" w:sz="8" w:space="0" w:color="auto"/>
              <w:right w:val="nil"/>
            </w:tcBorders>
          </w:tcPr>
          <w:p w14:paraId="15D0ED4F" w14:textId="77777777" w:rsidR="00314DAE" w:rsidRPr="00243400" w:rsidRDefault="00314DAE" w:rsidP="00D51EA0">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0B2C9D69"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F441A5">
              <w:rPr>
                <w:rFonts w:ascii="Segoe UI" w:eastAsia="Times New Roman" w:hAnsi="Segoe UI" w:cs="Segoe UI"/>
                <w:b/>
                <w:bCs/>
                <w:color w:val="666666"/>
                <w:sz w:val="16"/>
                <w:szCs w:val="16"/>
              </w:rPr>
              <w:t xml:space="preserve">March </w:t>
            </w:r>
            <w:r w:rsidRPr="00243400">
              <w:rPr>
                <w:rFonts w:ascii="Segoe UI" w:eastAsia="Times New Roman" w:hAnsi="Segoe UI" w:cs="Segoe UI"/>
                <w:b/>
                <w:bCs/>
                <w:color w:val="666666"/>
                <w:sz w:val="16"/>
                <w:szCs w:val="16"/>
              </w:rPr>
              <w:t>31,</w:t>
            </w:r>
          </w:p>
        </w:tc>
      </w:tr>
      <w:tr w:rsidR="00314DAE" w:rsidRPr="00243400" w14:paraId="24E6BBD3" w14:textId="77777777" w:rsidTr="00D51EA0">
        <w:trPr>
          <w:trHeight w:val="432"/>
        </w:trPr>
        <w:tc>
          <w:tcPr>
            <w:tcW w:w="4608" w:type="dxa"/>
            <w:tcBorders>
              <w:top w:val="single" w:sz="8" w:space="0" w:color="666666"/>
              <w:left w:val="nil"/>
              <w:bottom w:val="single" w:sz="8" w:space="0" w:color="666666"/>
              <w:right w:val="nil"/>
            </w:tcBorders>
            <w:vAlign w:val="bottom"/>
            <w:hideMark/>
          </w:tcPr>
          <w:p w14:paraId="04BE0AA1" w14:textId="77777777" w:rsidR="00314DAE" w:rsidRPr="00243400" w:rsidRDefault="00314DAE" w:rsidP="00D51EA0">
            <w:pPr>
              <w:spacing w:after="0"/>
              <w:rPr>
                <w:rFonts w:ascii="Segoe UI" w:eastAsia="Times New Roman" w:hAnsi="Segoe UI" w:cs="Segoe UI"/>
                <w:color w:val="666666"/>
                <w:sz w:val="16"/>
                <w:szCs w:val="16"/>
              </w:rPr>
            </w:pPr>
            <w:r w:rsidRPr="00243400">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09AA73DF"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6B2BDA05"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C57F1DF"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More Personal Computing</w:t>
            </w:r>
          </w:p>
        </w:tc>
      </w:tr>
      <w:tr w:rsidR="00314DAE" w:rsidRPr="00243400" w14:paraId="5FE37D54" w14:textId="77777777" w:rsidTr="00D51EA0">
        <w:trPr>
          <w:trHeight w:val="288"/>
        </w:trPr>
        <w:tc>
          <w:tcPr>
            <w:tcW w:w="4608" w:type="dxa"/>
            <w:tcBorders>
              <w:top w:val="single" w:sz="8" w:space="0" w:color="666666"/>
              <w:left w:val="nil"/>
              <w:bottom w:val="single" w:sz="4" w:space="0" w:color="auto"/>
              <w:right w:val="nil"/>
            </w:tcBorders>
            <w:noWrap/>
            <w:vAlign w:val="center"/>
          </w:tcPr>
          <w:p w14:paraId="42C04FE4" w14:textId="77777777" w:rsidR="00314DAE" w:rsidRPr="00243400" w:rsidRDefault="00F441A5" w:rsidP="00D51EA0">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2016</w:t>
            </w:r>
            <w:r w:rsidR="00314DAE" w:rsidRPr="00243400">
              <w:rPr>
                <w:rFonts w:ascii="Segoe UI" w:eastAsia="Times New Roman" w:hAnsi="Segoe UI" w:cs="Segoe UI"/>
                <w:b/>
                <w:bCs/>
                <w:color w:val="666666"/>
                <w:sz w:val="16"/>
                <w:szCs w:val="16"/>
              </w:rPr>
              <w:t xml:space="preserve"> As Reported (GAAP)</w:t>
            </w:r>
          </w:p>
        </w:tc>
        <w:tc>
          <w:tcPr>
            <w:tcW w:w="1635" w:type="dxa"/>
            <w:tcBorders>
              <w:top w:val="single" w:sz="8" w:space="0" w:color="666666"/>
              <w:left w:val="nil"/>
              <w:bottom w:val="single" w:sz="4" w:space="0" w:color="auto"/>
              <w:right w:val="nil"/>
            </w:tcBorders>
            <w:vAlign w:val="center"/>
          </w:tcPr>
          <w:p w14:paraId="66C5A72E" w14:textId="77777777" w:rsidR="00314DAE" w:rsidRPr="00243400" w:rsidRDefault="00314DAE" w:rsidP="00D51EA0">
            <w:pPr>
              <w:spacing w:after="0"/>
              <w:ind w:firstLine="82"/>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$6,</w:t>
            </w:r>
            <w:r w:rsidR="00EA690A">
              <w:rPr>
                <w:rFonts w:ascii="Segoe UI" w:eastAsia="Times New Roman" w:hAnsi="Segoe UI" w:cs="Segoe UI"/>
                <w:b/>
                <w:bCs/>
                <w:color w:val="666666"/>
                <w:sz w:val="16"/>
                <w:szCs w:val="16"/>
              </w:rPr>
              <w:t>521</w:t>
            </w:r>
          </w:p>
        </w:tc>
        <w:tc>
          <w:tcPr>
            <w:tcW w:w="1629" w:type="dxa"/>
            <w:tcBorders>
              <w:top w:val="single" w:sz="8" w:space="0" w:color="666666"/>
              <w:left w:val="nil"/>
              <w:bottom w:val="single" w:sz="4" w:space="0" w:color="auto"/>
              <w:right w:val="nil"/>
            </w:tcBorders>
            <w:vAlign w:val="center"/>
          </w:tcPr>
          <w:p w14:paraId="47AB893F"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EB0E32">
              <w:rPr>
                <w:rFonts w:ascii="Segoe UI" w:eastAsia="Times New Roman" w:hAnsi="Segoe UI" w:cs="Segoe UI"/>
                <w:b/>
                <w:bCs/>
                <w:color w:val="666666"/>
                <w:sz w:val="16"/>
                <w:szCs w:val="16"/>
              </w:rPr>
              <w:t>6,096</w:t>
            </w:r>
          </w:p>
        </w:tc>
        <w:tc>
          <w:tcPr>
            <w:tcW w:w="1632" w:type="dxa"/>
            <w:tcBorders>
              <w:top w:val="single" w:sz="8" w:space="0" w:color="666666"/>
              <w:left w:val="nil"/>
              <w:bottom w:val="single" w:sz="4" w:space="0" w:color="auto"/>
              <w:right w:val="nil"/>
            </w:tcBorders>
            <w:vAlign w:val="center"/>
          </w:tcPr>
          <w:p w14:paraId="1ABD0131"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EB0E32">
              <w:rPr>
                <w:rFonts w:ascii="Segoe UI" w:eastAsia="Times New Roman" w:hAnsi="Segoe UI" w:cs="Segoe UI"/>
                <w:b/>
                <w:bCs/>
                <w:color w:val="666666"/>
                <w:sz w:val="16"/>
                <w:szCs w:val="16"/>
              </w:rPr>
              <w:t>9,</w:t>
            </w:r>
            <w:r w:rsidR="00EA690A">
              <w:rPr>
                <w:rFonts w:ascii="Segoe UI" w:eastAsia="Times New Roman" w:hAnsi="Segoe UI" w:cs="Segoe UI"/>
                <w:b/>
                <w:bCs/>
                <w:color w:val="666666"/>
                <w:sz w:val="16"/>
                <w:szCs w:val="16"/>
              </w:rPr>
              <w:t>539</w:t>
            </w:r>
          </w:p>
        </w:tc>
      </w:tr>
      <w:tr w:rsidR="00314DAE" w:rsidRPr="00243400" w14:paraId="02F91373" w14:textId="77777777" w:rsidTr="00D51EA0">
        <w:trPr>
          <w:trHeight w:val="288"/>
        </w:trPr>
        <w:tc>
          <w:tcPr>
            <w:tcW w:w="4608" w:type="dxa"/>
            <w:tcBorders>
              <w:top w:val="single" w:sz="4" w:space="0" w:color="auto"/>
              <w:left w:val="nil"/>
              <w:bottom w:val="single" w:sz="4" w:space="0" w:color="auto"/>
              <w:right w:val="nil"/>
            </w:tcBorders>
            <w:noWrap/>
            <w:vAlign w:val="center"/>
          </w:tcPr>
          <w:p w14:paraId="354BF920" w14:textId="77777777" w:rsidR="00314DAE" w:rsidRPr="00243400" w:rsidRDefault="00F441A5" w:rsidP="00D51EA0">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2017</w:t>
            </w:r>
            <w:r w:rsidR="00314DAE" w:rsidRPr="00243400">
              <w:rPr>
                <w:rFonts w:ascii="Segoe UI" w:eastAsia="Times New Roman" w:hAnsi="Segoe UI" w:cs="Segoe UI"/>
                <w:b/>
                <w:bCs/>
                <w:color w:val="666666"/>
                <w:sz w:val="16"/>
                <w:szCs w:val="16"/>
              </w:rPr>
              <w:t xml:space="preserve"> As Reported (GAAP)</w:t>
            </w:r>
          </w:p>
        </w:tc>
        <w:tc>
          <w:tcPr>
            <w:tcW w:w="1635" w:type="dxa"/>
            <w:tcBorders>
              <w:top w:val="single" w:sz="4" w:space="0" w:color="auto"/>
              <w:left w:val="nil"/>
              <w:bottom w:val="single" w:sz="4" w:space="0" w:color="auto"/>
              <w:right w:val="nil"/>
            </w:tcBorders>
            <w:vAlign w:val="center"/>
          </w:tcPr>
          <w:p w14:paraId="3EA112E6"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2D02CB">
              <w:rPr>
                <w:rFonts w:ascii="Segoe UI" w:eastAsia="Times New Roman" w:hAnsi="Segoe UI" w:cs="Segoe UI"/>
                <w:b/>
                <w:bCs/>
                <w:color w:val="666666"/>
                <w:sz w:val="16"/>
                <w:szCs w:val="16"/>
              </w:rPr>
              <w:t>7,958</w:t>
            </w:r>
          </w:p>
        </w:tc>
        <w:tc>
          <w:tcPr>
            <w:tcW w:w="1629" w:type="dxa"/>
            <w:tcBorders>
              <w:top w:val="single" w:sz="4" w:space="0" w:color="auto"/>
              <w:left w:val="nil"/>
              <w:bottom w:val="single" w:sz="4" w:space="0" w:color="auto"/>
              <w:right w:val="nil"/>
            </w:tcBorders>
            <w:vAlign w:val="center"/>
          </w:tcPr>
          <w:p w14:paraId="445EC5F7"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2D02CB">
              <w:rPr>
                <w:rFonts w:ascii="Segoe UI" w:eastAsia="Times New Roman" w:hAnsi="Segoe UI" w:cs="Segoe UI"/>
                <w:b/>
                <w:bCs/>
                <w:color w:val="666666"/>
                <w:sz w:val="16"/>
                <w:szCs w:val="16"/>
              </w:rPr>
              <w:t>6,763</w:t>
            </w:r>
          </w:p>
        </w:tc>
        <w:tc>
          <w:tcPr>
            <w:tcW w:w="1632" w:type="dxa"/>
            <w:tcBorders>
              <w:top w:val="single" w:sz="4" w:space="0" w:color="auto"/>
              <w:left w:val="nil"/>
              <w:bottom w:val="single" w:sz="4" w:space="0" w:color="auto"/>
              <w:right w:val="nil"/>
            </w:tcBorders>
            <w:vAlign w:val="center"/>
          </w:tcPr>
          <w:p w14:paraId="02DD685B" w14:textId="77777777" w:rsidR="00314DAE" w:rsidRPr="00243400" w:rsidRDefault="00314DAE" w:rsidP="00D51EA0">
            <w:pPr>
              <w:spacing w:after="0"/>
              <w:jc w:val="right"/>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t>
            </w:r>
            <w:r w:rsidR="001A246B">
              <w:rPr>
                <w:rFonts w:ascii="Segoe UI" w:eastAsia="Times New Roman" w:hAnsi="Segoe UI" w:cs="Segoe UI"/>
                <w:b/>
                <w:bCs/>
                <w:color w:val="666666"/>
                <w:sz w:val="16"/>
                <w:szCs w:val="16"/>
              </w:rPr>
              <w:t>8,83</w:t>
            </w:r>
            <w:r w:rsidR="001A246B" w:rsidRPr="00C613B0">
              <w:rPr>
                <w:rFonts w:ascii="Segoe UI" w:eastAsia="Times New Roman" w:hAnsi="Segoe UI" w:cs="Segoe UI"/>
                <w:b/>
                <w:bCs/>
                <w:color w:val="666666"/>
                <w:sz w:val="16"/>
                <w:szCs w:val="16"/>
              </w:rPr>
              <w:t>6</w:t>
            </w:r>
          </w:p>
        </w:tc>
      </w:tr>
      <w:tr w:rsidR="00314DAE" w:rsidRPr="00243400" w14:paraId="370B5D11" w14:textId="77777777" w:rsidTr="00D51EA0">
        <w:trPr>
          <w:trHeight w:val="288"/>
        </w:trPr>
        <w:tc>
          <w:tcPr>
            <w:tcW w:w="4608" w:type="dxa"/>
            <w:tcBorders>
              <w:top w:val="single" w:sz="4" w:space="0" w:color="auto"/>
              <w:left w:val="nil"/>
              <w:bottom w:val="single" w:sz="4" w:space="0" w:color="auto"/>
              <w:right w:val="nil"/>
            </w:tcBorders>
            <w:noWrap/>
            <w:vAlign w:val="center"/>
          </w:tcPr>
          <w:p w14:paraId="286BD296"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p w14:paraId="4B7A8A9F" w14:textId="77777777" w:rsidR="00314DAE" w:rsidRPr="00243400" w:rsidRDefault="002D02CB"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22</w:t>
            </w:r>
            <w:r w:rsidR="00314DAE" w:rsidRPr="00243400">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auto"/>
              <w:right w:val="nil"/>
            </w:tcBorders>
            <w:vAlign w:val="center"/>
          </w:tcPr>
          <w:p w14:paraId="3724C88F" w14:textId="77777777" w:rsidR="00314DAE" w:rsidRPr="00243400" w:rsidRDefault="002D02CB"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11</w:t>
            </w:r>
            <w:r w:rsidR="00314DAE" w:rsidRPr="00243400">
              <w:rPr>
                <w:rFonts w:ascii="Segoe UI" w:eastAsia="Times New Roman" w:hAnsi="Segoe UI" w:cs="Segoe UI"/>
                <w:bCs/>
                <w:color w:val="666666"/>
                <w:sz w:val="16"/>
                <w:szCs w:val="16"/>
              </w:rPr>
              <w:t>%</w:t>
            </w:r>
          </w:p>
        </w:tc>
        <w:tc>
          <w:tcPr>
            <w:tcW w:w="1632" w:type="dxa"/>
            <w:tcBorders>
              <w:top w:val="single" w:sz="4" w:space="0" w:color="auto"/>
              <w:left w:val="nil"/>
              <w:bottom w:val="single" w:sz="4" w:space="0" w:color="auto"/>
              <w:right w:val="nil"/>
            </w:tcBorders>
            <w:vAlign w:val="center"/>
          </w:tcPr>
          <w:p w14:paraId="192EE4C7" w14:textId="77777777" w:rsidR="00314DAE" w:rsidRPr="00243400" w:rsidRDefault="00373983"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sidR="002D02CB">
              <w:rPr>
                <w:rFonts w:ascii="Segoe UI" w:eastAsia="Times New Roman" w:hAnsi="Segoe UI" w:cs="Segoe UI"/>
                <w:bCs/>
                <w:color w:val="666666"/>
                <w:sz w:val="16"/>
                <w:szCs w:val="16"/>
              </w:rPr>
              <w:t>7</w:t>
            </w:r>
            <w:r>
              <w:rPr>
                <w:rFonts w:ascii="Segoe UI" w:eastAsia="Times New Roman" w:hAnsi="Segoe UI" w:cs="Segoe UI"/>
                <w:bCs/>
                <w:color w:val="666666"/>
                <w:sz w:val="16"/>
                <w:szCs w:val="16"/>
              </w:rPr>
              <w:t>)</w:t>
            </w:r>
            <w:r w:rsidR="00314DAE" w:rsidRPr="00243400">
              <w:rPr>
                <w:rFonts w:ascii="Segoe UI" w:eastAsia="Times New Roman" w:hAnsi="Segoe UI" w:cs="Segoe UI"/>
                <w:bCs/>
                <w:color w:val="666666"/>
                <w:sz w:val="16"/>
                <w:szCs w:val="16"/>
              </w:rPr>
              <w:t>%</w:t>
            </w:r>
            <w:proofErr w:type="gramEnd"/>
          </w:p>
        </w:tc>
      </w:tr>
      <w:tr w:rsidR="00314DAE" w:rsidRPr="00243400" w14:paraId="23443C45" w14:textId="77777777" w:rsidTr="00D51EA0">
        <w:trPr>
          <w:trHeight w:val="288"/>
        </w:trPr>
        <w:tc>
          <w:tcPr>
            <w:tcW w:w="4608" w:type="dxa"/>
            <w:tcBorders>
              <w:top w:val="single" w:sz="4" w:space="0" w:color="auto"/>
              <w:left w:val="nil"/>
              <w:bottom w:val="single" w:sz="4" w:space="0" w:color="auto"/>
              <w:right w:val="nil"/>
            </w:tcBorders>
            <w:noWrap/>
            <w:vAlign w:val="center"/>
          </w:tcPr>
          <w:p w14:paraId="49FE268C"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3619ACBD" w14:textId="77777777" w:rsidR="00314DAE" w:rsidRPr="00AC34BE" w:rsidRDefault="00314DAE" w:rsidP="00D51EA0">
            <w:pPr>
              <w:spacing w:after="0"/>
              <w:jc w:val="right"/>
              <w:rPr>
                <w:rFonts w:ascii="Segoe UI" w:eastAsia="Times New Roman" w:hAnsi="Segoe UI" w:cs="Segoe UI"/>
                <w:b/>
                <w:bCs/>
                <w:color w:val="666666"/>
                <w:sz w:val="16"/>
                <w:szCs w:val="16"/>
              </w:rPr>
            </w:pPr>
            <w:r w:rsidRPr="00AC34BE">
              <w:rPr>
                <w:rFonts w:ascii="Segoe UI" w:eastAsia="Times New Roman" w:hAnsi="Segoe UI" w:cs="Segoe UI"/>
                <w:b/>
                <w:bCs/>
                <w:color w:val="666666"/>
                <w:sz w:val="16"/>
                <w:szCs w:val="16"/>
              </w:rPr>
              <w:t>$(</w:t>
            </w:r>
            <w:r w:rsidR="00AC34BE" w:rsidRPr="00AC34BE">
              <w:rPr>
                <w:rFonts w:ascii="Segoe UI" w:eastAsia="Times New Roman" w:hAnsi="Segoe UI" w:cs="Segoe UI"/>
                <w:b/>
                <w:bCs/>
                <w:color w:val="666666"/>
                <w:sz w:val="16"/>
                <w:szCs w:val="16"/>
              </w:rPr>
              <w:t>82</w:t>
            </w:r>
            <w:r w:rsidRPr="00AC34BE">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1204AD5F" w14:textId="77777777" w:rsidR="00314DAE" w:rsidRPr="00AC34BE" w:rsidRDefault="00314DAE" w:rsidP="00D51EA0">
            <w:pPr>
              <w:spacing w:after="0"/>
              <w:jc w:val="right"/>
              <w:rPr>
                <w:rFonts w:ascii="Segoe UI" w:eastAsia="Times New Roman" w:hAnsi="Segoe UI" w:cs="Segoe UI"/>
                <w:b/>
                <w:bCs/>
                <w:color w:val="666666"/>
                <w:sz w:val="16"/>
                <w:szCs w:val="16"/>
              </w:rPr>
            </w:pPr>
            <w:r w:rsidRPr="00AC34BE">
              <w:rPr>
                <w:rFonts w:ascii="Segoe UI" w:eastAsia="Times New Roman" w:hAnsi="Segoe UI" w:cs="Segoe UI"/>
                <w:b/>
                <w:bCs/>
                <w:color w:val="666666"/>
                <w:sz w:val="16"/>
                <w:szCs w:val="16"/>
              </w:rPr>
              <w:t>$(</w:t>
            </w:r>
            <w:r w:rsidR="00AC34BE" w:rsidRPr="00AC34BE">
              <w:rPr>
                <w:rFonts w:ascii="Segoe UI" w:eastAsia="Times New Roman" w:hAnsi="Segoe UI" w:cs="Segoe UI"/>
                <w:b/>
                <w:bCs/>
                <w:color w:val="666666"/>
                <w:sz w:val="16"/>
                <w:szCs w:val="16"/>
              </w:rPr>
              <w:t>74</w:t>
            </w:r>
            <w:r w:rsidRPr="00AC34BE">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587BDFC4" w14:textId="77777777" w:rsidR="00314DAE" w:rsidRPr="00AC34BE" w:rsidRDefault="00314DAE" w:rsidP="00D51EA0">
            <w:pPr>
              <w:spacing w:after="0"/>
              <w:jc w:val="right"/>
              <w:rPr>
                <w:rFonts w:ascii="Segoe UI" w:eastAsia="Times New Roman" w:hAnsi="Segoe UI" w:cs="Segoe UI"/>
                <w:b/>
                <w:bCs/>
                <w:color w:val="666666"/>
                <w:sz w:val="16"/>
                <w:szCs w:val="16"/>
              </w:rPr>
            </w:pPr>
            <w:r w:rsidRPr="00AC34BE">
              <w:rPr>
                <w:rFonts w:ascii="Segoe UI" w:eastAsia="Times New Roman" w:hAnsi="Segoe UI" w:cs="Segoe UI"/>
                <w:b/>
                <w:bCs/>
                <w:color w:val="666666"/>
                <w:sz w:val="16"/>
                <w:szCs w:val="16"/>
              </w:rPr>
              <w:t>$(</w:t>
            </w:r>
            <w:r w:rsidR="00AC34BE" w:rsidRPr="00AC34BE">
              <w:rPr>
                <w:rFonts w:ascii="Segoe UI" w:eastAsia="Times New Roman" w:hAnsi="Segoe UI" w:cs="Segoe UI"/>
                <w:b/>
                <w:bCs/>
                <w:color w:val="666666"/>
                <w:sz w:val="16"/>
                <w:szCs w:val="16"/>
              </w:rPr>
              <w:t>67</w:t>
            </w:r>
            <w:r w:rsidRPr="00AC34BE">
              <w:rPr>
                <w:rFonts w:ascii="Segoe UI" w:eastAsia="Times New Roman" w:hAnsi="Segoe UI" w:cs="Segoe UI"/>
                <w:b/>
                <w:bCs/>
                <w:color w:val="666666"/>
                <w:sz w:val="16"/>
                <w:szCs w:val="16"/>
              </w:rPr>
              <w:t>)</w:t>
            </w:r>
          </w:p>
        </w:tc>
      </w:tr>
      <w:tr w:rsidR="00314DAE" w:rsidRPr="00243400" w14:paraId="134C67E9" w14:textId="77777777" w:rsidTr="00D51EA0">
        <w:trPr>
          <w:trHeight w:val="288"/>
        </w:trPr>
        <w:tc>
          <w:tcPr>
            <w:tcW w:w="4608" w:type="dxa"/>
            <w:tcBorders>
              <w:top w:val="single" w:sz="4" w:space="0" w:color="auto"/>
              <w:left w:val="nil"/>
              <w:bottom w:val="single" w:sz="4" w:space="0" w:color="666666"/>
              <w:right w:val="nil"/>
            </w:tcBorders>
            <w:noWrap/>
            <w:vAlign w:val="center"/>
          </w:tcPr>
          <w:p w14:paraId="0BC8E349" w14:textId="77777777" w:rsidR="00314DAE" w:rsidRPr="00243400" w:rsidRDefault="00314DAE" w:rsidP="00D51EA0">
            <w:pPr>
              <w:spacing w:after="0"/>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Percentage Change Y/Y (non-GAAP) Constant Currency</w:t>
            </w:r>
          </w:p>
        </w:tc>
        <w:tc>
          <w:tcPr>
            <w:tcW w:w="1635" w:type="dxa"/>
            <w:tcBorders>
              <w:top w:val="single" w:sz="4" w:space="0" w:color="auto"/>
              <w:left w:val="nil"/>
              <w:bottom w:val="single" w:sz="4" w:space="0" w:color="666666"/>
              <w:right w:val="nil"/>
            </w:tcBorders>
            <w:vAlign w:val="center"/>
          </w:tcPr>
          <w:p w14:paraId="34C40E2F" w14:textId="77777777" w:rsidR="00314DAE" w:rsidRPr="00243400" w:rsidRDefault="002D02CB"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23</w:t>
            </w:r>
            <w:r w:rsidR="00314DAE" w:rsidRPr="00243400">
              <w:rPr>
                <w:rFonts w:ascii="Segoe UI" w:eastAsia="Times New Roman" w:hAnsi="Segoe UI" w:cs="Segoe UI"/>
                <w:bCs/>
                <w:color w:val="666666"/>
                <w:sz w:val="16"/>
                <w:szCs w:val="16"/>
              </w:rPr>
              <w:t>%</w:t>
            </w:r>
          </w:p>
        </w:tc>
        <w:tc>
          <w:tcPr>
            <w:tcW w:w="1629" w:type="dxa"/>
            <w:tcBorders>
              <w:top w:val="single" w:sz="4" w:space="0" w:color="auto"/>
              <w:left w:val="nil"/>
              <w:bottom w:val="single" w:sz="4" w:space="0" w:color="666666"/>
              <w:right w:val="nil"/>
            </w:tcBorders>
            <w:vAlign w:val="center"/>
          </w:tcPr>
          <w:p w14:paraId="6060F06C" w14:textId="77777777" w:rsidR="00314DAE" w:rsidRPr="00243400" w:rsidRDefault="002D02CB" w:rsidP="00D51EA0">
            <w:pPr>
              <w:spacing w:after="0"/>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w:t>
            </w:r>
            <w:r w:rsidR="00314DAE" w:rsidRPr="00243400">
              <w:rPr>
                <w:rFonts w:ascii="Segoe UI" w:eastAsia="Times New Roman" w:hAnsi="Segoe UI" w:cs="Segoe UI"/>
                <w:bCs/>
                <w:color w:val="666666"/>
                <w:sz w:val="16"/>
                <w:szCs w:val="16"/>
              </w:rPr>
              <w:t>%</w:t>
            </w:r>
          </w:p>
        </w:tc>
        <w:tc>
          <w:tcPr>
            <w:tcW w:w="1632" w:type="dxa"/>
            <w:tcBorders>
              <w:top w:val="single" w:sz="4" w:space="0" w:color="auto"/>
              <w:left w:val="nil"/>
              <w:bottom w:val="single" w:sz="4" w:space="0" w:color="666666"/>
              <w:right w:val="nil"/>
            </w:tcBorders>
            <w:vAlign w:val="center"/>
          </w:tcPr>
          <w:p w14:paraId="01F446CA" w14:textId="77777777" w:rsidR="00314DAE" w:rsidRPr="00243400" w:rsidRDefault="00314DAE" w:rsidP="00D51EA0">
            <w:pPr>
              <w:spacing w:after="0"/>
              <w:jc w:val="right"/>
              <w:rPr>
                <w:rFonts w:ascii="Segoe UI" w:eastAsia="Times New Roman" w:hAnsi="Segoe UI" w:cs="Segoe UI"/>
                <w:bCs/>
                <w:color w:val="666666"/>
                <w:sz w:val="16"/>
                <w:szCs w:val="16"/>
              </w:rPr>
            </w:pPr>
            <w:r w:rsidRPr="00243400">
              <w:rPr>
                <w:rFonts w:ascii="Segoe UI" w:eastAsia="Times New Roman" w:hAnsi="Segoe UI" w:cs="Segoe UI"/>
                <w:bCs/>
                <w:color w:val="666666"/>
                <w:sz w:val="16"/>
                <w:szCs w:val="16"/>
              </w:rPr>
              <w:t>(</w:t>
            </w:r>
            <w:proofErr w:type="gramStart"/>
            <w:r w:rsidR="002D02CB">
              <w:rPr>
                <w:rFonts w:ascii="Segoe UI" w:eastAsia="Times New Roman" w:hAnsi="Segoe UI" w:cs="Segoe UI"/>
                <w:bCs/>
                <w:color w:val="666666"/>
                <w:sz w:val="16"/>
                <w:szCs w:val="16"/>
              </w:rPr>
              <w:t>7</w:t>
            </w:r>
            <w:r w:rsidRPr="00243400">
              <w:rPr>
                <w:rFonts w:ascii="Segoe UI" w:eastAsia="Times New Roman" w:hAnsi="Segoe UI" w:cs="Segoe UI"/>
                <w:bCs/>
                <w:color w:val="666666"/>
                <w:sz w:val="16"/>
                <w:szCs w:val="16"/>
              </w:rPr>
              <w:t>)%</w:t>
            </w:r>
            <w:proofErr w:type="gramEnd"/>
          </w:p>
        </w:tc>
      </w:tr>
    </w:tbl>
    <w:p w14:paraId="753B15C8" w14:textId="77777777" w:rsidR="00314DAE" w:rsidRPr="00243400" w:rsidRDefault="00314DAE" w:rsidP="00314DAE">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314DAE" w:rsidRPr="00243400" w14:paraId="23D94FBA" w14:textId="77777777" w:rsidTr="00D51EA0">
        <w:trPr>
          <w:trHeight w:val="340"/>
        </w:trPr>
        <w:tc>
          <w:tcPr>
            <w:tcW w:w="4608" w:type="dxa"/>
            <w:tcBorders>
              <w:top w:val="nil"/>
              <w:left w:val="nil"/>
              <w:bottom w:val="single" w:sz="8" w:space="0" w:color="auto"/>
              <w:right w:val="nil"/>
            </w:tcBorders>
          </w:tcPr>
          <w:p w14:paraId="76BF9D14" w14:textId="77777777" w:rsidR="00314DAE" w:rsidRPr="00243400" w:rsidRDefault="00314DAE" w:rsidP="00D51EA0">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2FF9F92F"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 xml:space="preserve">Three Months Ended </w:t>
            </w:r>
            <w:r w:rsidR="00F441A5">
              <w:rPr>
                <w:rFonts w:ascii="Segoe UI" w:eastAsia="Times New Roman" w:hAnsi="Segoe UI" w:cs="Segoe UI"/>
                <w:b/>
                <w:bCs/>
                <w:color w:val="666666"/>
                <w:sz w:val="16"/>
                <w:szCs w:val="16"/>
              </w:rPr>
              <w:t xml:space="preserve">March </w:t>
            </w:r>
            <w:r w:rsidRPr="00243400">
              <w:rPr>
                <w:rFonts w:ascii="Segoe UI" w:eastAsia="Times New Roman" w:hAnsi="Segoe UI" w:cs="Segoe UI"/>
                <w:b/>
                <w:bCs/>
                <w:color w:val="666666"/>
                <w:sz w:val="16"/>
                <w:szCs w:val="16"/>
              </w:rPr>
              <w:t>31,</w:t>
            </w:r>
          </w:p>
        </w:tc>
      </w:tr>
      <w:tr w:rsidR="00314DAE" w:rsidRPr="00243400" w14:paraId="3C547F5D" w14:textId="77777777" w:rsidTr="00D51EA0">
        <w:trPr>
          <w:trHeight w:val="432"/>
        </w:trPr>
        <w:tc>
          <w:tcPr>
            <w:tcW w:w="4608" w:type="dxa"/>
            <w:tcBorders>
              <w:top w:val="single" w:sz="8" w:space="0" w:color="666666"/>
              <w:left w:val="nil"/>
              <w:bottom w:val="single" w:sz="8" w:space="0" w:color="666666"/>
              <w:right w:val="nil"/>
            </w:tcBorders>
            <w:vAlign w:val="bottom"/>
            <w:hideMark/>
          </w:tcPr>
          <w:p w14:paraId="62D44944" w14:textId="77777777" w:rsidR="00314DAE" w:rsidRPr="00243400" w:rsidRDefault="00314DAE" w:rsidP="00D51EA0">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050BA679"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2AFE3199"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74C1728D" w14:textId="77777777" w:rsidR="00314DAE" w:rsidRPr="00243400" w:rsidRDefault="00314DAE" w:rsidP="00D51EA0">
            <w:pPr>
              <w:spacing w:after="0"/>
              <w:jc w:val="center"/>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Percentage Change Y/Y (non-GAAP) Constant Currency</w:t>
            </w:r>
          </w:p>
        </w:tc>
      </w:tr>
      <w:tr w:rsidR="00373983" w:rsidRPr="00243400" w14:paraId="440F8F96" w14:textId="77777777" w:rsidTr="00D51EA0">
        <w:trPr>
          <w:trHeight w:val="288"/>
        </w:trPr>
        <w:tc>
          <w:tcPr>
            <w:tcW w:w="4608" w:type="dxa"/>
            <w:tcBorders>
              <w:top w:val="single" w:sz="8" w:space="0" w:color="666666"/>
              <w:left w:val="nil"/>
              <w:bottom w:val="single" w:sz="4" w:space="0" w:color="auto"/>
              <w:right w:val="nil"/>
            </w:tcBorders>
            <w:noWrap/>
            <w:vAlign w:val="center"/>
          </w:tcPr>
          <w:p w14:paraId="10A6DB3E"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6C35A5CC" w14:textId="77777777" w:rsidR="00373983" w:rsidRPr="00243400" w:rsidRDefault="0042339F" w:rsidP="0037398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r w:rsidR="00373983" w:rsidRPr="00243400">
              <w:rPr>
                <w:rFonts w:ascii="Segoe UI" w:eastAsia="Times New Roman" w:hAnsi="Segoe UI" w:cs="Segoe UI"/>
                <w:b/>
                <w:bCs/>
                <w:color w:val="666666"/>
                <w:sz w:val="16"/>
                <w:szCs w:val="16"/>
              </w:rPr>
              <w:t>%</w:t>
            </w:r>
          </w:p>
        </w:tc>
        <w:tc>
          <w:tcPr>
            <w:tcW w:w="1629" w:type="dxa"/>
            <w:tcBorders>
              <w:top w:val="single" w:sz="8" w:space="0" w:color="666666"/>
              <w:left w:val="nil"/>
              <w:bottom w:val="single" w:sz="4" w:space="0" w:color="auto"/>
              <w:right w:val="nil"/>
            </w:tcBorders>
            <w:vAlign w:val="center"/>
          </w:tcPr>
          <w:p w14:paraId="61267FDD" w14:textId="77777777" w:rsidR="00373983" w:rsidRPr="00243400" w:rsidRDefault="0042339F" w:rsidP="0037398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73983" w:rsidRPr="00243400">
              <w:rPr>
                <w:rFonts w:ascii="Segoe UI" w:eastAsia="Times New Roman" w:hAnsi="Segoe UI" w:cs="Segoe UI"/>
                <w:b/>
                <w:bCs/>
                <w:color w:val="666666"/>
                <w:sz w:val="16"/>
                <w:szCs w:val="16"/>
              </w:rPr>
              <w:t>%</w:t>
            </w:r>
          </w:p>
        </w:tc>
        <w:tc>
          <w:tcPr>
            <w:tcW w:w="1632" w:type="dxa"/>
            <w:tcBorders>
              <w:top w:val="single" w:sz="8" w:space="0" w:color="666666"/>
              <w:left w:val="nil"/>
              <w:bottom w:val="single" w:sz="4" w:space="0" w:color="auto"/>
              <w:right w:val="nil"/>
            </w:tcBorders>
            <w:vAlign w:val="center"/>
          </w:tcPr>
          <w:p w14:paraId="1D042BC3" w14:textId="77777777" w:rsidR="00373983" w:rsidRPr="00243400" w:rsidRDefault="0042339F" w:rsidP="0037398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373983" w:rsidRPr="00243400">
              <w:rPr>
                <w:rFonts w:ascii="Segoe UI" w:eastAsia="Times New Roman" w:hAnsi="Segoe UI" w:cs="Segoe UI"/>
                <w:b/>
                <w:bCs/>
                <w:color w:val="666666"/>
                <w:sz w:val="16"/>
                <w:szCs w:val="16"/>
              </w:rPr>
              <w:t>%</w:t>
            </w:r>
          </w:p>
        </w:tc>
      </w:tr>
      <w:tr w:rsidR="00373983" w:rsidRPr="00243400" w14:paraId="2AE250A9" w14:textId="77777777" w:rsidTr="00D51EA0">
        <w:trPr>
          <w:trHeight w:val="288"/>
        </w:trPr>
        <w:tc>
          <w:tcPr>
            <w:tcW w:w="4608" w:type="dxa"/>
            <w:tcBorders>
              <w:top w:val="single" w:sz="4" w:space="0" w:color="auto"/>
              <w:left w:val="nil"/>
              <w:bottom w:val="single" w:sz="4" w:space="0" w:color="auto"/>
              <w:right w:val="nil"/>
            </w:tcBorders>
            <w:noWrap/>
            <w:vAlign w:val="center"/>
          </w:tcPr>
          <w:p w14:paraId="24044CBA"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5400503D"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45</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B1317BE" w14:textId="77777777" w:rsidR="00373983" w:rsidRPr="00E9365A" w:rsidRDefault="00E50CD0"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373983" w:rsidRPr="00E9365A">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68296DD" w14:textId="77777777" w:rsidR="00373983" w:rsidRPr="00E9365A" w:rsidRDefault="00E50CD0"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45</w:t>
            </w:r>
            <w:r w:rsidR="00373983" w:rsidRPr="00E9365A">
              <w:rPr>
                <w:rFonts w:ascii="Segoe UI" w:eastAsia="Times New Roman" w:hAnsi="Segoe UI" w:cs="Segoe UI"/>
                <w:b/>
                <w:bCs/>
                <w:color w:val="666666"/>
                <w:sz w:val="16"/>
                <w:szCs w:val="16"/>
              </w:rPr>
              <w:t>%</w:t>
            </w:r>
          </w:p>
        </w:tc>
      </w:tr>
      <w:tr w:rsidR="00373983" w:rsidRPr="00243400" w14:paraId="61C82368" w14:textId="77777777" w:rsidTr="00D51EA0">
        <w:trPr>
          <w:trHeight w:val="288"/>
        </w:trPr>
        <w:tc>
          <w:tcPr>
            <w:tcW w:w="4608" w:type="dxa"/>
            <w:tcBorders>
              <w:top w:val="single" w:sz="4" w:space="0" w:color="auto"/>
              <w:left w:val="nil"/>
              <w:bottom w:val="single" w:sz="4" w:space="0" w:color="auto"/>
              <w:right w:val="nil"/>
            </w:tcBorders>
            <w:noWrap/>
            <w:vAlign w:val="center"/>
          </w:tcPr>
          <w:p w14:paraId="473D3BF6"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13321AAC"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0435E4D9" w14:textId="77777777" w:rsidR="00373983" w:rsidRPr="00243400" w:rsidRDefault="00026EFD"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sidR="0029681C">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373983" w:rsidRPr="00243400">
              <w:rPr>
                <w:rFonts w:ascii="Segoe UI" w:eastAsia="Times New Roman" w:hAnsi="Segoe UI" w:cs="Segoe UI"/>
                <w:b/>
                <w:bCs/>
                <w:color w:val="666666"/>
                <w:sz w:val="16"/>
                <w:szCs w:val="16"/>
              </w:rPr>
              <w:t>%</w:t>
            </w:r>
            <w:proofErr w:type="gramEnd"/>
          </w:p>
        </w:tc>
        <w:tc>
          <w:tcPr>
            <w:tcW w:w="1632" w:type="dxa"/>
            <w:tcBorders>
              <w:top w:val="single" w:sz="4" w:space="0" w:color="auto"/>
              <w:left w:val="nil"/>
              <w:bottom w:val="single" w:sz="4" w:space="0" w:color="auto"/>
              <w:right w:val="nil"/>
            </w:tcBorders>
            <w:vAlign w:val="center"/>
          </w:tcPr>
          <w:p w14:paraId="2298FA54" w14:textId="77777777" w:rsidR="00373983" w:rsidRPr="00243400" w:rsidRDefault="00026EFD"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14</w:t>
            </w:r>
            <w:r w:rsidR="00373983" w:rsidRPr="00243400">
              <w:rPr>
                <w:rFonts w:ascii="Segoe UI" w:eastAsia="Times New Roman" w:hAnsi="Segoe UI" w:cs="Segoe UI"/>
                <w:b/>
                <w:bCs/>
                <w:color w:val="666666"/>
                <w:sz w:val="16"/>
                <w:szCs w:val="16"/>
              </w:rPr>
              <w:t>%</w:t>
            </w:r>
          </w:p>
        </w:tc>
      </w:tr>
      <w:tr w:rsidR="00373983" w:rsidRPr="00243400" w14:paraId="5C5C46E4" w14:textId="77777777" w:rsidTr="00D51EA0">
        <w:trPr>
          <w:trHeight w:val="288"/>
        </w:trPr>
        <w:tc>
          <w:tcPr>
            <w:tcW w:w="4608" w:type="dxa"/>
            <w:tcBorders>
              <w:top w:val="single" w:sz="4" w:space="0" w:color="auto"/>
              <w:left w:val="nil"/>
              <w:bottom w:val="single" w:sz="4" w:space="0" w:color="auto"/>
              <w:right w:val="nil"/>
            </w:tcBorders>
            <w:noWrap/>
            <w:vAlign w:val="center"/>
          </w:tcPr>
          <w:p w14:paraId="56034424"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565A007A"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10</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55D13BA2"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73983"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56E9A498"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11</w:t>
            </w:r>
            <w:r w:rsidR="00373983" w:rsidRPr="00243400">
              <w:rPr>
                <w:rFonts w:ascii="Segoe UI" w:eastAsia="Times New Roman" w:hAnsi="Segoe UI" w:cs="Segoe UI"/>
                <w:b/>
                <w:bCs/>
                <w:color w:val="666666"/>
                <w:sz w:val="16"/>
                <w:szCs w:val="16"/>
              </w:rPr>
              <w:t>%</w:t>
            </w:r>
          </w:p>
        </w:tc>
      </w:tr>
      <w:tr w:rsidR="00A7290C" w:rsidRPr="00243400" w14:paraId="43F44BA0" w14:textId="77777777" w:rsidTr="00D51EA0">
        <w:trPr>
          <w:trHeight w:val="288"/>
        </w:trPr>
        <w:tc>
          <w:tcPr>
            <w:tcW w:w="4608" w:type="dxa"/>
            <w:tcBorders>
              <w:top w:val="single" w:sz="4" w:space="0" w:color="auto"/>
              <w:left w:val="nil"/>
              <w:bottom w:val="single" w:sz="4" w:space="0" w:color="auto"/>
              <w:right w:val="nil"/>
            </w:tcBorders>
            <w:noWrap/>
            <w:vAlign w:val="center"/>
          </w:tcPr>
          <w:p w14:paraId="5B187357" w14:textId="77777777" w:rsidR="00A7290C" w:rsidRPr="00243400" w:rsidRDefault="00A7290C" w:rsidP="0037398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540DBAA1" w14:textId="77777777" w:rsidR="00A7290C" w:rsidRDefault="00A7290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81%</w:t>
            </w:r>
          </w:p>
        </w:tc>
        <w:tc>
          <w:tcPr>
            <w:tcW w:w="1629" w:type="dxa"/>
            <w:tcBorders>
              <w:top w:val="single" w:sz="4" w:space="0" w:color="auto"/>
              <w:left w:val="nil"/>
              <w:bottom w:val="single" w:sz="4" w:space="0" w:color="auto"/>
              <w:right w:val="nil"/>
            </w:tcBorders>
            <w:vAlign w:val="center"/>
          </w:tcPr>
          <w:p w14:paraId="2DBD8D27" w14:textId="77777777" w:rsidR="00A7290C" w:rsidRDefault="00A7290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p>
        </w:tc>
        <w:tc>
          <w:tcPr>
            <w:tcW w:w="1632" w:type="dxa"/>
            <w:tcBorders>
              <w:top w:val="single" w:sz="4" w:space="0" w:color="auto"/>
              <w:left w:val="nil"/>
              <w:bottom w:val="single" w:sz="4" w:space="0" w:color="auto"/>
              <w:right w:val="nil"/>
            </w:tcBorders>
            <w:vAlign w:val="center"/>
          </w:tcPr>
          <w:p w14:paraId="5BDCE2C3" w14:textId="77777777" w:rsidR="00A7290C" w:rsidRDefault="00A7290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82%</w:t>
            </w:r>
          </w:p>
        </w:tc>
      </w:tr>
      <w:tr w:rsidR="00373983" w:rsidRPr="00243400" w14:paraId="70770A73" w14:textId="77777777" w:rsidTr="00D51EA0">
        <w:trPr>
          <w:trHeight w:val="288"/>
        </w:trPr>
        <w:tc>
          <w:tcPr>
            <w:tcW w:w="4608" w:type="dxa"/>
            <w:tcBorders>
              <w:top w:val="single" w:sz="4" w:space="0" w:color="auto"/>
              <w:left w:val="nil"/>
              <w:bottom w:val="single" w:sz="4" w:space="0" w:color="auto"/>
              <w:right w:val="nil"/>
            </w:tcBorders>
            <w:noWrap/>
            <w:vAlign w:val="center"/>
          </w:tcPr>
          <w:p w14:paraId="0E060B79"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18F2EC56"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A616EBE"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73983"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6E23E26" w14:textId="77777777" w:rsidR="00373983" w:rsidRPr="00243400" w:rsidRDefault="0029681C"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16</w:t>
            </w:r>
            <w:r w:rsidR="00373983" w:rsidRPr="00243400">
              <w:rPr>
                <w:rFonts w:ascii="Segoe UI" w:eastAsia="Times New Roman" w:hAnsi="Segoe UI" w:cs="Segoe UI"/>
                <w:b/>
                <w:bCs/>
                <w:color w:val="666666"/>
                <w:sz w:val="16"/>
                <w:szCs w:val="16"/>
              </w:rPr>
              <w:t>%</w:t>
            </w:r>
          </w:p>
        </w:tc>
      </w:tr>
      <w:tr w:rsidR="00373983" w:rsidRPr="00243400" w14:paraId="2FF20026" w14:textId="77777777" w:rsidTr="00D51EA0">
        <w:trPr>
          <w:trHeight w:val="288"/>
        </w:trPr>
        <w:tc>
          <w:tcPr>
            <w:tcW w:w="4608" w:type="dxa"/>
            <w:tcBorders>
              <w:top w:val="single" w:sz="4" w:space="0" w:color="auto"/>
              <w:left w:val="nil"/>
              <w:bottom w:val="single" w:sz="4" w:space="0" w:color="auto"/>
              <w:right w:val="nil"/>
            </w:tcBorders>
            <w:noWrap/>
            <w:vAlign w:val="center"/>
          </w:tcPr>
          <w:p w14:paraId="21D8C508"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140B8313" w14:textId="77777777" w:rsidR="00373983" w:rsidRPr="00E9365A" w:rsidRDefault="00E9365A" w:rsidP="00E9365A">
            <w:pPr>
              <w:spacing w:after="0"/>
              <w:ind w:firstLine="82"/>
              <w:jc w:val="right"/>
              <w:rPr>
                <w:rFonts w:ascii="Segoe UI" w:eastAsia="Times New Roman" w:hAnsi="Segoe UI" w:cs="Segoe UI"/>
                <w:b/>
                <w:bCs/>
                <w:color w:val="666666"/>
                <w:sz w:val="16"/>
                <w:szCs w:val="16"/>
              </w:rPr>
            </w:pPr>
            <w:r w:rsidRPr="00E9365A">
              <w:rPr>
                <w:rFonts w:ascii="Segoe UI" w:eastAsia="Times New Roman" w:hAnsi="Segoe UI" w:cs="Segoe UI"/>
                <w:b/>
                <w:bCs/>
                <w:color w:val="666666"/>
                <w:sz w:val="16"/>
                <w:szCs w:val="16"/>
              </w:rPr>
              <w:t>93</w:t>
            </w:r>
            <w:r w:rsidR="00373983" w:rsidRPr="00E9365A">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18B0281A" w14:textId="77777777" w:rsidR="00373983" w:rsidRPr="00E9365A" w:rsidRDefault="00E9365A" w:rsidP="00E9365A">
            <w:pPr>
              <w:spacing w:after="0"/>
              <w:ind w:firstLine="82"/>
              <w:jc w:val="right"/>
              <w:rPr>
                <w:rFonts w:ascii="Segoe UI" w:eastAsia="Times New Roman" w:hAnsi="Segoe UI" w:cs="Segoe UI"/>
                <w:b/>
                <w:bCs/>
                <w:color w:val="666666"/>
                <w:sz w:val="16"/>
                <w:szCs w:val="16"/>
              </w:rPr>
            </w:pPr>
            <w:r w:rsidRPr="00E9365A">
              <w:rPr>
                <w:rFonts w:ascii="Segoe UI" w:eastAsia="Times New Roman" w:hAnsi="Segoe UI" w:cs="Segoe UI"/>
                <w:b/>
                <w:bCs/>
                <w:color w:val="666666"/>
                <w:sz w:val="16"/>
                <w:szCs w:val="16"/>
              </w:rPr>
              <w:t>1</w:t>
            </w:r>
            <w:r w:rsidR="00373983" w:rsidRPr="00E9365A">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38FF29C3" w14:textId="77777777" w:rsidR="00373983" w:rsidRPr="00E9365A" w:rsidRDefault="00E9365A" w:rsidP="00E9365A">
            <w:pPr>
              <w:spacing w:after="0"/>
              <w:ind w:firstLine="82"/>
              <w:jc w:val="right"/>
              <w:rPr>
                <w:rFonts w:ascii="Segoe UI" w:eastAsia="Times New Roman" w:hAnsi="Segoe UI" w:cs="Segoe UI"/>
                <w:b/>
                <w:bCs/>
                <w:color w:val="666666"/>
                <w:sz w:val="16"/>
                <w:szCs w:val="16"/>
              </w:rPr>
            </w:pPr>
            <w:r w:rsidRPr="00E9365A">
              <w:rPr>
                <w:rFonts w:ascii="Segoe UI" w:eastAsia="Times New Roman" w:hAnsi="Segoe UI" w:cs="Segoe UI"/>
                <w:b/>
                <w:bCs/>
                <w:color w:val="666666"/>
                <w:sz w:val="16"/>
                <w:szCs w:val="16"/>
              </w:rPr>
              <w:t>94</w:t>
            </w:r>
            <w:r w:rsidR="00373983" w:rsidRPr="00E9365A">
              <w:rPr>
                <w:rFonts w:ascii="Segoe UI" w:eastAsia="Times New Roman" w:hAnsi="Segoe UI" w:cs="Segoe UI"/>
                <w:b/>
                <w:bCs/>
                <w:color w:val="666666"/>
                <w:sz w:val="16"/>
                <w:szCs w:val="16"/>
              </w:rPr>
              <w:t>%</w:t>
            </w:r>
          </w:p>
        </w:tc>
      </w:tr>
      <w:tr w:rsidR="00373983" w:rsidRPr="00243400" w14:paraId="4A39452C" w14:textId="77777777" w:rsidTr="00D51EA0">
        <w:trPr>
          <w:trHeight w:val="288"/>
        </w:trPr>
        <w:tc>
          <w:tcPr>
            <w:tcW w:w="4608" w:type="dxa"/>
            <w:tcBorders>
              <w:top w:val="single" w:sz="4" w:space="0" w:color="auto"/>
              <w:left w:val="nil"/>
              <w:bottom w:val="single" w:sz="4" w:space="0" w:color="auto"/>
              <w:right w:val="nil"/>
            </w:tcBorders>
            <w:noWrap/>
            <w:vAlign w:val="center"/>
          </w:tcPr>
          <w:p w14:paraId="71FC7144"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7C923822" w14:textId="77777777" w:rsidR="00373983" w:rsidRPr="00243400" w:rsidRDefault="00EB0E32"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sidR="00FA3DB9">
              <w:rPr>
                <w:rFonts w:ascii="Segoe UI" w:eastAsia="Times New Roman" w:hAnsi="Segoe UI" w:cs="Segoe UI"/>
                <w:b/>
                <w:bCs/>
                <w:color w:val="666666"/>
                <w:sz w:val="16"/>
                <w:szCs w:val="16"/>
              </w:rPr>
              <w:t>1</w:t>
            </w:r>
            <w:r>
              <w:rPr>
                <w:rFonts w:ascii="Segoe UI" w:eastAsia="Times New Roman" w:hAnsi="Segoe UI" w:cs="Segoe UI"/>
                <w:b/>
                <w:bCs/>
                <w:color w:val="666666"/>
                <w:sz w:val="16"/>
                <w:szCs w:val="16"/>
              </w:rPr>
              <w:t>)</w:t>
            </w:r>
            <w:r w:rsidR="00373983" w:rsidRPr="00243400">
              <w:rPr>
                <w:rFonts w:ascii="Segoe UI" w:eastAsia="Times New Roman" w:hAnsi="Segoe UI" w:cs="Segoe UI"/>
                <w:b/>
                <w:bCs/>
                <w:color w:val="666666"/>
                <w:sz w:val="16"/>
                <w:szCs w:val="16"/>
              </w:rPr>
              <w:t>%</w:t>
            </w:r>
            <w:proofErr w:type="gramEnd"/>
          </w:p>
        </w:tc>
        <w:tc>
          <w:tcPr>
            <w:tcW w:w="1629" w:type="dxa"/>
            <w:tcBorders>
              <w:top w:val="single" w:sz="4" w:space="0" w:color="auto"/>
              <w:left w:val="nil"/>
              <w:bottom w:val="single" w:sz="4" w:space="0" w:color="auto"/>
              <w:right w:val="nil"/>
            </w:tcBorders>
            <w:vAlign w:val="center"/>
          </w:tcPr>
          <w:p w14:paraId="10806910"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73983"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294B5644"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373983" w:rsidRPr="00243400">
              <w:rPr>
                <w:rFonts w:ascii="Segoe UI" w:eastAsia="Times New Roman" w:hAnsi="Segoe UI" w:cs="Segoe UI"/>
                <w:b/>
                <w:bCs/>
                <w:color w:val="666666"/>
                <w:sz w:val="16"/>
                <w:szCs w:val="16"/>
              </w:rPr>
              <w:t>%</w:t>
            </w:r>
          </w:p>
        </w:tc>
      </w:tr>
      <w:tr w:rsidR="00373983" w:rsidRPr="00243400" w14:paraId="052A6EE7" w14:textId="77777777" w:rsidTr="00D51EA0">
        <w:trPr>
          <w:trHeight w:val="288"/>
        </w:trPr>
        <w:tc>
          <w:tcPr>
            <w:tcW w:w="4608" w:type="dxa"/>
            <w:tcBorders>
              <w:top w:val="single" w:sz="4" w:space="0" w:color="auto"/>
              <w:left w:val="nil"/>
              <w:bottom w:val="single" w:sz="4" w:space="0" w:color="auto"/>
              <w:right w:val="nil"/>
            </w:tcBorders>
            <w:noWrap/>
            <w:vAlign w:val="center"/>
          </w:tcPr>
          <w:p w14:paraId="121F73FE"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5BB183EE" w14:textId="77777777" w:rsidR="00373983" w:rsidRPr="00E9365A" w:rsidRDefault="00FE64CA"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w:t>
            </w:r>
            <w:r w:rsidR="00373983" w:rsidRPr="00E9365A">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441F2531" w14:textId="77777777" w:rsidR="00373983" w:rsidRPr="00E9365A" w:rsidRDefault="00FE64CA"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373983" w:rsidRPr="00E9365A">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79E29992" w14:textId="77777777" w:rsidR="00373983" w:rsidRPr="00E9365A" w:rsidRDefault="00FE64CA"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5</w:t>
            </w:r>
            <w:r w:rsidR="00373983" w:rsidRPr="00E9365A">
              <w:rPr>
                <w:rFonts w:ascii="Segoe UI" w:eastAsia="Times New Roman" w:hAnsi="Segoe UI" w:cs="Segoe UI"/>
                <w:b/>
                <w:bCs/>
                <w:color w:val="666666"/>
                <w:sz w:val="16"/>
                <w:szCs w:val="16"/>
              </w:rPr>
              <w:t>%</w:t>
            </w:r>
          </w:p>
        </w:tc>
      </w:tr>
      <w:tr w:rsidR="00373983" w:rsidRPr="00243400" w14:paraId="40230ED0" w14:textId="77777777" w:rsidTr="00D51EA0">
        <w:trPr>
          <w:trHeight w:val="288"/>
        </w:trPr>
        <w:tc>
          <w:tcPr>
            <w:tcW w:w="4608" w:type="dxa"/>
            <w:tcBorders>
              <w:top w:val="single" w:sz="4" w:space="0" w:color="auto"/>
              <w:left w:val="nil"/>
              <w:bottom w:val="single" w:sz="4" w:space="0" w:color="auto"/>
              <w:right w:val="nil"/>
            </w:tcBorders>
            <w:noWrap/>
            <w:vAlign w:val="center"/>
          </w:tcPr>
          <w:p w14:paraId="47ED46F2"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vAlign w:val="center"/>
          </w:tcPr>
          <w:p w14:paraId="74C78023"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48BB0D5"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373983"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E0BA76F"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6</w:t>
            </w:r>
            <w:r w:rsidR="00373983" w:rsidRPr="00243400">
              <w:rPr>
                <w:rFonts w:ascii="Segoe UI" w:eastAsia="Times New Roman" w:hAnsi="Segoe UI" w:cs="Segoe UI"/>
                <w:b/>
                <w:bCs/>
                <w:color w:val="666666"/>
                <w:sz w:val="16"/>
                <w:szCs w:val="16"/>
              </w:rPr>
              <w:t>%</w:t>
            </w:r>
          </w:p>
        </w:tc>
      </w:tr>
      <w:tr w:rsidR="00986B85" w:rsidRPr="00243400" w14:paraId="6D631E4B" w14:textId="77777777" w:rsidTr="00D51EA0">
        <w:trPr>
          <w:trHeight w:val="288"/>
        </w:trPr>
        <w:tc>
          <w:tcPr>
            <w:tcW w:w="4608" w:type="dxa"/>
            <w:tcBorders>
              <w:top w:val="single" w:sz="4" w:space="0" w:color="auto"/>
              <w:left w:val="nil"/>
              <w:bottom w:val="single" w:sz="4" w:space="0" w:color="auto"/>
              <w:right w:val="nil"/>
            </w:tcBorders>
            <w:noWrap/>
            <w:vAlign w:val="center"/>
          </w:tcPr>
          <w:p w14:paraId="1BFC11F7" w14:textId="77777777" w:rsidR="00986B85" w:rsidRPr="00C613B0" w:rsidRDefault="00986B85" w:rsidP="00373983">
            <w:pPr>
              <w:spacing w:after="0"/>
              <w:rPr>
                <w:rFonts w:ascii="Segoe UI" w:eastAsia="Times New Roman" w:hAnsi="Segoe UI" w:cs="Segoe UI"/>
                <w:b/>
                <w:bCs/>
                <w:color w:val="666666"/>
                <w:sz w:val="16"/>
                <w:szCs w:val="16"/>
              </w:rPr>
            </w:pPr>
            <w:r w:rsidRPr="00C613B0">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3049E063" w14:textId="77777777" w:rsidR="00986B85" w:rsidRPr="00C613B0" w:rsidRDefault="00986B85" w:rsidP="00E9365A">
            <w:pPr>
              <w:spacing w:after="0"/>
              <w:ind w:firstLine="82"/>
              <w:jc w:val="right"/>
              <w:rPr>
                <w:rFonts w:ascii="Segoe UI" w:eastAsia="Times New Roman" w:hAnsi="Segoe UI" w:cs="Segoe UI"/>
                <w:b/>
                <w:bCs/>
                <w:color w:val="666666"/>
                <w:sz w:val="16"/>
                <w:szCs w:val="16"/>
              </w:rPr>
            </w:pPr>
            <w:r w:rsidRPr="00C613B0">
              <w:rPr>
                <w:rFonts w:ascii="Segoe UI" w:eastAsia="Times New Roman" w:hAnsi="Segoe UI" w:cs="Segoe UI"/>
                <w:b/>
                <w:bCs/>
                <w:color w:val="666666"/>
                <w:sz w:val="16"/>
                <w:szCs w:val="16"/>
              </w:rPr>
              <w:t>(</w:t>
            </w:r>
            <w:proofErr w:type="gramStart"/>
            <w:r w:rsidRPr="00C613B0">
              <w:rPr>
                <w:rFonts w:ascii="Segoe UI" w:eastAsia="Times New Roman" w:hAnsi="Segoe UI" w:cs="Segoe UI"/>
                <w:b/>
                <w:bCs/>
                <w:color w:val="666666"/>
                <w:sz w:val="16"/>
                <w:szCs w:val="16"/>
              </w:rPr>
              <w:t>26)%</w:t>
            </w:r>
            <w:proofErr w:type="gramEnd"/>
          </w:p>
        </w:tc>
        <w:tc>
          <w:tcPr>
            <w:tcW w:w="1629" w:type="dxa"/>
            <w:tcBorders>
              <w:top w:val="single" w:sz="4" w:space="0" w:color="auto"/>
              <w:left w:val="nil"/>
              <w:bottom w:val="single" w:sz="4" w:space="0" w:color="auto"/>
              <w:right w:val="nil"/>
            </w:tcBorders>
            <w:vAlign w:val="center"/>
          </w:tcPr>
          <w:p w14:paraId="1D31FD86" w14:textId="77777777" w:rsidR="00986B85" w:rsidRPr="00C613B0" w:rsidRDefault="00986B85" w:rsidP="00E9365A">
            <w:pPr>
              <w:spacing w:after="0"/>
              <w:ind w:firstLine="82"/>
              <w:jc w:val="right"/>
              <w:rPr>
                <w:rFonts w:ascii="Segoe UI" w:eastAsia="Times New Roman" w:hAnsi="Segoe UI" w:cs="Segoe UI"/>
                <w:b/>
                <w:bCs/>
                <w:color w:val="666666"/>
                <w:sz w:val="16"/>
                <w:szCs w:val="16"/>
              </w:rPr>
            </w:pPr>
            <w:r w:rsidRPr="00C613B0">
              <w:rPr>
                <w:rFonts w:ascii="Segoe UI" w:eastAsia="Times New Roman" w:hAnsi="Segoe UI" w:cs="Segoe UI"/>
                <w:b/>
                <w:bCs/>
                <w:color w:val="666666"/>
                <w:sz w:val="16"/>
                <w:szCs w:val="16"/>
              </w:rPr>
              <w:t>1%</w:t>
            </w:r>
          </w:p>
        </w:tc>
        <w:tc>
          <w:tcPr>
            <w:tcW w:w="1632" w:type="dxa"/>
            <w:tcBorders>
              <w:top w:val="single" w:sz="4" w:space="0" w:color="auto"/>
              <w:left w:val="nil"/>
              <w:bottom w:val="single" w:sz="4" w:space="0" w:color="auto"/>
              <w:right w:val="nil"/>
            </w:tcBorders>
            <w:vAlign w:val="center"/>
          </w:tcPr>
          <w:p w14:paraId="21D7C311" w14:textId="77777777" w:rsidR="00986B85" w:rsidRPr="00C613B0" w:rsidRDefault="00986B85" w:rsidP="00E9365A">
            <w:pPr>
              <w:spacing w:after="0"/>
              <w:ind w:firstLine="82"/>
              <w:jc w:val="right"/>
              <w:rPr>
                <w:rFonts w:ascii="Segoe UI" w:eastAsia="Times New Roman" w:hAnsi="Segoe UI" w:cs="Segoe UI"/>
                <w:b/>
                <w:bCs/>
                <w:color w:val="666666"/>
                <w:sz w:val="16"/>
                <w:szCs w:val="16"/>
              </w:rPr>
            </w:pPr>
            <w:r w:rsidRPr="00C613B0">
              <w:rPr>
                <w:rFonts w:ascii="Segoe UI" w:eastAsia="Times New Roman" w:hAnsi="Segoe UI" w:cs="Segoe UI"/>
                <w:b/>
                <w:bCs/>
                <w:color w:val="666666"/>
                <w:sz w:val="16"/>
                <w:szCs w:val="16"/>
              </w:rPr>
              <w:t>(</w:t>
            </w:r>
            <w:proofErr w:type="gramStart"/>
            <w:r w:rsidRPr="00C613B0">
              <w:rPr>
                <w:rFonts w:ascii="Segoe UI" w:eastAsia="Times New Roman" w:hAnsi="Segoe UI" w:cs="Segoe UI"/>
                <w:b/>
                <w:bCs/>
                <w:color w:val="666666"/>
                <w:sz w:val="16"/>
                <w:szCs w:val="16"/>
              </w:rPr>
              <w:t>25)%</w:t>
            </w:r>
            <w:proofErr w:type="gramEnd"/>
          </w:p>
        </w:tc>
      </w:tr>
      <w:tr w:rsidR="00373983" w:rsidRPr="00243400" w14:paraId="0C00F9D0" w14:textId="77777777" w:rsidTr="00D51EA0">
        <w:trPr>
          <w:trHeight w:val="288"/>
        </w:trPr>
        <w:tc>
          <w:tcPr>
            <w:tcW w:w="4608" w:type="dxa"/>
            <w:tcBorders>
              <w:top w:val="single" w:sz="4" w:space="0" w:color="auto"/>
              <w:left w:val="nil"/>
              <w:bottom w:val="single" w:sz="4" w:space="0" w:color="auto"/>
              <w:right w:val="nil"/>
            </w:tcBorders>
            <w:noWrap/>
            <w:vAlign w:val="center"/>
          </w:tcPr>
          <w:p w14:paraId="0E8E0927"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vAlign w:val="center"/>
          </w:tcPr>
          <w:p w14:paraId="7A01D1D7"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2DC198C"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73983" w:rsidRPr="00243400">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0CCCDD3" w14:textId="77777777" w:rsidR="00373983" w:rsidRPr="00243400" w:rsidRDefault="00FA3DB9"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9</w:t>
            </w:r>
            <w:r w:rsidR="00373983" w:rsidRPr="00243400">
              <w:rPr>
                <w:rFonts w:ascii="Segoe UI" w:eastAsia="Times New Roman" w:hAnsi="Segoe UI" w:cs="Segoe UI"/>
                <w:b/>
                <w:bCs/>
                <w:color w:val="666666"/>
                <w:sz w:val="16"/>
                <w:szCs w:val="16"/>
              </w:rPr>
              <w:t>%</w:t>
            </w:r>
          </w:p>
        </w:tc>
      </w:tr>
      <w:tr w:rsidR="00373983" w:rsidRPr="00243400" w14:paraId="318F1145" w14:textId="77777777" w:rsidTr="00D51EA0">
        <w:trPr>
          <w:trHeight w:val="288"/>
        </w:trPr>
        <w:tc>
          <w:tcPr>
            <w:tcW w:w="4608" w:type="dxa"/>
            <w:tcBorders>
              <w:top w:val="single" w:sz="4" w:space="0" w:color="auto"/>
              <w:left w:val="nil"/>
              <w:bottom w:val="single" w:sz="4" w:space="0" w:color="auto"/>
              <w:right w:val="nil"/>
            </w:tcBorders>
            <w:noWrap/>
            <w:vAlign w:val="center"/>
          </w:tcPr>
          <w:p w14:paraId="1C7C5218" w14:textId="77777777" w:rsidR="00373983" w:rsidRPr="00243400" w:rsidRDefault="00373983" w:rsidP="00373983">
            <w:pPr>
              <w:spacing w:after="0"/>
              <w:rPr>
                <w:rFonts w:ascii="Segoe UI" w:eastAsia="Times New Roman" w:hAnsi="Segoe UI" w:cs="Segoe UI"/>
                <w:b/>
                <w:bCs/>
                <w:color w:val="666666"/>
                <w:sz w:val="16"/>
                <w:szCs w:val="16"/>
              </w:rPr>
            </w:pPr>
            <w:r w:rsidRPr="00243400">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686618AA" w14:textId="77777777" w:rsidR="00373983" w:rsidRPr="00243400" w:rsidRDefault="0046492B" w:rsidP="00E9365A">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373983" w:rsidRPr="00243400">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FCD2992" w14:textId="77777777" w:rsidR="00373983" w:rsidRPr="00E9365A" w:rsidRDefault="00E9365A" w:rsidP="00E9365A">
            <w:pPr>
              <w:spacing w:after="0"/>
              <w:ind w:firstLine="82"/>
              <w:jc w:val="right"/>
              <w:rPr>
                <w:rFonts w:ascii="Segoe UI" w:eastAsia="Times New Roman" w:hAnsi="Segoe UI" w:cs="Segoe UI"/>
                <w:b/>
                <w:bCs/>
                <w:color w:val="666666"/>
                <w:sz w:val="16"/>
                <w:szCs w:val="16"/>
              </w:rPr>
            </w:pPr>
            <w:r w:rsidRPr="00E9365A">
              <w:rPr>
                <w:rFonts w:ascii="Segoe UI" w:eastAsia="Times New Roman" w:hAnsi="Segoe UI" w:cs="Segoe UI"/>
                <w:b/>
                <w:bCs/>
                <w:color w:val="666666"/>
                <w:sz w:val="16"/>
                <w:szCs w:val="16"/>
              </w:rPr>
              <w:t>2</w:t>
            </w:r>
            <w:r w:rsidR="00373983" w:rsidRPr="00E9365A">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6CC08A85" w14:textId="77777777" w:rsidR="00373983" w:rsidRPr="00E9365A" w:rsidRDefault="00E9365A" w:rsidP="00E9365A">
            <w:pPr>
              <w:spacing w:after="0"/>
              <w:ind w:firstLine="82"/>
              <w:jc w:val="right"/>
              <w:rPr>
                <w:rFonts w:ascii="Segoe UI" w:eastAsia="Times New Roman" w:hAnsi="Segoe UI" w:cs="Segoe UI"/>
                <w:b/>
                <w:bCs/>
                <w:color w:val="666666"/>
                <w:sz w:val="16"/>
                <w:szCs w:val="16"/>
              </w:rPr>
            </w:pPr>
            <w:r w:rsidRPr="00E9365A">
              <w:rPr>
                <w:rFonts w:ascii="Segoe UI" w:eastAsia="Times New Roman" w:hAnsi="Segoe UI" w:cs="Segoe UI"/>
                <w:b/>
                <w:bCs/>
                <w:color w:val="666666"/>
                <w:sz w:val="16"/>
                <w:szCs w:val="16"/>
              </w:rPr>
              <w:t>6</w:t>
            </w:r>
            <w:r w:rsidR="00373983" w:rsidRPr="00E9365A">
              <w:rPr>
                <w:rFonts w:ascii="Segoe UI" w:eastAsia="Times New Roman" w:hAnsi="Segoe UI" w:cs="Segoe UI"/>
                <w:b/>
                <w:bCs/>
                <w:color w:val="666666"/>
                <w:sz w:val="16"/>
                <w:szCs w:val="16"/>
              </w:rPr>
              <w:t>%</w:t>
            </w:r>
          </w:p>
        </w:tc>
      </w:tr>
    </w:tbl>
    <w:p w14:paraId="58964EC5" w14:textId="77777777" w:rsidR="00314DAE" w:rsidRPr="00243400" w:rsidRDefault="00314DAE" w:rsidP="00314DAE">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1958B914" w14:textId="77777777" w:rsidR="00314DAE" w:rsidRPr="00243400" w:rsidRDefault="00314DAE" w:rsidP="00314DAE">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Commercial Cloud Annualized Revenue Run Rate </w:t>
      </w:r>
    </w:p>
    <w:p w14:paraId="7BC1021D"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Commercial cloud annualized revenue run rate is calculated by taking revenue in the final month of the quarter multiplied by twelve for Office 365 commercial, Azure, Dynamics 365, and other cloud properties.</w:t>
      </w:r>
    </w:p>
    <w:p w14:paraId="367B082C" w14:textId="77777777" w:rsidR="00314DAE" w:rsidRPr="00243400" w:rsidRDefault="00314DAE" w:rsidP="00314DAE">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About Microsoft</w:t>
      </w:r>
    </w:p>
    <w:p w14:paraId="28F560B8"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 (Nasdaq “MSFT” @</w:t>
      </w:r>
      <w:proofErr w:type="spellStart"/>
      <w:r w:rsidRPr="00243400">
        <w:rPr>
          <w:rFonts w:ascii="Segoe UI" w:hAnsi="Segoe UI" w:cs="Segoe UI"/>
          <w:color w:val="666666"/>
          <w:sz w:val="20"/>
          <w:szCs w:val="20"/>
        </w:rPr>
        <w:t>microsoft</w:t>
      </w:r>
      <w:proofErr w:type="spellEnd"/>
      <w:r w:rsidRPr="00243400">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688C396D" w14:textId="77777777" w:rsidR="00314DAE" w:rsidRPr="00243400" w:rsidRDefault="00314DAE" w:rsidP="00314DAE">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Forward-Looking Statements</w:t>
      </w:r>
    </w:p>
    <w:p w14:paraId="6683E87B"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6D7AA760"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intense competition in all of Microsoft’s markets;</w:t>
      </w:r>
    </w:p>
    <w:p w14:paraId="1573EEE9"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increasing focus on services presents execution and competitive risks;</w:t>
      </w:r>
    </w:p>
    <w:p w14:paraId="1BA11CD1"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significant investments in new products and services that may not be profitable;</w:t>
      </w:r>
    </w:p>
    <w:p w14:paraId="0EDB2BEF"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acquisitions, joint ventures, and strategic alliances may have an adverse effect on our business;</w:t>
      </w:r>
    </w:p>
    <w:p w14:paraId="09313789"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impairment of goodwill or amortizable intangible assets causing a significant charge to earnings;</w:t>
      </w:r>
    </w:p>
    <w:p w14:paraId="402C2FBA"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Microsoft’s continued ability to protect and earn revenues from its intellectual property rights;</w:t>
      </w:r>
    </w:p>
    <w:p w14:paraId="7A2FCBCF"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claims that Microsoft has infringed the intellectual property rights of others;</w:t>
      </w:r>
    </w:p>
    <w:p w14:paraId="16AAAADB"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the possibility of unauthorized disclosure of significant portions of Microsoft’s source code;</w:t>
      </w:r>
    </w:p>
    <w:p w14:paraId="2C694157"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cyber-attacks and security vulnerabilities in Microsoft products and services that could reduce revenue or lead to liability;</w:t>
      </w:r>
    </w:p>
    <w:p w14:paraId="5CFC7FC5"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disclosure of personal data that could cause liability and harm to Microsoft’s reputation; </w:t>
      </w:r>
    </w:p>
    <w:p w14:paraId="5DBE8840"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outages, data losses, and disruptions of our online services if we fail to maintain an adequate operations infrastructure;</w:t>
      </w:r>
    </w:p>
    <w:p w14:paraId="717DD75D"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government litigation and regulation that may limit how Microsoft designs and markets its products;</w:t>
      </w:r>
    </w:p>
    <w:p w14:paraId="03BBFC01"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potential liability under trade protection and anti-corruption laws resulting from our international operations;</w:t>
      </w:r>
    </w:p>
    <w:p w14:paraId="5DBF7785"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laws and regulations relating to the handling of personal data may impede the adoption of our services or result in increased costs, legal claims, or fines against us;</w:t>
      </w:r>
    </w:p>
    <w:p w14:paraId="15591C42"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Microsoft’s ability to attract and retain talented employees;</w:t>
      </w:r>
    </w:p>
    <w:p w14:paraId="169DDBE2"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adverse results in legal disputes;</w:t>
      </w:r>
    </w:p>
    <w:p w14:paraId="410920A7"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unanticipated tax liabilities;</w:t>
      </w:r>
    </w:p>
    <w:p w14:paraId="16367F50"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Microsoft’s hardware and software products may experience quality or supply problems;</w:t>
      </w:r>
    </w:p>
    <w:p w14:paraId="43BECEF8"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exposure to increased economic and operational uncertainties from operating a global business, including the effects of foreign currency exchange;</w:t>
      </w:r>
    </w:p>
    <w:p w14:paraId="0A16CEB2"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catastrophic events or geo-political conditions may disrupt our business; and</w:t>
      </w:r>
    </w:p>
    <w:p w14:paraId="28044AE6" w14:textId="77777777" w:rsidR="00314DAE" w:rsidRPr="00243400" w:rsidRDefault="00314DAE" w:rsidP="00314DAE">
      <w:pPr>
        <w:pStyle w:val="NoSpacing"/>
        <w:numPr>
          <w:ilvl w:val="0"/>
          <w:numId w:val="1"/>
        </w:numPr>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adverse economic or market conditions may harm our business.</w:t>
      </w:r>
    </w:p>
    <w:p w14:paraId="47BA10ED" w14:textId="77777777" w:rsidR="00314DAE" w:rsidRPr="00243400" w:rsidRDefault="00314DAE" w:rsidP="00314DAE">
      <w:pPr>
        <w:pStyle w:val="NoSpacing"/>
        <w:spacing w:before="240" w:after="240" w:line="276" w:lineRule="auto"/>
        <w:rPr>
          <w:color w:val="666666"/>
        </w:rPr>
      </w:pPr>
      <w:r w:rsidRPr="00243400">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8" w:history="1">
        <w:r w:rsidRPr="00243400">
          <w:rPr>
            <w:rStyle w:val="Hyperlink"/>
            <w:color w:val="666666"/>
          </w:rPr>
          <w:t>http://www.microsoft.com/en-us/investor</w:t>
        </w:r>
      </w:hyperlink>
      <w:r w:rsidRPr="00243400">
        <w:rPr>
          <w:rFonts w:ascii="Segoe UI" w:hAnsi="Segoe UI" w:cs="Segoe UI"/>
          <w:color w:val="666666"/>
          <w:sz w:val="20"/>
          <w:szCs w:val="20"/>
        </w:rPr>
        <w:t>.</w:t>
      </w:r>
    </w:p>
    <w:p w14:paraId="482836DA"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All information in this release is as of </w:t>
      </w:r>
      <w:r w:rsidR="00F441A5">
        <w:rPr>
          <w:rFonts w:ascii="Segoe UI" w:hAnsi="Segoe UI" w:cs="Segoe UI"/>
          <w:color w:val="666666"/>
          <w:sz w:val="20"/>
          <w:szCs w:val="20"/>
        </w:rPr>
        <w:t xml:space="preserve">April </w:t>
      </w:r>
      <w:r w:rsidRPr="00243400">
        <w:rPr>
          <w:rFonts w:ascii="Segoe UI" w:hAnsi="Segoe UI" w:cs="Segoe UI"/>
          <w:color w:val="666666"/>
          <w:sz w:val="20"/>
          <w:szCs w:val="20"/>
        </w:rPr>
        <w:t>2</w:t>
      </w:r>
      <w:r w:rsidR="00F441A5">
        <w:rPr>
          <w:rFonts w:ascii="Segoe UI" w:hAnsi="Segoe UI" w:cs="Segoe UI"/>
          <w:color w:val="666666"/>
          <w:sz w:val="20"/>
          <w:szCs w:val="20"/>
        </w:rPr>
        <w:t>7</w:t>
      </w:r>
      <w:r w:rsidRPr="00243400">
        <w:rPr>
          <w:rFonts w:ascii="Segoe UI" w:hAnsi="Segoe UI" w:cs="Segoe UI"/>
          <w:color w:val="666666"/>
          <w:sz w:val="20"/>
          <w:szCs w:val="20"/>
        </w:rPr>
        <w:t>, 2017. The company undertakes no duty to update any forward-looking statement to conform the statement to actual results or changes in the company’s expectations.</w:t>
      </w:r>
    </w:p>
    <w:p w14:paraId="49CD3278" w14:textId="77777777" w:rsidR="00314DAE" w:rsidRPr="00243400" w:rsidRDefault="00314DAE" w:rsidP="00314DAE">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For more information, press only: </w:t>
      </w:r>
    </w:p>
    <w:p w14:paraId="6016074C"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Rapid Response Team, Waggener Edstrom Worldwide, (503) 443-7070, </w:t>
      </w:r>
      <w:hyperlink r:id="rId9" w:history="1">
        <w:r w:rsidRPr="00243400">
          <w:rPr>
            <w:color w:val="666666"/>
          </w:rPr>
          <w:t>rrt@waggeneredstrom.com</w:t>
        </w:r>
      </w:hyperlink>
    </w:p>
    <w:p w14:paraId="4822E96B" w14:textId="77777777" w:rsidR="00314DAE" w:rsidRPr="00243400" w:rsidRDefault="00314DAE" w:rsidP="00314DAE">
      <w:pPr>
        <w:pStyle w:val="NoSpacing"/>
        <w:spacing w:before="240" w:after="240" w:line="276"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 xml:space="preserve">For more information, financial analysts and investors only: </w:t>
      </w:r>
    </w:p>
    <w:p w14:paraId="7E617C8B" w14:textId="77777777" w:rsidR="00314DAE" w:rsidRPr="0024340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Chris Suh, general manager, Investor Relations, (425) 706-4400</w:t>
      </w:r>
    </w:p>
    <w:p w14:paraId="7CF3D60E" w14:textId="48B70962" w:rsidR="00D51EA0" w:rsidRDefault="00314DAE" w:rsidP="00314DAE">
      <w:pPr>
        <w:pStyle w:val="NoSpacing"/>
        <w:spacing w:before="240" w:after="240" w:line="276" w:lineRule="auto"/>
        <w:rPr>
          <w:rFonts w:ascii="Segoe UI" w:hAnsi="Segoe UI" w:cs="Segoe UI"/>
          <w:color w:val="666666"/>
          <w:sz w:val="20"/>
          <w:szCs w:val="20"/>
        </w:rPr>
      </w:pPr>
      <w:r w:rsidRPr="00243400">
        <w:rPr>
          <w:rFonts w:ascii="Segoe UI" w:hAnsi="Segoe UI" w:cs="Segoe UI"/>
          <w:color w:val="666666"/>
          <w:sz w:val="20"/>
          <w:szCs w:val="20"/>
        </w:rPr>
        <w:t xml:space="preserve">Note to editors: For more information, news and perspectives from Microsoft, please visit the Microsoft News Center at </w:t>
      </w:r>
      <w:hyperlink r:id="rId10" w:history="1">
        <w:r w:rsidRPr="00243400">
          <w:rPr>
            <w:rStyle w:val="Hyperlink"/>
            <w:color w:val="666666"/>
          </w:rPr>
          <w:t>http://www.microsoft.com/news</w:t>
        </w:r>
      </w:hyperlink>
      <w:r w:rsidRPr="00243400">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1" w:history="1">
        <w:r w:rsidRPr="00243400">
          <w:rPr>
            <w:rStyle w:val="Hyperlink"/>
            <w:color w:val="666666"/>
          </w:rPr>
          <w:t>http://www.microsoft.com/en-us/investor</w:t>
        </w:r>
      </w:hyperlink>
      <w:r w:rsidRPr="00243400">
        <w:rPr>
          <w:rFonts w:ascii="Segoe UI" w:hAnsi="Segoe UI" w:cs="Segoe UI"/>
          <w:color w:val="666666"/>
          <w:sz w:val="20"/>
          <w:szCs w:val="20"/>
        </w:rPr>
        <w:t>.</w:t>
      </w:r>
      <w:bookmarkStart w:id="4" w:name="RANGE!A1:H31"/>
      <w:bookmarkStart w:id="5" w:name="RANGE!A1:D29"/>
      <w:bookmarkStart w:id="6" w:name="RANGE!A1:D47"/>
      <w:bookmarkStart w:id="7" w:name="RANGE!A1:D15"/>
      <w:bookmarkStart w:id="8" w:name="RANGE!A1:H49"/>
      <w:bookmarkStart w:id="9" w:name="RANGE!A1:D48"/>
      <w:bookmarkStart w:id="10" w:name="RANGE!A1:D49"/>
      <w:bookmarkStart w:id="11" w:name="RANGE!A1:H28"/>
      <w:bookmarkStart w:id="12" w:name="RANGE!A1:D25"/>
      <w:bookmarkEnd w:id="4"/>
      <w:bookmarkEnd w:id="5"/>
      <w:bookmarkEnd w:id="6"/>
      <w:bookmarkEnd w:id="7"/>
      <w:bookmarkEnd w:id="8"/>
      <w:bookmarkEnd w:id="9"/>
      <w:bookmarkEnd w:id="10"/>
      <w:bookmarkEnd w:id="11"/>
      <w:bookmarkEnd w:id="12"/>
    </w:p>
    <w:p w14:paraId="30EFCB12" w14:textId="0485745A" w:rsidR="004A31B2" w:rsidRDefault="004A31B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7881" w:type="dxa"/>
        <w:tblLook w:val="04A0" w:firstRow="1" w:lastRow="0" w:firstColumn="1" w:lastColumn="0" w:noHBand="0" w:noVBand="1"/>
      </w:tblPr>
      <w:tblGrid>
        <w:gridCol w:w="3260"/>
        <w:gridCol w:w="1100"/>
        <w:gridCol w:w="272"/>
        <w:gridCol w:w="960"/>
        <w:gridCol w:w="272"/>
        <w:gridCol w:w="1200"/>
        <w:gridCol w:w="272"/>
        <w:gridCol w:w="960"/>
      </w:tblGrid>
      <w:tr w:rsidR="004A31B2" w:rsidRPr="004A31B2" w14:paraId="555619C0" w14:textId="77777777" w:rsidTr="004A31B2">
        <w:trPr>
          <w:trHeight w:val="300"/>
        </w:trPr>
        <w:tc>
          <w:tcPr>
            <w:tcW w:w="3260" w:type="dxa"/>
            <w:tcBorders>
              <w:top w:val="nil"/>
              <w:left w:val="nil"/>
              <w:bottom w:val="nil"/>
              <w:right w:val="nil"/>
            </w:tcBorders>
            <w:shd w:val="clear" w:color="auto" w:fill="auto"/>
            <w:noWrap/>
            <w:vAlign w:val="bottom"/>
            <w:hideMark/>
          </w:tcPr>
          <w:p w14:paraId="6FE8FF38" w14:textId="77777777" w:rsidR="004A31B2" w:rsidRPr="004A31B2" w:rsidRDefault="004A31B2" w:rsidP="004A31B2">
            <w:pPr>
              <w:spacing w:after="0" w:line="240" w:lineRule="auto"/>
              <w:rPr>
                <w:rFonts w:ascii="Segoe UI" w:eastAsia="Times New Roman" w:hAnsi="Segoe UI" w:cs="Segoe UI"/>
                <w:b/>
                <w:bCs/>
                <w:color w:val="666666"/>
                <w:sz w:val="20"/>
                <w:szCs w:val="20"/>
              </w:rPr>
            </w:pPr>
            <w:bookmarkStart w:id="13" w:name="RANGE!A1"/>
            <w:r w:rsidRPr="004A31B2">
              <w:rPr>
                <w:rFonts w:ascii="Segoe UI" w:eastAsia="Times New Roman" w:hAnsi="Segoe UI" w:cs="Segoe UI"/>
                <w:b/>
                <w:bCs/>
                <w:color w:val="666666"/>
                <w:sz w:val="20"/>
                <w:szCs w:val="20"/>
              </w:rPr>
              <w:t>MICROSOFT CORPORATION</w:t>
            </w:r>
            <w:bookmarkEnd w:id="13"/>
          </w:p>
        </w:tc>
        <w:tc>
          <w:tcPr>
            <w:tcW w:w="1100" w:type="dxa"/>
            <w:tcBorders>
              <w:top w:val="nil"/>
              <w:left w:val="nil"/>
              <w:bottom w:val="nil"/>
              <w:right w:val="nil"/>
            </w:tcBorders>
            <w:shd w:val="clear" w:color="auto" w:fill="auto"/>
            <w:noWrap/>
            <w:vAlign w:val="bottom"/>
            <w:hideMark/>
          </w:tcPr>
          <w:p w14:paraId="5893EC6C"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3DE1C66C"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1985F940" w14:textId="77777777" w:rsidR="004A31B2" w:rsidRPr="004A31B2" w:rsidRDefault="004A31B2" w:rsidP="004A31B2">
            <w:pPr>
              <w:spacing w:after="0" w:line="240" w:lineRule="auto"/>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43B7C1D3"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B93909E"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671FFCD9"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51340FFC"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7EB5D44F" w14:textId="77777777" w:rsidTr="004A31B2">
        <w:trPr>
          <w:trHeight w:val="300"/>
        </w:trPr>
        <w:tc>
          <w:tcPr>
            <w:tcW w:w="3260" w:type="dxa"/>
            <w:tcBorders>
              <w:top w:val="nil"/>
              <w:left w:val="nil"/>
              <w:bottom w:val="nil"/>
              <w:right w:val="nil"/>
            </w:tcBorders>
            <w:shd w:val="clear" w:color="auto" w:fill="auto"/>
            <w:noWrap/>
            <w:vAlign w:val="bottom"/>
            <w:hideMark/>
          </w:tcPr>
          <w:p w14:paraId="6326C778"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00" w:type="dxa"/>
            <w:tcBorders>
              <w:top w:val="nil"/>
              <w:left w:val="nil"/>
              <w:bottom w:val="nil"/>
              <w:right w:val="nil"/>
            </w:tcBorders>
            <w:shd w:val="clear" w:color="auto" w:fill="auto"/>
            <w:noWrap/>
            <w:vAlign w:val="bottom"/>
            <w:hideMark/>
          </w:tcPr>
          <w:p w14:paraId="61BF35EF"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7F850EE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E98ADA6" w14:textId="77777777" w:rsidR="004A31B2" w:rsidRPr="004A31B2" w:rsidRDefault="004A31B2" w:rsidP="004A31B2">
            <w:pPr>
              <w:spacing w:after="0" w:line="240" w:lineRule="auto"/>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324A7FF7"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F1BE538"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C3581EB"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C5CF7D"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096E9F99" w14:textId="77777777" w:rsidTr="004A31B2">
        <w:trPr>
          <w:trHeight w:val="300"/>
        </w:trPr>
        <w:tc>
          <w:tcPr>
            <w:tcW w:w="7881" w:type="dxa"/>
            <w:gridSpan w:val="8"/>
            <w:tcBorders>
              <w:top w:val="nil"/>
              <w:left w:val="nil"/>
              <w:bottom w:val="nil"/>
              <w:right w:val="nil"/>
            </w:tcBorders>
            <w:shd w:val="clear" w:color="auto" w:fill="auto"/>
            <w:noWrap/>
            <w:vAlign w:val="bottom"/>
            <w:hideMark/>
          </w:tcPr>
          <w:p w14:paraId="209EDC1A"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INCOME STATEMENTS</w:t>
            </w:r>
          </w:p>
        </w:tc>
      </w:tr>
      <w:tr w:rsidR="004A31B2" w:rsidRPr="004A31B2" w14:paraId="77BC673E" w14:textId="77777777" w:rsidTr="004A31B2">
        <w:trPr>
          <w:trHeight w:val="300"/>
        </w:trPr>
        <w:tc>
          <w:tcPr>
            <w:tcW w:w="7881" w:type="dxa"/>
            <w:gridSpan w:val="8"/>
            <w:tcBorders>
              <w:top w:val="nil"/>
              <w:left w:val="nil"/>
              <w:bottom w:val="nil"/>
              <w:right w:val="nil"/>
            </w:tcBorders>
            <w:shd w:val="clear" w:color="auto" w:fill="auto"/>
            <w:noWrap/>
            <w:vAlign w:val="bottom"/>
            <w:hideMark/>
          </w:tcPr>
          <w:p w14:paraId="73ED755D"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(In millions, except per share </w:t>
            </w:r>
            <w:proofErr w:type="gramStart"/>
            <w:r w:rsidRPr="004A31B2">
              <w:rPr>
                <w:rFonts w:ascii="Segoe UI" w:eastAsia="Times New Roman" w:hAnsi="Segoe UI" w:cs="Segoe UI"/>
                <w:color w:val="666666"/>
                <w:sz w:val="20"/>
                <w:szCs w:val="20"/>
              </w:rPr>
              <w:t>amounts)(</w:t>
            </w:r>
            <w:proofErr w:type="gramEnd"/>
            <w:r w:rsidRPr="004A31B2">
              <w:rPr>
                <w:rFonts w:ascii="Segoe UI" w:eastAsia="Times New Roman" w:hAnsi="Segoe UI" w:cs="Segoe UI"/>
                <w:color w:val="666666"/>
                <w:sz w:val="20"/>
                <w:szCs w:val="20"/>
              </w:rPr>
              <w:t>Unaudited)</w:t>
            </w:r>
          </w:p>
        </w:tc>
      </w:tr>
      <w:tr w:rsidR="004A31B2" w:rsidRPr="004A31B2" w14:paraId="23A57535" w14:textId="77777777" w:rsidTr="004A31B2">
        <w:trPr>
          <w:trHeight w:val="300"/>
        </w:trPr>
        <w:tc>
          <w:tcPr>
            <w:tcW w:w="3260" w:type="dxa"/>
            <w:tcBorders>
              <w:top w:val="nil"/>
              <w:left w:val="nil"/>
              <w:bottom w:val="nil"/>
              <w:right w:val="nil"/>
            </w:tcBorders>
            <w:shd w:val="clear" w:color="auto" w:fill="auto"/>
            <w:noWrap/>
            <w:vAlign w:val="bottom"/>
            <w:hideMark/>
          </w:tcPr>
          <w:p w14:paraId="11D1BC79"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p>
        </w:tc>
        <w:tc>
          <w:tcPr>
            <w:tcW w:w="1100" w:type="dxa"/>
            <w:tcBorders>
              <w:top w:val="nil"/>
              <w:left w:val="nil"/>
              <w:bottom w:val="nil"/>
              <w:right w:val="nil"/>
            </w:tcBorders>
            <w:shd w:val="clear" w:color="auto" w:fill="auto"/>
            <w:noWrap/>
            <w:vAlign w:val="bottom"/>
            <w:hideMark/>
          </w:tcPr>
          <w:p w14:paraId="363826AE"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330A7F2"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1CA7B460"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68BF88F6"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6F62727"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7C48B837"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0CD006E7" w14:textId="77777777" w:rsidR="004A31B2" w:rsidRPr="004A31B2" w:rsidRDefault="004A31B2" w:rsidP="004A31B2">
            <w:pPr>
              <w:spacing w:after="0" w:line="240" w:lineRule="auto"/>
              <w:jc w:val="center"/>
              <w:rPr>
                <w:rFonts w:ascii="Times New Roman" w:eastAsia="Times New Roman" w:hAnsi="Times New Roman"/>
                <w:sz w:val="20"/>
                <w:szCs w:val="20"/>
              </w:rPr>
            </w:pPr>
          </w:p>
        </w:tc>
      </w:tr>
      <w:tr w:rsidR="004A31B2" w:rsidRPr="004A31B2" w14:paraId="2C73863C" w14:textId="77777777" w:rsidTr="004A31B2">
        <w:trPr>
          <w:trHeight w:val="300"/>
        </w:trPr>
        <w:tc>
          <w:tcPr>
            <w:tcW w:w="3260" w:type="dxa"/>
            <w:tcBorders>
              <w:top w:val="nil"/>
              <w:left w:val="nil"/>
              <w:bottom w:val="nil"/>
              <w:right w:val="nil"/>
            </w:tcBorders>
            <w:shd w:val="clear" w:color="auto" w:fill="auto"/>
            <w:noWrap/>
            <w:vAlign w:val="bottom"/>
            <w:hideMark/>
          </w:tcPr>
          <w:p w14:paraId="1D8E28F4"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160" w:type="dxa"/>
            <w:gridSpan w:val="3"/>
            <w:vMerge w:val="restart"/>
            <w:tcBorders>
              <w:top w:val="nil"/>
              <w:left w:val="nil"/>
              <w:bottom w:val="nil"/>
              <w:right w:val="nil"/>
            </w:tcBorders>
            <w:shd w:val="clear" w:color="auto" w:fill="auto"/>
            <w:vAlign w:val="bottom"/>
            <w:hideMark/>
          </w:tcPr>
          <w:p w14:paraId="71C5E30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Three Months Ended March 31,</w:t>
            </w:r>
          </w:p>
        </w:tc>
        <w:tc>
          <w:tcPr>
            <w:tcW w:w="201" w:type="dxa"/>
            <w:tcBorders>
              <w:top w:val="nil"/>
              <w:left w:val="nil"/>
              <w:bottom w:val="nil"/>
              <w:right w:val="nil"/>
            </w:tcBorders>
            <w:shd w:val="clear" w:color="auto" w:fill="auto"/>
            <w:vAlign w:val="bottom"/>
            <w:hideMark/>
          </w:tcPr>
          <w:p w14:paraId="4FA404F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260" w:type="dxa"/>
            <w:gridSpan w:val="3"/>
            <w:vMerge w:val="restart"/>
            <w:tcBorders>
              <w:top w:val="nil"/>
              <w:left w:val="nil"/>
              <w:bottom w:val="nil"/>
              <w:right w:val="nil"/>
            </w:tcBorders>
            <w:shd w:val="clear" w:color="auto" w:fill="auto"/>
            <w:vAlign w:val="bottom"/>
            <w:hideMark/>
          </w:tcPr>
          <w:p w14:paraId="626088F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Nine Months Ended March 31,</w:t>
            </w:r>
          </w:p>
        </w:tc>
      </w:tr>
      <w:tr w:rsidR="004A31B2" w:rsidRPr="004A31B2" w14:paraId="1722216E" w14:textId="77777777" w:rsidTr="004A31B2">
        <w:trPr>
          <w:trHeight w:val="300"/>
        </w:trPr>
        <w:tc>
          <w:tcPr>
            <w:tcW w:w="3260" w:type="dxa"/>
            <w:tcBorders>
              <w:top w:val="nil"/>
              <w:left w:val="nil"/>
              <w:bottom w:val="nil"/>
              <w:right w:val="nil"/>
            </w:tcBorders>
            <w:shd w:val="clear" w:color="auto" w:fill="auto"/>
            <w:noWrap/>
            <w:vAlign w:val="bottom"/>
            <w:hideMark/>
          </w:tcPr>
          <w:p w14:paraId="66F1741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160" w:type="dxa"/>
            <w:gridSpan w:val="3"/>
            <w:vMerge/>
            <w:tcBorders>
              <w:top w:val="nil"/>
              <w:left w:val="nil"/>
              <w:bottom w:val="nil"/>
              <w:right w:val="nil"/>
            </w:tcBorders>
            <w:vAlign w:val="center"/>
            <w:hideMark/>
          </w:tcPr>
          <w:p w14:paraId="57FFEE26"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201" w:type="dxa"/>
            <w:tcBorders>
              <w:top w:val="nil"/>
              <w:left w:val="nil"/>
              <w:bottom w:val="nil"/>
              <w:right w:val="nil"/>
            </w:tcBorders>
            <w:shd w:val="clear" w:color="auto" w:fill="auto"/>
            <w:vAlign w:val="bottom"/>
            <w:hideMark/>
          </w:tcPr>
          <w:p w14:paraId="10600671" w14:textId="77777777" w:rsidR="004A31B2" w:rsidRPr="004A31B2" w:rsidRDefault="004A31B2" w:rsidP="004A31B2">
            <w:pPr>
              <w:spacing w:after="0" w:line="240" w:lineRule="auto"/>
              <w:rPr>
                <w:rFonts w:ascii="Times New Roman" w:eastAsia="Times New Roman" w:hAnsi="Times New Roman"/>
                <w:sz w:val="20"/>
                <w:szCs w:val="20"/>
              </w:rPr>
            </w:pPr>
          </w:p>
        </w:tc>
        <w:tc>
          <w:tcPr>
            <w:tcW w:w="2260" w:type="dxa"/>
            <w:gridSpan w:val="3"/>
            <w:vMerge/>
            <w:tcBorders>
              <w:top w:val="nil"/>
              <w:left w:val="nil"/>
              <w:bottom w:val="nil"/>
              <w:right w:val="nil"/>
            </w:tcBorders>
            <w:vAlign w:val="center"/>
            <w:hideMark/>
          </w:tcPr>
          <w:p w14:paraId="4EE3E056"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r>
      <w:tr w:rsidR="004A31B2" w:rsidRPr="004A31B2" w14:paraId="177E5382"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136938CE"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single" w:sz="4" w:space="0" w:color="auto"/>
              <w:right w:val="nil"/>
            </w:tcBorders>
            <w:shd w:val="clear" w:color="auto" w:fill="auto"/>
            <w:noWrap/>
            <w:vAlign w:val="bottom"/>
            <w:hideMark/>
          </w:tcPr>
          <w:p w14:paraId="46B4E10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242960C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62724B3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c>
          <w:tcPr>
            <w:tcW w:w="201" w:type="dxa"/>
            <w:tcBorders>
              <w:top w:val="nil"/>
              <w:left w:val="nil"/>
              <w:bottom w:val="single" w:sz="4" w:space="0" w:color="auto"/>
              <w:right w:val="nil"/>
            </w:tcBorders>
            <w:shd w:val="clear" w:color="auto" w:fill="auto"/>
            <w:noWrap/>
            <w:vAlign w:val="bottom"/>
            <w:hideMark/>
          </w:tcPr>
          <w:p w14:paraId="55BD760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065784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2FC338A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6F61D6E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r>
      <w:tr w:rsidR="004A31B2" w:rsidRPr="004A31B2" w14:paraId="055BDD25" w14:textId="77777777" w:rsidTr="004A31B2">
        <w:trPr>
          <w:trHeight w:val="300"/>
        </w:trPr>
        <w:tc>
          <w:tcPr>
            <w:tcW w:w="3260" w:type="dxa"/>
            <w:tcBorders>
              <w:top w:val="nil"/>
              <w:left w:val="nil"/>
              <w:bottom w:val="nil"/>
              <w:right w:val="nil"/>
            </w:tcBorders>
            <w:shd w:val="clear" w:color="auto" w:fill="auto"/>
            <w:noWrap/>
            <w:vAlign w:val="bottom"/>
            <w:hideMark/>
          </w:tcPr>
          <w:p w14:paraId="645651C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Revenue:</w:t>
            </w:r>
          </w:p>
        </w:tc>
        <w:tc>
          <w:tcPr>
            <w:tcW w:w="1100" w:type="dxa"/>
            <w:tcBorders>
              <w:top w:val="nil"/>
              <w:left w:val="nil"/>
              <w:bottom w:val="nil"/>
              <w:right w:val="nil"/>
            </w:tcBorders>
            <w:shd w:val="clear" w:color="auto" w:fill="auto"/>
            <w:noWrap/>
            <w:vAlign w:val="bottom"/>
            <w:hideMark/>
          </w:tcPr>
          <w:p w14:paraId="5E8D32C9"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69E238E3" w14:textId="77777777" w:rsidR="004A31B2" w:rsidRPr="004A31B2" w:rsidRDefault="004A31B2" w:rsidP="004A31B2">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6AD3D93" w14:textId="77777777" w:rsidR="004A31B2" w:rsidRPr="004A31B2" w:rsidRDefault="004A31B2" w:rsidP="004A31B2">
            <w:pPr>
              <w:spacing w:after="0" w:line="240" w:lineRule="auto"/>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5F1FF376" w14:textId="77777777" w:rsidR="004A31B2" w:rsidRPr="004A31B2" w:rsidRDefault="004A31B2" w:rsidP="004A31B2">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7CBE582"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4309ECB" w14:textId="77777777" w:rsidR="004A31B2" w:rsidRPr="004A31B2" w:rsidRDefault="004A31B2" w:rsidP="004A31B2">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848A12C"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27B34AF8" w14:textId="77777777" w:rsidTr="004A31B2">
        <w:trPr>
          <w:trHeight w:val="300"/>
        </w:trPr>
        <w:tc>
          <w:tcPr>
            <w:tcW w:w="3260" w:type="dxa"/>
            <w:tcBorders>
              <w:top w:val="nil"/>
              <w:left w:val="nil"/>
              <w:bottom w:val="nil"/>
              <w:right w:val="nil"/>
            </w:tcBorders>
            <w:shd w:val="clear" w:color="auto" w:fill="auto"/>
            <w:noWrap/>
            <w:vAlign w:val="bottom"/>
            <w:hideMark/>
          </w:tcPr>
          <w:p w14:paraId="303F84D9"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Product</w:t>
            </w:r>
          </w:p>
        </w:tc>
        <w:tc>
          <w:tcPr>
            <w:tcW w:w="1100" w:type="dxa"/>
            <w:tcBorders>
              <w:top w:val="nil"/>
              <w:left w:val="nil"/>
              <w:bottom w:val="nil"/>
              <w:right w:val="nil"/>
            </w:tcBorders>
            <w:shd w:val="clear" w:color="auto" w:fill="auto"/>
            <w:noWrap/>
            <w:vAlign w:val="bottom"/>
            <w:hideMark/>
          </w:tcPr>
          <w:p w14:paraId="0FD8395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$13,391 </w:t>
            </w:r>
          </w:p>
        </w:tc>
        <w:tc>
          <w:tcPr>
            <w:tcW w:w="100" w:type="dxa"/>
            <w:tcBorders>
              <w:top w:val="nil"/>
              <w:left w:val="nil"/>
              <w:bottom w:val="nil"/>
              <w:right w:val="nil"/>
            </w:tcBorders>
            <w:shd w:val="clear" w:color="auto" w:fill="auto"/>
            <w:noWrap/>
            <w:vAlign w:val="bottom"/>
            <w:hideMark/>
          </w:tcPr>
          <w:p w14:paraId="751CCDD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D12A2E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$14,321 </w:t>
            </w:r>
          </w:p>
        </w:tc>
        <w:tc>
          <w:tcPr>
            <w:tcW w:w="201" w:type="dxa"/>
            <w:tcBorders>
              <w:top w:val="nil"/>
              <w:left w:val="nil"/>
              <w:bottom w:val="nil"/>
              <w:right w:val="nil"/>
            </w:tcBorders>
            <w:shd w:val="clear" w:color="auto" w:fill="auto"/>
            <w:noWrap/>
            <w:vAlign w:val="bottom"/>
            <w:hideMark/>
          </w:tcPr>
          <w:p w14:paraId="7EFF547F"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459865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$43,421 </w:t>
            </w:r>
          </w:p>
        </w:tc>
        <w:tc>
          <w:tcPr>
            <w:tcW w:w="100" w:type="dxa"/>
            <w:tcBorders>
              <w:top w:val="nil"/>
              <w:left w:val="nil"/>
              <w:bottom w:val="nil"/>
              <w:right w:val="nil"/>
            </w:tcBorders>
            <w:shd w:val="clear" w:color="auto" w:fill="auto"/>
            <w:noWrap/>
            <w:vAlign w:val="bottom"/>
            <w:hideMark/>
          </w:tcPr>
          <w:p w14:paraId="1983C1B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EAAC0C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$47,514 </w:t>
            </w:r>
          </w:p>
        </w:tc>
      </w:tr>
      <w:tr w:rsidR="004A31B2" w:rsidRPr="004A31B2" w14:paraId="0A7A338F"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244FE57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Service and other</w:t>
            </w:r>
          </w:p>
        </w:tc>
        <w:tc>
          <w:tcPr>
            <w:tcW w:w="1100" w:type="dxa"/>
            <w:tcBorders>
              <w:top w:val="nil"/>
              <w:left w:val="nil"/>
              <w:bottom w:val="single" w:sz="4" w:space="0" w:color="auto"/>
              <w:right w:val="nil"/>
            </w:tcBorders>
            <w:shd w:val="clear" w:color="auto" w:fill="auto"/>
            <w:noWrap/>
            <w:vAlign w:val="bottom"/>
            <w:hideMark/>
          </w:tcPr>
          <w:p w14:paraId="2823944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8,699 </w:t>
            </w:r>
          </w:p>
        </w:tc>
        <w:tc>
          <w:tcPr>
            <w:tcW w:w="100" w:type="dxa"/>
            <w:tcBorders>
              <w:top w:val="nil"/>
              <w:left w:val="nil"/>
              <w:bottom w:val="nil"/>
              <w:right w:val="nil"/>
            </w:tcBorders>
            <w:shd w:val="clear" w:color="auto" w:fill="auto"/>
            <w:noWrap/>
            <w:vAlign w:val="bottom"/>
            <w:hideMark/>
          </w:tcPr>
          <w:p w14:paraId="77FC0D2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B92900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6,210 </w:t>
            </w:r>
          </w:p>
        </w:tc>
        <w:tc>
          <w:tcPr>
            <w:tcW w:w="201" w:type="dxa"/>
            <w:tcBorders>
              <w:top w:val="nil"/>
              <w:left w:val="nil"/>
              <w:bottom w:val="nil"/>
              <w:right w:val="nil"/>
            </w:tcBorders>
            <w:shd w:val="clear" w:color="auto" w:fill="auto"/>
            <w:noWrap/>
            <w:vAlign w:val="bottom"/>
            <w:hideMark/>
          </w:tcPr>
          <w:p w14:paraId="60AD23C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D41859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23,212 </w:t>
            </w:r>
          </w:p>
        </w:tc>
        <w:tc>
          <w:tcPr>
            <w:tcW w:w="100" w:type="dxa"/>
            <w:tcBorders>
              <w:top w:val="nil"/>
              <w:left w:val="nil"/>
              <w:bottom w:val="nil"/>
              <w:right w:val="nil"/>
            </w:tcBorders>
            <w:shd w:val="clear" w:color="auto" w:fill="auto"/>
            <w:noWrap/>
            <w:vAlign w:val="bottom"/>
            <w:hideMark/>
          </w:tcPr>
          <w:p w14:paraId="05ADFF7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F2D5DF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17,192 </w:t>
            </w:r>
          </w:p>
        </w:tc>
      </w:tr>
      <w:tr w:rsidR="004A31B2" w:rsidRPr="004A31B2" w14:paraId="33BF4C36"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0D18A73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revenue</w:t>
            </w:r>
          </w:p>
        </w:tc>
        <w:tc>
          <w:tcPr>
            <w:tcW w:w="1100" w:type="dxa"/>
            <w:tcBorders>
              <w:top w:val="nil"/>
              <w:left w:val="nil"/>
              <w:bottom w:val="single" w:sz="4" w:space="0" w:color="auto"/>
              <w:right w:val="nil"/>
            </w:tcBorders>
            <w:shd w:val="clear" w:color="auto" w:fill="auto"/>
            <w:noWrap/>
            <w:vAlign w:val="bottom"/>
            <w:hideMark/>
          </w:tcPr>
          <w:p w14:paraId="05D431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22,090 </w:t>
            </w:r>
          </w:p>
        </w:tc>
        <w:tc>
          <w:tcPr>
            <w:tcW w:w="100" w:type="dxa"/>
            <w:tcBorders>
              <w:top w:val="nil"/>
              <w:left w:val="nil"/>
              <w:bottom w:val="nil"/>
              <w:right w:val="nil"/>
            </w:tcBorders>
            <w:shd w:val="clear" w:color="auto" w:fill="auto"/>
            <w:noWrap/>
            <w:vAlign w:val="bottom"/>
            <w:hideMark/>
          </w:tcPr>
          <w:p w14:paraId="3875A53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44FAA7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20,531 </w:t>
            </w:r>
          </w:p>
        </w:tc>
        <w:tc>
          <w:tcPr>
            <w:tcW w:w="201" w:type="dxa"/>
            <w:tcBorders>
              <w:top w:val="nil"/>
              <w:left w:val="nil"/>
              <w:bottom w:val="nil"/>
              <w:right w:val="nil"/>
            </w:tcBorders>
            <w:shd w:val="clear" w:color="auto" w:fill="auto"/>
            <w:noWrap/>
            <w:vAlign w:val="bottom"/>
            <w:hideMark/>
          </w:tcPr>
          <w:p w14:paraId="4F4C34C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991BF6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66,633 </w:t>
            </w:r>
          </w:p>
        </w:tc>
        <w:tc>
          <w:tcPr>
            <w:tcW w:w="100" w:type="dxa"/>
            <w:tcBorders>
              <w:top w:val="nil"/>
              <w:left w:val="nil"/>
              <w:bottom w:val="nil"/>
              <w:right w:val="nil"/>
            </w:tcBorders>
            <w:shd w:val="clear" w:color="auto" w:fill="auto"/>
            <w:noWrap/>
            <w:vAlign w:val="bottom"/>
            <w:hideMark/>
          </w:tcPr>
          <w:p w14:paraId="2769086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0374D29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64,706 </w:t>
            </w:r>
          </w:p>
        </w:tc>
      </w:tr>
      <w:tr w:rsidR="004A31B2" w:rsidRPr="004A31B2" w14:paraId="2E14B322" w14:textId="77777777" w:rsidTr="004A31B2">
        <w:trPr>
          <w:trHeight w:val="300"/>
        </w:trPr>
        <w:tc>
          <w:tcPr>
            <w:tcW w:w="3260" w:type="dxa"/>
            <w:tcBorders>
              <w:top w:val="nil"/>
              <w:left w:val="nil"/>
              <w:bottom w:val="nil"/>
              <w:right w:val="nil"/>
            </w:tcBorders>
            <w:shd w:val="clear" w:color="auto" w:fill="auto"/>
            <w:noWrap/>
            <w:vAlign w:val="bottom"/>
            <w:hideMark/>
          </w:tcPr>
          <w:p w14:paraId="4CDB824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Cost of revenue:</w:t>
            </w:r>
          </w:p>
        </w:tc>
        <w:tc>
          <w:tcPr>
            <w:tcW w:w="1100" w:type="dxa"/>
            <w:tcBorders>
              <w:top w:val="nil"/>
              <w:left w:val="nil"/>
              <w:bottom w:val="nil"/>
              <w:right w:val="nil"/>
            </w:tcBorders>
            <w:shd w:val="clear" w:color="auto" w:fill="auto"/>
            <w:noWrap/>
            <w:vAlign w:val="bottom"/>
            <w:hideMark/>
          </w:tcPr>
          <w:p w14:paraId="1C224673"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69F55D07"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04FEB8AD"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3AFF843D"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780E54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6E811A9"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FFA3D76" w14:textId="77777777" w:rsidR="004A31B2" w:rsidRPr="004A31B2" w:rsidRDefault="004A31B2" w:rsidP="004A31B2">
            <w:pPr>
              <w:spacing w:after="0" w:line="240" w:lineRule="auto"/>
              <w:jc w:val="right"/>
              <w:rPr>
                <w:rFonts w:ascii="Times New Roman" w:eastAsia="Times New Roman" w:hAnsi="Times New Roman"/>
                <w:sz w:val="20"/>
                <w:szCs w:val="20"/>
              </w:rPr>
            </w:pPr>
          </w:p>
        </w:tc>
      </w:tr>
      <w:tr w:rsidR="004A31B2" w:rsidRPr="004A31B2" w14:paraId="5893BF3C" w14:textId="77777777" w:rsidTr="004A31B2">
        <w:trPr>
          <w:trHeight w:val="300"/>
        </w:trPr>
        <w:tc>
          <w:tcPr>
            <w:tcW w:w="3260" w:type="dxa"/>
            <w:tcBorders>
              <w:top w:val="nil"/>
              <w:left w:val="nil"/>
              <w:bottom w:val="nil"/>
              <w:right w:val="nil"/>
            </w:tcBorders>
            <w:shd w:val="clear" w:color="auto" w:fill="auto"/>
            <w:noWrap/>
            <w:vAlign w:val="bottom"/>
            <w:hideMark/>
          </w:tcPr>
          <w:p w14:paraId="6B28DBF7"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Product</w:t>
            </w:r>
          </w:p>
        </w:tc>
        <w:tc>
          <w:tcPr>
            <w:tcW w:w="1100" w:type="dxa"/>
            <w:tcBorders>
              <w:top w:val="nil"/>
              <w:left w:val="nil"/>
              <w:bottom w:val="nil"/>
              <w:right w:val="nil"/>
            </w:tcBorders>
            <w:shd w:val="clear" w:color="auto" w:fill="auto"/>
            <w:noWrap/>
            <w:vAlign w:val="bottom"/>
            <w:hideMark/>
          </w:tcPr>
          <w:p w14:paraId="198B90E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3,075 </w:t>
            </w:r>
          </w:p>
        </w:tc>
        <w:tc>
          <w:tcPr>
            <w:tcW w:w="100" w:type="dxa"/>
            <w:tcBorders>
              <w:top w:val="nil"/>
              <w:left w:val="nil"/>
              <w:bottom w:val="nil"/>
              <w:right w:val="nil"/>
            </w:tcBorders>
            <w:shd w:val="clear" w:color="auto" w:fill="auto"/>
            <w:noWrap/>
            <w:vAlign w:val="bottom"/>
            <w:hideMark/>
          </w:tcPr>
          <w:p w14:paraId="1A430FF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9C9327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3,801 </w:t>
            </w:r>
          </w:p>
        </w:tc>
        <w:tc>
          <w:tcPr>
            <w:tcW w:w="201" w:type="dxa"/>
            <w:tcBorders>
              <w:top w:val="nil"/>
              <w:left w:val="nil"/>
              <w:bottom w:val="nil"/>
              <w:right w:val="nil"/>
            </w:tcBorders>
            <w:shd w:val="clear" w:color="auto" w:fill="auto"/>
            <w:noWrap/>
            <w:vAlign w:val="bottom"/>
            <w:hideMark/>
          </w:tcPr>
          <w:p w14:paraId="56A25CC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DCEB5D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12,034 </w:t>
            </w:r>
          </w:p>
        </w:tc>
        <w:tc>
          <w:tcPr>
            <w:tcW w:w="100" w:type="dxa"/>
            <w:tcBorders>
              <w:top w:val="nil"/>
              <w:left w:val="nil"/>
              <w:bottom w:val="nil"/>
              <w:right w:val="nil"/>
            </w:tcBorders>
            <w:shd w:val="clear" w:color="auto" w:fill="auto"/>
            <w:noWrap/>
            <w:vAlign w:val="bottom"/>
            <w:hideMark/>
          </w:tcPr>
          <w:p w14:paraId="6E2371C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0D14D6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14,104 </w:t>
            </w:r>
          </w:p>
        </w:tc>
      </w:tr>
      <w:tr w:rsidR="004A31B2" w:rsidRPr="004A31B2" w14:paraId="44718809"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371C57E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Service and other</w:t>
            </w:r>
          </w:p>
        </w:tc>
        <w:tc>
          <w:tcPr>
            <w:tcW w:w="1100" w:type="dxa"/>
            <w:tcBorders>
              <w:top w:val="nil"/>
              <w:left w:val="nil"/>
              <w:bottom w:val="single" w:sz="4" w:space="0" w:color="auto"/>
              <w:right w:val="nil"/>
            </w:tcBorders>
            <w:shd w:val="clear" w:color="auto" w:fill="auto"/>
            <w:noWrap/>
            <w:vAlign w:val="bottom"/>
            <w:hideMark/>
          </w:tcPr>
          <w:p w14:paraId="55663E5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4,985 </w:t>
            </w:r>
          </w:p>
        </w:tc>
        <w:tc>
          <w:tcPr>
            <w:tcW w:w="100" w:type="dxa"/>
            <w:tcBorders>
              <w:top w:val="nil"/>
              <w:left w:val="nil"/>
              <w:bottom w:val="nil"/>
              <w:right w:val="nil"/>
            </w:tcBorders>
            <w:shd w:val="clear" w:color="auto" w:fill="auto"/>
            <w:noWrap/>
            <w:vAlign w:val="bottom"/>
            <w:hideMark/>
          </w:tcPr>
          <w:p w14:paraId="4E71A91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971381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3,921 </w:t>
            </w:r>
          </w:p>
        </w:tc>
        <w:tc>
          <w:tcPr>
            <w:tcW w:w="201" w:type="dxa"/>
            <w:tcBorders>
              <w:top w:val="nil"/>
              <w:left w:val="nil"/>
              <w:bottom w:val="nil"/>
              <w:right w:val="nil"/>
            </w:tcBorders>
            <w:shd w:val="clear" w:color="auto" w:fill="auto"/>
            <w:noWrap/>
            <w:vAlign w:val="bottom"/>
            <w:hideMark/>
          </w:tcPr>
          <w:p w14:paraId="0780B40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F88227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13,771 </w:t>
            </w:r>
          </w:p>
        </w:tc>
        <w:tc>
          <w:tcPr>
            <w:tcW w:w="100" w:type="dxa"/>
            <w:tcBorders>
              <w:top w:val="nil"/>
              <w:left w:val="nil"/>
              <w:bottom w:val="nil"/>
              <w:right w:val="nil"/>
            </w:tcBorders>
            <w:shd w:val="clear" w:color="auto" w:fill="auto"/>
            <w:noWrap/>
            <w:vAlign w:val="bottom"/>
            <w:hideMark/>
          </w:tcPr>
          <w:p w14:paraId="549F6E4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03573AA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10,697 </w:t>
            </w:r>
          </w:p>
        </w:tc>
      </w:tr>
      <w:tr w:rsidR="004A31B2" w:rsidRPr="004A31B2" w14:paraId="75C6EE97"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527C8EA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cost of revenue</w:t>
            </w:r>
          </w:p>
        </w:tc>
        <w:tc>
          <w:tcPr>
            <w:tcW w:w="1100" w:type="dxa"/>
            <w:tcBorders>
              <w:top w:val="nil"/>
              <w:left w:val="nil"/>
              <w:bottom w:val="single" w:sz="4" w:space="0" w:color="auto"/>
              <w:right w:val="nil"/>
            </w:tcBorders>
            <w:shd w:val="clear" w:color="auto" w:fill="auto"/>
            <w:noWrap/>
            <w:vAlign w:val="bottom"/>
            <w:hideMark/>
          </w:tcPr>
          <w:p w14:paraId="0F7A285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8,060 </w:t>
            </w:r>
          </w:p>
        </w:tc>
        <w:tc>
          <w:tcPr>
            <w:tcW w:w="100" w:type="dxa"/>
            <w:tcBorders>
              <w:top w:val="nil"/>
              <w:left w:val="nil"/>
              <w:bottom w:val="nil"/>
              <w:right w:val="nil"/>
            </w:tcBorders>
            <w:shd w:val="clear" w:color="auto" w:fill="auto"/>
            <w:noWrap/>
            <w:vAlign w:val="bottom"/>
            <w:hideMark/>
          </w:tcPr>
          <w:p w14:paraId="5C69580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5062217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7,722 </w:t>
            </w:r>
          </w:p>
        </w:tc>
        <w:tc>
          <w:tcPr>
            <w:tcW w:w="201" w:type="dxa"/>
            <w:tcBorders>
              <w:top w:val="nil"/>
              <w:left w:val="nil"/>
              <w:bottom w:val="nil"/>
              <w:right w:val="nil"/>
            </w:tcBorders>
            <w:shd w:val="clear" w:color="auto" w:fill="auto"/>
            <w:noWrap/>
            <w:vAlign w:val="bottom"/>
            <w:hideMark/>
          </w:tcPr>
          <w:p w14:paraId="5FAB8D4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358BB7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25,805 </w:t>
            </w:r>
          </w:p>
        </w:tc>
        <w:tc>
          <w:tcPr>
            <w:tcW w:w="100" w:type="dxa"/>
            <w:tcBorders>
              <w:top w:val="nil"/>
              <w:left w:val="nil"/>
              <w:bottom w:val="nil"/>
              <w:right w:val="nil"/>
            </w:tcBorders>
            <w:shd w:val="clear" w:color="auto" w:fill="auto"/>
            <w:noWrap/>
            <w:vAlign w:val="bottom"/>
            <w:hideMark/>
          </w:tcPr>
          <w:p w14:paraId="0E1C54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6FDC697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24,801 </w:t>
            </w:r>
          </w:p>
        </w:tc>
      </w:tr>
      <w:tr w:rsidR="004A31B2" w:rsidRPr="004A31B2" w14:paraId="5ED6A4A2" w14:textId="77777777" w:rsidTr="004A31B2">
        <w:trPr>
          <w:trHeight w:val="300"/>
        </w:trPr>
        <w:tc>
          <w:tcPr>
            <w:tcW w:w="3260" w:type="dxa"/>
            <w:tcBorders>
              <w:top w:val="nil"/>
              <w:left w:val="nil"/>
              <w:bottom w:val="nil"/>
              <w:right w:val="nil"/>
            </w:tcBorders>
            <w:shd w:val="clear" w:color="auto" w:fill="auto"/>
            <w:noWrap/>
            <w:vAlign w:val="bottom"/>
            <w:hideMark/>
          </w:tcPr>
          <w:p w14:paraId="6BBC1A8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Gross margin</w:t>
            </w:r>
          </w:p>
        </w:tc>
        <w:tc>
          <w:tcPr>
            <w:tcW w:w="1100" w:type="dxa"/>
            <w:tcBorders>
              <w:top w:val="nil"/>
              <w:left w:val="nil"/>
              <w:bottom w:val="nil"/>
              <w:right w:val="nil"/>
            </w:tcBorders>
            <w:shd w:val="clear" w:color="auto" w:fill="auto"/>
            <w:noWrap/>
            <w:vAlign w:val="bottom"/>
            <w:hideMark/>
          </w:tcPr>
          <w:p w14:paraId="2A51A64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14,030 </w:t>
            </w:r>
          </w:p>
        </w:tc>
        <w:tc>
          <w:tcPr>
            <w:tcW w:w="100" w:type="dxa"/>
            <w:tcBorders>
              <w:top w:val="nil"/>
              <w:left w:val="nil"/>
              <w:bottom w:val="nil"/>
              <w:right w:val="nil"/>
            </w:tcBorders>
            <w:shd w:val="clear" w:color="auto" w:fill="auto"/>
            <w:noWrap/>
            <w:vAlign w:val="bottom"/>
            <w:hideMark/>
          </w:tcPr>
          <w:p w14:paraId="1963A19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E3A19F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12,809 </w:t>
            </w:r>
          </w:p>
        </w:tc>
        <w:tc>
          <w:tcPr>
            <w:tcW w:w="201" w:type="dxa"/>
            <w:tcBorders>
              <w:top w:val="nil"/>
              <w:left w:val="nil"/>
              <w:bottom w:val="nil"/>
              <w:right w:val="nil"/>
            </w:tcBorders>
            <w:shd w:val="clear" w:color="auto" w:fill="auto"/>
            <w:noWrap/>
            <w:vAlign w:val="bottom"/>
            <w:hideMark/>
          </w:tcPr>
          <w:p w14:paraId="3603980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2EB7F2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40,828 </w:t>
            </w:r>
          </w:p>
        </w:tc>
        <w:tc>
          <w:tcPr>
            <w:tcW w:w="100" w:type="dxa"/>
            <w:tcBorders>
              <w:top w:val="nil"/>
              <w:left w:val="nil"/>
              <w:bottom w:val="nil"/>
              <w:right w:val="nil"/>
            </w:tcBorders>
            <w:shd w:val="clear" w:color="auto" w:fill="auto"/>
            <w:noWrap/>
            <w:vAlign w:val="bottom"/>
            <w:hideMark/>
          </w:tcPr>
          <w:p w14:paraId="5F7A1A1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A47C82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39,905 </w:t>
            </w:r>
          </w:p>
        </w:tc>
      </w:tr>
      <w:tr w:rsidR="004A31B2" w:rsidRPr="004A31B2" w14:paraId="120BC152" w14:textId="77777777" w:rsidTr="004A31B2">
        <w:trPr>
          <w:trHeight w:val="300"/>
        </w:trPr>
        <w:tc>
          <w:tcPr>
            <w:tcW w:w="3260" w:type="dxa"/>
            <w:tcBorders>
              <w:top w:val="nil"/>
              <w:left w:val="nil"/>
              <w:bottom w:val="nil"/>
              <w:right w:val="nil"/>
            </w:tcBorders>
            <w:shd w:val="clear" w:color="auto" w:fill="auto"/>
            <w:noWrap/>
            <w:vAlign w:val="bottom"/>
            <w:hideMark/>
          </w:tcPr>
          <w:p w14:paraId="6B76CF9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Research and development</w:t>
            </w:r>
          </w:p>
        </w:tc>
        <w:tc>
          <w:tcPr>
            <w:tcW w:w="1100" w:type="dxa"/>
            <w:tcBorders>
              <w:top w:val="nil"/>
              <w:left w:val="nil"/>
              <w:bottom w:val="nil"/>
              <w:right w:val="nil"/>
            </w:tcBorders>
            <w:shd w:val="clear" w:color="auto" w:fill="auto"/>
            <w:noWrap/>
            <w:vAlign w:val="bottom"/>
            <w:hideMark/>
          </w:tcPr>
          <w:p w14:paraId="4806AD8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3,355 </w:t>
            </w:r>
          </w:p>
        </w:tc>
        <w:tc>
          <w:tcPr>
            <w:tcW w:w="100" w:type="dxa"/>
            <w:tcBorders>
              <w:top w:val="nil"/>
              <w:left w:val="nil"/>
              <w:bottom w:val="nil"/>
              <w:right w:val="nil"/>
            </w:tcBorders>
            <w:shd w:val="clear" w:color="auto" w:fill="auto"/>
            <w:noWrap/>
            <w:vAlign w:val="bottom"/>
            <w:hideMark/>
          </w:tcPr>
          <w:p w14:paraId="433C97A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69363B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2,980 </w:t>
            </w:r>
          </w:p>
        </w:tc>
        <w:tc>
          <w:tcPr>
            <w:tcW w:w="201" w:type="dxa"/>
            <w:tcBorders>
              <w:top w:val="nil"/>
              <w:left w:val="nil"/>
              <w:bottom w:val="nil"/>
              <w:right w:val="nil"/>
            </w:tcBorders>
            <w:shd w:val="clear" w:color="auto" w:fill="auto"/>
            <w:noWrap/>
            <w:vAlign w:val="bottom"/>
            <w:hideMark/>
          </w:tcPr>
          <w:p w14:paraId="5F65798F"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2F55C7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9,523 </w:t>
            </w:r>
          </w:p>
        </w:tc>
        <w:tc>
          <w:tcPr>
            <w:tcW w:w="100" w:type="dxa"/>
            <w:tcBorders>
              <w:top w:val="nil"/>
              <w:left w:val="nil"/>
              <w:bottom w:val="nil"/>
              <w:right w:val="nil"/>
            </w:tcBorders>
            <w:shd w:val="clear" w:color="auto" w:fill="auto"/>
            <w:noWrap/>
            <w:vAlign w:val="bottom"/>
            <w:hideMark/>
          </w:tcPr>
          <w:p w14:paraId="29E9CC5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951613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8,842 </w:t>
            </w:r>
          </w:p>
        </w:tc>
      </w:tr>
      <w:tr w:rsidR="004A31B2" w:rsidRPr="004A31B2" w14:paraId="1666D6FB" w14:textId="77777777" w:rsidTr="004A31B2">
        <w:trPr>
          <w:trHeight w:val="300"/>
        </w:trPr>
        <w:tc>
          <w:tcPr>
            <w:tcW w:w="3260" w:type="dxa"/>
            <w:tcBorders>
              <w:top w:val="nil"/>
              <w:left w:val="nil"/>
              <w:bottom w:val="nil"/>
              <w:right w:val="nil"/>
            </w:tcBorders>
            <w:shd w:val="clear" w:color="auto" w:fill="auto"/>
            <w:noWrap/>
            <w:vAlign w:val="bottom"/>
            <w:hideMark/>
          </w:tcPr>
          <w:p w14:paraId="680412B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Sales and marketing</w:t>
            </w:r>
          </w:p>
        </w:tc>
        <w:tc>
          <w:tcPr>
            <w:tcW w:w="1100" w:type="dxa"/>
            <w:tcBorders>
              <w:top w:val="nil"/>
              <w:left w:val="nil"/>
              <w:bottom w:val="nil"/>
              <w:right w:val="nil"/>
            </w:tcBorders>
            <w:shd w:val="clear" w:color="auto" w:fill="auto"/>
            <w:noWrap/>
            <w:vAlign w:val="bottom"/>
            <w:hideMark/>
          </w:tcPr>
          <w:p w14:paraId="7F4E216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3,879 </w:t>
            </w:r>
          </w:p>
        </w:tc>
        <w:tc>
          <w:tcPr>
            <w:tcW w:w="100" w:type="dxa"/>
            <w:tcBorders>
              <w:top w:val="nil"/>
              <w:left w:val="nil"/>
              <w:bottom w:val="nil"/>
              <w:right w:val="nil"/>
            </w:tcBorders>
            <w:shd w:val="clear" w:color="auto" w:fill="auto"/>
            <w:noWrap/>
            <w:vAlign w:val="bottom"/>
            <w:hideMark/>
          </w:tcPr>
          <w:p w14:paraId="7365994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BB73A7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3,406 </w:t>
            </w:r>
          </w:p>
        </w:tc>
        <w:tc>
          <w:tcPr>
            <w:tcW w:w="201" w:type="dxa"/>
            <w:tcBorders>
              <w:top w:val="nil"/>
              <w:left w:val="nil"/>
              <w:bottom w:val="nil"/>
              <w:right w:val="nil"/>
            </w:tcBorders>
            <w:shd w:val="clear" w:color="auto" w:fill="auto"/>
            <w:noWrap/>
            <w:vAlign w:val="bottom"/>
            <w:hideMark/>
          </w:tcPr>
          <w:p w14:paraId="5F4A240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A54B04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11,183 </w:t>
            </w:r>
          </w:p>
        </w:tc>
        <w:tc>
          <w:tcPr>
            <w:tcW w:w="100" w:type="dxa"/>
            <w:tcBorders>
              <w:top w:val="nil"/>
              <w:left w:val="nil"/>
              <w:bottom w:val="nil"/>
              <w:right w:val="nil"/>
            </w:tcBorders>
            <w:shd w:val="clear" w:color="auto" w:fill="auto"/>
            <w:noWrap/>
            <w:vAlign w:val="bottom"/>
            <w:hideMark/>
          </w:tcPr>
          <w:p w14:paraId="5DFB732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27E67F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10,699 </w:t>
            </w:r>
          </w:p>
        </w:tc>
      </w:tr>
      <w:tr w:rsidR="004A31B2" w:rsidRPr="004A31B2" w14:paraId="786CCF84" w14:textId="77777777" w:rsidTr="004A31B2">
        <w:trPr>
          <w:trHeight w:val="300"/>
        </w:trPr>
        <w:tc>
          <w:tcPr>
            <w:tcW w:w="3260" w:type="dxa"/>
            <w:tcBorders>
              <w:top w:val="nil"/>
              <w:left w:val="nil"/>
              <w:bottom w:val="nil"/>
              <w:right w:val="nil"/>
            </w:tcBorders>
            <w:shd w:val="clear" w:color="auto" w:fill="auto"/>
            <w:noWrap/>
            <w:vAlign w:val="bottom"/>
            <w:hideMark/>
          </w:tcPr>
          <w:p w14:paraId="02521EC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General and administrative</w:t>
            </w:r>
          </w:p>
        </w:tc>
        <w:tc>
          <w:tcPr>
            <w:tcW w:w="1100" w:type="dxa"/>
            <w:tcBorders>
              <w:top w:val="nil"/>
              <w:left w:val="nil"/>
              <w:bottom w:val="nil"/>
              <w:right w:val="nil"/>
            </w:tcBorders>
            <w:shd w:val="clear" w:color="auto" w:fill="auto"/>
            <w:noWrap/>
            <w:vAlign w:val="bottom"/>
            <w:hideMark/>
          </w:tcPr>
          <w:p w14:paraId="23733F4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1,202 </w:t>
            </w:r>
          </w:p>
        </w:tc>
        <w:tc>
          <w:tcPr>
            <w:tcW w:w="100" w:type="dxa"/>
            <w:tcBorders>
              <w:top w:val="nil"/>
              <w:left w:val="nil"/>
              <w:bottom w:val="nil"/>
              <w:right w:val="nil"/>
            </w:tcBorders>
            <w:shd w:val="clear" w:color="auto" w:fill="auto"/>
            <w:noWrap/>
            <w:vAlign w:val="bottom"/>
            <w:hideMark/>
          </w:tcPr>
          <w:p w14:paraId="174EC31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39DFF8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1,140 </w:t>
            </w:r>
          </w:p>
        </w:tc>
        <w:tc>
          <w:tcPr>
            <w:tcW w:w="201" w:type="dxa"/>
            <w:tcBorders>
              <w:top w:val="nil"/>
              <w:left w:val="nil"/>
              <w:bottom w:val="nil"/>
              <w:right w:val="nil"/>
            </w:tcBorders>
            <w:shd w:val="clear" w:color="auto" w:fill="auto"/>
            <w:noWrap/>
            <w:vAlign w:val="bottom"/>
            <w:hideMark/>
          </w:tcPr>
          <w:p w14:paraId="1F5F9E4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248D0C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3,126 </w:t>
            </w:r>
          </w:p>
        </w:tc>
        <w:tc>
          <w:tcPr>
            <w:tcW w:w="100" w:type="dxa"/>
            <w:tcBorders>
              <w:top w:val="nil"/>
              <w:left w:val="nil"/>
              <w:bottom w:val="nil"/>
              <w:right w:val="nil"/>
            </w:tcBorders>
            <w:shd w:val="clear" w:color="auto" w:fill="auto"/>
            <w:noWrap/>
            <w:vAlign w:val="bottom"/>
            <w:hideMark/>
          </w:tcPr>
          <w:p w14:paraId="2E7E563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FBE090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3,262 </w:t>
            </w:r>
          </w:p>
        </w:tc>
      </w:tr>
      <w:tr w:rsidR="004A31B2" w:rsidRPr="004A31B2" w14:paraId="763ABAE9" w14:textId="77777777" w:rsidTr="004A31B2">
        <w:trPr>
          <w:trHeight w:val="300"/>
        </w:trPr>
        <w:tc>
          <w:tcPr>
            <w:tcW w:w="3260" w:type="dxa"/>
            <w:tcBorders>
              <w:top w:val="single" w:sz="4" w:space="0" w:color="auto"/>
              <w:left w:val="nil"/>
              <w:bottom w:val="nil"/>
              <w:right w:val="nil"/>
            </w:tcBorders>
            <w:shd w:val="clear" w:color="auto" w:fill="auto"/>
            <w:noWrap/>
            <w:vAlign w:val="bottom"/>
            <w:hideMark/>
          </w:tcPr>
          <w:p w14:paraId="0161FED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Operating income</w:t>
            </w:r>
          </w:p>
        </w:tc>
        <w:tc>
          <w:tcPr>
            <w:tcW w:w="1100" w:type="dxa"/>
            <w:tcBorders>
              <w:top w:val="single" w:sz="4" w:space="0" w:color="auto"/>
              <w:left w:val="nil"/>
              <w:bottom w:val="nil"/>
              <w:right w:val="nil"/>
            </w:tcBorders>
            <w:shd w:val="clear" w:color="auto" w:fill="auto"/>
            <w:noWrap/>
            <w:vAlign w:val="bottom"/>
            <w:hideMark/>
          </w:tcPr>
          <w:p w14:paraId="2779D8D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5,594 </w:t>
            </w:r>
          </w:p>
        </w:tc>
        <w:tc>
          <w:tcPr>
            <w:tcW w:w="100" w:type="dxa"/>
            <w:tcBorders>
              <w:top w:val="nil"/>
              <w:left w:val="nil"/>
              <w:bottom w:val="nil"/>
              <w:right w:val="nil"/>
            </w:tcBorders>
            <w:shd w:val="clear" w:color="auto" w:fill="auto"/>
            <w:noWrap/>
            <w:vAlign w:val="bottom"/>
            <w:hideMark/>
          </w:tcPr>
          <w:p w14:paraId="08818BE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single" w:sz="4" w:space="0" w:color="auto"/>
              <w:left w:val="nil"/>
              <w:bottom w:val="nil"/>
              <w:right w:val="nil"/>
            </w:tcBorders>
            <w:shd w:val="clear" w:color="auto" w:fill="auto"/>
            <w:noWrap/>
            <w:vAlign w:val="bottom"/>
            <w:hideMark/>
          </w:tcPr>
          <w:p w14:paraId="6CE1C8D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5,283 </w:t>
            </w:r>
          </w:p>
        </w:tc>
        <w:tc>
          <w:tcPr>
            <w:tcW w:w="201" w:type="dxa"/>
            <w:tcBorders>
              <w:top w:val="nil"/>
              <w:left w:val="nil"/>
              <w:bottom w:val="nil"/>
              <w:right w:val="nil"/>
            </w:tcBorders>
            <w:shd w:val="clear" w:color="auto" w:fill="auto"/>
            <w:noWrap/>
            <w:vAlign w:val="bottom"/>
            <w:hideMark/>
          </w:tcPr>
          <w:p w14:paraId="2CE1E79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717E25B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16,996 </w:t>
            </w:r>
          </w:p>
        </w:tc>
        <w:tc>
          <w:tcPr>
            <w:tcW w:w="100" w:type="dxa"/>
            <w:tcBorders>
              <w:top w:val="nil"/>
              <w:left w:val="nil"/>
              <w:bottom w:val="nil"/>
              <w:right w:val="nil"/>
            </w:tcBorders>
            <w:shd w:val="clear" w:color="auto" w:fill="auto"/>
            <w:noWrap/>
            <w:vAlign w:val="bottom"/>
            <w:hideMark/>
          </w:tcPr>
          <w:p w14:paraId="0F795DC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single" w:sz="4" w:space="0" w:color="auto"/>
              <w:left w:val="nil"/>
              <w:bottom w:val="nil"/>
              <w:right w:val="nil"/>
            </w:tcBorders>
            <w:shd w:val="clear" w:color="auto" w:fill="auto"/>
            <w:noWrap/>
            <w:vAlign w:val="bottom"/>
            <w:hideMark/>
          </w:tcPr>
          <w:p w14:paraId="3E0F910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17,102 </w:t>
            </w:r>
          </w:p>
        </w:tc>
      </w:tr>
      <w:tr w:rsidR="004A31B2" w:rsidRPr="004A31B2" w14:paraId="19069EFE"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46217DE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Other income (expense), net</w:t>
            </w:r>
          </w:p>
        </w:tc>
        <w:tc>
          <w:tcPr>
            <w:tcW w:w="1100" w:type="dxa"/>
            <w:tcBorders>
              <w:top w:val="nil"/>
              <w:left w:val="nil"/>
              <w:bottom w:val="single" w:sz="4" w:space="0" w:color="auto"/>
              <w:right w:val="nil"/>
            </w:tcBorders>
            <w:shd w:val="clear" w:color="auto" w:fill="auto"/>
            <w:noWrap/>
            <w:vAlign w:val="bottom"/>
            <w:hideMark/>
          </w:tcPr>
          <w:p w14:paraId="0DE7A0C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322 </w:t>
            </w:r>
          </w:p>
        </w:tc>
        <w:tc>
          <w:tcPr>
            <w:tcW w:w="100" w:type="dxa"/>
            <w:tcBorders>
              <w:top w:val="nil"/>
              <w:left w:val="nil"/>
              <w:bottom w:val="nil"/>
              <w:right w:val="nil"/>
            </w:tcBorders>
            <w:shd w:val="clear" w:color="auto" w:fill="auto"/>
            <w:noWrap/>
            <w:vAlign w:val="bottom"/>
            <w:hideMark/>
          </w:tcPr>
          <w:p w14:paraId="0A0F729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0DAC009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(247)</w:t>
            </w:r>
          </w:p>
        </w:tc>
        <w:tc>
          <w:tcPr>
            <w:tcW w:w="201" w:type="dxa"/>
            <w:tcBorders>
              <w:top w:val="nil"/>
              <w:left w:val="nil"/>
              <w:bottom w:val="nil"/>
              <w:right w:val="nil"/>
            </w:tcBorders>
            <w:shd w:val="clear" w:color="auto" w:fill="auto"/>
            <w:noWrap/>
            <w:vAlign w:val="bottom"/>
            <w:hideMark/>
          </w:tcPr>
          <w:p w14:paraId="1A9EA23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2C265F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608 </w:t>
            </w:r>
          </w:p>
        </w:tc>
        <w:tc>
          <w:tcPr>
            <w:tcW w:w="100" w:type="dxa"/>
            <w:tcBorders>
              <w:top w:val="nil"/>
              <w:left w:val="nil"/>
              <w:bottom w:val="nil"/>
              <w:right w:val="nil"/>
            </w:tcBorders>
            <w:shd w:val="clear" w:color="auto" w:fill="auto"/>
            <w:noWrap/>
            <w:vAlign w:val="bottom"/>
            <w:hideMark/>
          </w:tcPr>
          <w:p w14:paraId="06CE4E8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3A6974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(698)</w:t>
            </w:r>
          </w:p>
        </w:tc>
      </w:tr>
      <w:tr w:rsidR="004A31B2" w:rsidRPr="004A31B2" w14:paraId="74221F86" w14:textId="77777777" w:rsidTr="004A31B2">
        <w:trPr>
          <w:trHeight w:val="300"/>
        </w:trPr>
        <w:tc>
          <w:tcPr>
            <w:tcW w:w="3260" w:type="dxa"/>
            <w:tcBorders>
              <w:top w:val="nil"/>
              <w:left w:val="nil"/>
              <w:bottom w:val="nil"/>
              <w:right w:val="nil"/>
            </w:tcBorders>
            <w:shd w:val="clear" w:color="auto" w:fill="auto"/>
            <w:noWrap/>
            <w:vAlign w:val="bottom"/>
            <w:hideMark/>
          </w:tcPr>
          <w:p w14:paraId="2E0E371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Income before income taxes</w:t>
            </w:r>
          </w:p>
        </w:tc>
        <w:tc>
          <w:tcPr>
            <w:tcW w:w="1100" w:type="dxa"/>
            <w:tcBorders>
              <w:top w:val="nil"/>
              <w:left w:val="nil"/>
              <w:bottom w:val="nil"/>
              <w:right w:val="nil"/>
            </w:tcBorders>
            <w:shd w:val="clear" w:color="auto" w:fill="auto"/>
            <w:noWrap/>
            <w:vAlign w:val="bottom"/>
            <w:hideMark/>
          </w:tcPr>
          <w:p w14:paraId="7264256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5,916 </w:t>
            </w:r>
          </w:p>
        </w:tc>
        <w:tc>
          <w:tcPr>
            <w:tcW w:w="100" w:type="dxa"/>
            <w:tcBorders>
              <w:top w:val="nil"/>
              <w:left w:val="nil"/>
              <w:bottom w:val="nil"/>
              <w:right w:val="nil"/>
            </w:tcBorders>
            <w:shd w:val="clear" w:color="auto" w:fill="auto"/>
            <w:noWrap/>
            <w:vAlign w:val="bottom"/>
            <w:hideMark/>
          </w:tcPr>
          <w:p w14:paraId="06FBB52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161D08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5,036 </w:t>
            </w:r>
          </w:p>
        </w:tc>
        <w:tc>
          <w:tcPr>
            <w:tcW w:w="201" w:type="dxa"/>
            <w:tcBorders>
              <w:top w:val="nil"/>
              <w:left w:val="nil"/>
              <w:bottom w:val="nil"/>
              <w:right w:val="nil"/>
            </w:tcBorders>
            <w:shd w:val="clear" w:color="auto" w:fill="auto"/>
            <w:noWrap/>
            <w:vAlign w:val="bottom"/>
            <w:hideMark/>
          </w:tcPr>
          <w:p w14:paraId="2089440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D028AF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17,604 </w:t>
            </w:r>
          </w:p>
        </w:tc>
        <w:tc>
          <w:tcPr>
            <w:tcW w:w="100" w:type="dxa"/>
            <w:tcBorders>
              <w:top w:val="nil"/>
              <w:left w:val="nil"/>
              <w:bottom w:val="nil"/>
              <w:right w:val="nil"/>
            </w:tcBorders>
            <w:shd w:val="clear" w:color="auto" w:fill="auto"/>
            <w:noWrap/>
            <w:vAlign w:val="bottom"/>
            <w:hideMark/>
          </w:tcPr>
          <w:p w14:paraId="759B133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93C29F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16,404 </w:t>
            </w:r>
          </w:p>
        </w:tc>
      </w:tr>
      <w:tr w:rsidR="004A31B2" w:rsidRPr="004A31B2" w14:paraId="22DA2CB0" w14:textId="77777777" w:rsidTr="004A31B2">
        <w:trPr>
          <w:trHeight w:val="300"/>
        </w:trPr>
        <w:tc>
          <w:tcPr>
            <w:tcW w:w="3260" w:type="dxa"/>
            <w:tcBorders>
              <w:top w:val="nil"/>
              <w:left w:val="nil"/>
              <w:bottom w:val="single" w:sz="4" w:space="0" w:color="auto"/>
              <w:right w:val="nil"/>
            </w:tcBorders>
            <w:shd w:val="clear" w:color="auto" w:fill="auto"/>
            <w:noWrap/>
            <w:vAlign w:val="bottom"/>
            <w:hideMark/>
          </w:tcPr>
          <w:p w14:paraId="5C20461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Provision for income taxes</w:t>
            </w:r>
          </w:p>
        </w:tc>
        <w:tc>
          <w:tcPr>
            <w:tcW w:w="1100" w:type="dxa"/>
            <w:tcBorders>
              <w:top w:val="nil"/>
              <w:left w:val="nil"/>
              <w:bottom w:val="single" w:sz="4" w:space="0" w:color="auto"/>
              <w:right w:val="nil"/>
            </w:tcBorders>
            <w:shd w:val="clear" w:color="auto" w:fill="auto"/>
            <w:noWrap/>
            <w:vAlign w:val="bottom"/>
            <w:hideMark/>
          </w:tcPr>
          <w:p w14:paraId="5D2F099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1,115 </w:t>
            </w:r>
          </w:p>
        </w:tc>
        <w:tc>
          <w:tcPr>
            <w:tcW w:w="100" w:type="dxa"/>
            <w:tcBorders>
              <w:top w:val="nil"/>
              <w:left w:val="nil"/>
              <w:bottom w:val="nil"/>
              <w:right w:val="nil"/>
            </w:tcBorders>
            <w:shd w:val="clear" w:color="auto" w:fill="auto"/>
            <w:noWrap/>
            <w:vAlign w:val="bottom"/>
            <w:hideMark/>
          </w:tcPr>
          <w:p w14:paraId="708F1EF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DA416B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1,280 </w:t>
            </w:r>
          </w:p>
        </w:tc>
        <w:tc>
          <w:tcPr>
            <w:tcW w:w="201" w:type="dxa"/>
            <w:tcBorders>
              <w:top w:val="nil"/>
              <w:left w:val="nil"/>
              <w:bottom w:val="nil"/>
              <w:right w:val="nil"/>
            </w:tcBorders>
            <w:shd w:val="clear" w:color="auto" w:fill="auto"/>
            <w:noWrap/>
            <w:vAlign w:val="bottom"/>
            <w:hideMark/>
          </w:tcPr>
          <w:p w14:paraId="5B093A3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C0BE70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2,913 </w:t>
            </w:r>
          </w:p>
        </w:tc>
        <w:tc>
          <w:tcPr>
            <w:tcW w:w="100" w:type="dxa"/>
            <w:tcBorders>
              <w:top w:val="nil"/>
              <w:left w:val="nil"/>
              <w:bottom w:val="nil"/>
              <w:right w:val="nil"/>
            </w:tcBorders>
            <w:shd w:val="clear" w:color="auto" w:fill="auto"/>
            <w:noWrap/>
            <w:vAlign w:val="bottom"/>
            <w:hideMark/>
          </w:tcPr>
          <w:p w14:paraId="3FAA486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02A8DAAF"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2,728 </w:t>
            </w:r>
          </w:p>
        </w:tc>
      </w:tr>
      <w:tr w:rsidR="004A31B2" w:rsidRPr="004A31B2" w14:paraId="3EBA4425" w14:textId="77777777" w:rsidTr="004A31B2">
        <w:trPr>
          <w:trHeight w:val="312"/>
        </w:trPr>
        <w:tc>
          <w:tcPr>
            <w:tcW w:w="3260" w:type="dxa"/>
            <w:tcBorders>
              <w:top w:val="nil"/>
              <w:left w:val="nil"/>
              <w:bottom w:val="nil"/>
              <w:right w:val="nil"/>
            </w:tcBorders>
            <w:shd w:val="clear" w:color="auto" w:fill="auto"/>
            <w:noWrap/>
            <w:vAlign w:val="bottom"/>
            <w:hideMark/>
          </w:tcPr>
          <w:p w14:paraId="26F12FD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Net income</w:t>
            </w:r>
          </w:p>
        </w:tc>
        <w:tc>
          <w:tcPr>
            <w:tcW w:w="1100" w:type="dxa"/>
            <w:tcBorders>
              <w:top w:val="nil"/>
              <w:left w:val="nil"/>
              <w:bottom w:val="single" w:sz="8" w:space="0" w:color="auto"/>
              <w:right w:val="nil"/>
            </w:tcBorders>
            <w:shd w:val="clear" w:color="auto" w:fill="auto"/>
            <w:noWrap/>
            <w:vAlign w:val="bottom"/>
            <w:hideMark/>
          </w:tcPr>
          <w:p w14:paraId="0DC5E63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$4,801 </w:t>
            </w:r>
          </w:p>
        </w:tc>
        <w:tc>
          <w:tcPr>
            <w:tcW w:w="100" w:type="dxa"/>
            <w:tcBorders>
              <w:top w:val="nil"/>
              <w:left w:val="nil"/>
              <w:bottom w:val="nil"/>
              <w:right w:val="nil"/>
            </w:tcBorders>
            <w:shd w:val="clear" w:color="auto" w:fill="auto"/>
            <w:noWrap/>
            <w:vAlign w:val="bottom"/>
            <w:hideMark/>
          </w:tcPr>
          <w:p w14:paraId="7C1C7C0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6BCFFCE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$3,756 </w:t>
            </w:r>
          </w:p>
        </w:tc>
        <w:tc>
          <w:tcPr>
            <w:tcW w:w="201" w:type="dxa"/>
            <w:tcBorders>
              <w:top w:val="nil"/>
              <w:left w:val="nil"/>
              <w:bottom w:val="nil"/>
              <w:right w:val="nil"/>
            </w:tcBorders>
            <w:shd w:val="clear" w:color="auto" w:fill="auto"/>
            <w:noWrap/>
            <w:vAlign w:val="bottom"/>
            <w:hideMark/>
          </w:tcPr>
          <w:p w14:paraId="2525FF4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3DBE82F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$14,691 </w:t>
            </w:r>
          </w:p>
        </w:tc>
        <w:tc>
          <w:tcPr>
            <w:tcW w:w="100" w:type="dxa"/>
            <w:tcBorders>
              <w:top w:val="nil"/>
              <w:left w:val="nil"/>
              <w:bottom w:val="nil"/>
              <w:right w:val="nil"/>
            </w:tcBorders>
            <w:shd w:val="clear" w:color="auto" w:fill="auto"/>
            <w:noWrap/>
            <w:vAlign w:val="bottom"/>
            <w:hideMark/>
          </w:tcPr>
          <w:p w14:paraId="50B3C8A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1C247C1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$13,676 </w:t>
            </w:r>
          </w:p>
        </w:tc>
      </w:tr>
      <w:tr w:rsidR="004A31B2" w:rsidRPr="004A31B2" w14:paraId="03544A29" w14:textId="77777777" w:rsidTr="004A31B2">
        <w:trPr>
          <w:trHeight w:val="300"/>
        </w:trPr>
        <w:tc>
          <w:tcPr>
            <w:tcW w:w="3260" w:type="dxa"/>
            <w:tcBorders>
              <w:top w:val="nil"/>
              <w:left w:val="nil"/>
              <w:bottom w:val="nil"/>
              <w:right w:val="nil"/>
            </w:tcBorders>
            <w:shd w:val="clear" w:color="auto" w:fill="auto"/>
            <w:noWrap/>
            <w:vAlign w:val="bottom"/>
            <w:hideMark/>
          </w:tcPr>
          <w:p w14:paraId="0AD5109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100" w:type="dxa"/>
            <w:tcBorders>
              <w:top w:val="nil"/>
              <w:left w:val="nil"/>
              <w:bottom w:val="nil"/>
              <w:right w:val="nil"/>
            </w:tcBorders>
            <w:shd w:val="clear" w:color="auto" w:fill="auto"/>
            <w:noWrap/>
            <w:vAlign w:val="bottom"/>
            <w:hideMark/>
          </w:tcPr>
          <w:p w14:paraId="2AEA3FD5"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779F9316" w14:textId="77777777" w:rsidR="004A31B2" w:rsidRPr="004A31B2" w:rsidRDefault="004A31B2" w:rsidP="004A31B2">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FDAA27C"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419853AD"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BCEEB84"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C2DEE5D"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291E1D3C" w14:textId="77777777" w:rsidR="004A31B2" w:rsidRPr="004A31B2" w:rsidRDefault="004A31B2" w:rsidP="004A31B2">
            <w:pPr>
              <w:spacing w:after="0" w:line="240" w:lineRule="auto"/>
              <w:jc w:val="right"/>
              <w:rPr>
                <w:rFonts w:ascii="Times New Roman" w:eastAsia="Times New Roman" w:hAnsi="Times New Roman"/>
                <w:sz w:val="20"/>
                <w:szCs w:val="20"/>
              </w:rPr>
            </w:pPr>
          </w:p>
        </w:tc>
      </w:tr>
      <w:tr w:rsidR="004A31B2" w:rsidRPr="004A31B2" w14:paraId="68421D0F" w14:textId="77777777" w:rsidTr="004A31B2">
        <w:trPr>
          <w:trHeight w:val="300"/>
        </w:trPr>
        <w:tc>
          <w:tcPr>
            <w:tcW w:w="3260" w:type="dxa"/>
            <w:tcBorders>
              <w:top w:val="nil"/>
              <w:left w:val="nil"/>
              <w:bottom w:val="nil"/>
              <w:right w:val="nil"/>
            </w:tcBorders>
            <w:shd w:val="clear" w:color="auto" w:fill="auto"/>
            <w:noWrap/>
            <w:vAlign w:val="bottom"/>
            <w:hideMark/>
          </w:tcPr>
          <w:p w14:paraId="53ADC5A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Earnings per share:</w:t>
            </w:r>
          </w:p>
        </w:tc>
        <w:tc>
          <w:tcPr>
            <w:tcW w:w="1100" w:type="dxa"/>
            <w:tcBorders>
              <w:top w:val="nil"/>
              <w:left w:val="nil"/>
              <w:bottom w:val="nil"/>
              <w:right w:val="nil"/>
            </w:tcBorders>
            <w:shd w:val="clear" w:color="auto" w:fill="auto"/>
            <w:noWrap/>
            <w:vAlign w:val="bottom"/>
            <w:hideMark/>
          </w:tcPr>
          <w:p w14:paraId="4C85ACA8"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3F3D90F5" w14:textId="77777777" w:rsidR="004A31B2" w:rsidRPr="004A31B2" w:rsidRDefault="004A31B2" w:rsidP="004A31B2">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7EEDE5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61D5B468"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E76E813"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2B20921"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1503DD" w14:textId="77777777" w:rsidR="004A31B2" w:rsidRPr="004A31B2" w:rsidRDefault="004A31B2" w:rsidP="004A31B2">
            <w:pPr>
              <w:spacing w:after="0" w:line="240" w:lineRule="auto"/>
              <w:jc w:val="right"/>
              <w:rPr>
                <w:rFonts w:ascii="Times New Roman" w:eastAsia="Times New Roman" w:hAnsi="Times New Roman"/>
                <w:sz w:val="20"/>
                <w:szCs w:val="20"/>
              </w:rPr>
            </w:pPr>
          </w:p>
        </w:tc>
      </w:tr>
      <w:tr w:rsidR="004A31B2" w:rsidRPr="004A31B2" w14:paraId="0C39CD8B" w14:textId="77777777" w:rsidTr="004A31B2">
        <w:trPr>
          <w:trHeight w:val="300"/>
        </w:trPr>
        <w:tc>
          <w:tcPr>
            <w:tcW w:w="3260" w:type="dxa"/>
            <w:tcBorders>
              <w:top w:val="nil"/>
              <w:left w:val="nil"/>
              <w:bottom w:val="nil"/>
              <w:right w:val="nil"/>
            </w:tcBorders>
            <w:shd w:val="clear" w:color="auto" w:fill="auto"/>
            <w:noWrap/>
            <w:vAlign w:val="bottom"/>
            <w:hideMark/>
          </w:tcPr>
          <w:p w14:paraId="4B61B83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Basic</w:t>
            </w:r>
          </w:p>
        </w:tc>
        <w:tc>
          <w:tcPr>
            <w:tcW w:w="1100" w:type="dxa"/>
            <w:tcBorders>
              <w:top w:val="nil"/>
              <w:left w:val="nil"/>
              <w:bottom w:val="nil"/>
              <w:right w:val="nil"/>
            </w:tcBorders>
            <w:shd w:val="clear" w:color="auto" w:fill="auto"/>
            <w:noWrap/>
            <w:vAlign w:val="bottom"/>
            <w:hideMark/>
          </w:tcPr>
          <w:p w14:paraId="7EE5FCA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$0.62 </w:t>
            </w:r>
          </w:p>
        </w:tc>
        <w:tc>
          <w:tcPr>
            <w:tcW w:w="100" w:type="dxa"/>
            <w:tcBorders>
              <w:top w:val="nil"/>
              <w:left w:val="nil"/>
              <w:bottom w:val="nil"/>
              <w:right w:val="nil"/>
            </w:tcBorders>
            <w:shd w:val="clear" w:color="auto" w:fill="auto"/>
            <w:noWrap/>
            <w:vAlign w:val="bottom"/>
            <w:hideMark/>
          </w:tcPr>
          <w:p w14:paraId="581ACCF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735029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$0.48 </w:t>
            </w:r>
          </w:p>
        </w:tc>
        <w:tc>
          <w:tcPr>
            <w:tcW w:w="201" w:type="dxa"/>
            <w:tcBorders>
              <w:top w:val="nil"/>
              <w:left w:val="nil"/>
              <w:bottom w:val="nil"/>
              <w:right w:val="nil"/>
            </w:tcBorders>
            <w:shd w:val="clear" w:color="auto" w:fill="auto"/>
            <w:noWrap/>
            <w:vAlign w:val="bottom"/>
            <w:hideMark/>
          </w:tcPr>
          <w:p w14:paraId="67B1D1F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BD0F2E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$1.89 </w:t>
            </w:r>
          </w:p>
        </w:tc>
        <w:tc>
          <w:tcPr>
            <w:tcW w:w="100" w:type="dxa"/>
            <w:tcBorders>
              <w:top w:val="nil"/>
              <w:left w:val="nil"/>
              <w:bottom w:val="nil"/>
              <w:right w:val="nil"/>
            </w:tcBorders>
            <w:shd w:val="clear" w:color="auto" w:fill="auto"/>
            <w:noWrap/>
            <w:vAlign w:val="bottom"/>
            <w:hideMark/>
          </w:tcPr>
          <w:p w14:paraId="0A028F2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center"/>
            <w:hideMark/>
          </w:tcPr>
          <w:p w14:paraId="1F39ECB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$1.72 </w:t>
            </w:r>
          </w:p>
        </w:tc>
      </w:tr>
      <w:tr w:rsidR="004A31B2" w:rsidRPr="004A31B2" w14:paraId="0C16938D" w14:textId="77777777" w:rsidTr="004A31B2">
        <w:trPr>
          <w:trHeight w:val="300"/>
        </w:trPr>
        <w:tc>
          <w:tcPr>
            <w:tcW w:w="3260" w:type="dxa"/>
            <w:tcBorders>
              <w:top w:val="nil"/>
              <w:left w:val="nil"/>
              <w:bottom w:val="nil"/>
              <w:right w:val="nil"/>
            </w:tcBorders>
            <w:shd w:val="clear" w:color="auto" w:fill="auto"/>
            <w:noWrap/>
            <w:vAlign w:val="bottom"/>
            <w:hideMark/>
          </w:tcPr>
          <w:p w14:paraId="208F0A6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Diluted</w:t>
            </w:r>
          </w:p>
        </w:tc>
        <w:tc>
          <w:tcPr>
            <w:tcW w:w="1100" w:type="dxa"/>
            <w:tcBorders>
              <w:top w:val="nil"/>
              <w:left w:val="nil"/>
              <w:bottom w:val="nil"/>
              <w:right w:val="nil"/>
            </w:tcBorders>
            <w:shd w:val="clear" w:color="auto" w:fill="auto"/>
            <w:noWrap/>
            <w:vAlign w:val="bottom"/>
            <w:hideMark/>
          </w:tcPr>
          <w:p w14:paraId="2A8F51D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$0.61 </w:t>
            </w:r>
          </w:p>
        </w:tc>
        <w:tc>
          <w:tcPr>
            <w:tcW w:w="100" w:type="dxa"/>
            <w:tcBorders>
              <w:top w:val="nil"/>
              <w:left w:val="nil"/>
              <w:bottom w:val="nil"/>
              <w:right w:val="nil"/>
            </w:tcBorders>
            <w:shd w:val="clear" w:color="auto" w:fill="auto"/>
            <w:noWrap/>
            <w:vAlign w:val="bottom"/>
            <w:hideMark/>
          </w:tcPr>
          <w:p w14:paraId="5743439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A85420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$0.47 </w:t>
            </w:r>
          </w:p>
        </w:tc>
        <w:tc>
          <w:tcPr>
            <w:tcW w:w="201" w:type="dxa"/>
            <w:tcBorders>
              <w:top w:val="nil"/>
              <w:left w:val="nil"/>
              <w:bottom w:val="nil"/>
              <w:right w:val="nil"/>
            </w:tcBorders>
            <w:shd w:val="clear" w:color="auto" w:fill="auto"/>
            <w:noWrap/>
            <w:vAlign w:val="bottom"/>
            <w:hideMark/>
          </w:tcPr>
          <w:p w14:paraId="7542497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B09A5B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$1.87 </w:t>
            </w:r>
          </w:p>
        </w:tc>
        <w:tc>
          <w:tcPr>
            <w:tcW w:w="100" w:type="dxa"/>
            <w:tcBorders>
              <w:top w:val="nil"/>
              <w:left w:val="nil"/>
              <w:bottom w:val="nil"/>
              <w:right w:val="nil"/>
            </w:tcBorders>
            <w:shd w:val="clear" w:color="auto" w:fill="auto"/>
            <w:noWrap/>
            <w:vAlign w:val="bottom"/>
            <w:hideMark/>
          </w:tcPr>
          <w:p w14:paraId="0C28040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center"/>
            <w:hideMark/>
          </w:tcPr>
          <w:p w14:paraId="762F352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$1.70 </w:t>
            </w:r>
          </w:p>
        </w:tc>
      </w:tr>
      <w:tr w:rsidR="004A31B2" w:rsidRPr="004A31B2" w14:paraId="2BF55B2C" w14:textId="77777777" w:rsidTr="004A31B2">
        <w:trPr>
          <w:trHeight w:val="300"/>
        </w:trPr>
        <w:tc>
          <w:tcPr>
            <w:tcW w:w="4360" w:type="dxa"/>
            <w:gridSpan w:val="2"/>
            <w:tcBorders>
              <w:top w:val="nil"/>
              <w:left w:val="nil"/>
              <w:bottom w:val="nil"/>
              <w:right w:val="nil"/>
            </w:tcBorders>
            <w:shd w:val="clear" w:color="auto" w:fill="auto"/>
            <w:noWrap/>
            <w:vAlign w:val="bottom"/>
            <w:hideMark/>
          </w:tcPr>
          <w:p w14:paraId="59274A3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Weighted average shares outstanding:</w:t>
            </w:r>
          </w:p>
        </w:tc>
        <w:tc>
          <w:tcPr>
            <w:tcW w:w="100" w:type="dxa"/>
            <w:tcBorders>
              <w:top w:val="nil"/>
              <w:left w:val="nil"/>
              <w:bottom w:val="nil"/>
              <w:right w:val="nil"/>
            </w:tcBorders>
            <w:shd w:val="clear" w:color="auto" w:fill="auto"/>
            <w:noWrap/>
            <w:vAlign w:val="bottom"/>
            <w:hideMark/>
          </w:tcPr>
          <w:p w14:paraId="5357BA9C"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960" w:type="dxa"/>
            <w:tcBorders>
              <w:top w:val="nil"/>
              <w:left w:val="nil"/>
              <w:bottom w:val="nil"/>
              <w:right w:val="nil"/>
            </w:tcBorders>
            <w:shd w:val="clear" w:color="auto" w:fill="auto"/>
            <w:noWrap/>
            <w:vAlign w:val="bottom"/>
            <w:hideMark/>
          </w:tcPr>
          <w:p w14:paraId="679ED234"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52F3056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024466B"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AAE619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2EE1EAB1" w14:textId="77777777" w:rsidR="004A31B2" w:rsidRPr="004A31B2" w:rsidRDefault="004A31B2" w:rsidP="004A31B2">
            <w:pPr>
              <w:spacing w:after="0" w:line="240" w:lineRule="auto"/>
              <w:jc w:val="right"/>
              <w:rPr>
                <w:rFonts w:ascii="Times New Roman" w:eastAsia="Times New Roman" w:hAnsi="Times New Roman"/>
                <w:sz w:val="20"/>
                <w:szCs w:val="20"/>
              </w:rPr>
            </w:pPr>
          </w:p>
        </w:tc>
      </w:tr>
      <w:tr w:rsidR="004A31B2" w:rsidRPr="004A31B2" w14:paraId="26E7580B" w14:textId="77777777" w:rsidTr="004A31B2">
        <w:trPr>
          <w:trHeight w:val="300"/>
        </w:trPr>
        <w:tc>
          <w:tcPr>
            <w:tcW w:w="3260" w:type="dxa"/>
            <w:tcBorders>
              <w:top w:val="nil"/>
              <w:left w:val="nil"/>
              <w:bottom w:val="nil"/>
              <w:right w:val="nil"/>
            </w:tcBorders>
            <w:shd w:val="clear" w:color="auto" w:fill="auto"/>
            <w:noWrap/>
            <w:vAlign w:val="bottom"/>
            <w:hideMark/>
          </w:tcPr>
          <w:p w14:paraId="7EB77CC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Basic</w:t>
            </w:r>
          </w:p>
        </w:tc>
        <w:tc>
          <w:tcPr>
            <w:tcW w:w="1100" w:type="dxa"/>
            <w:tcBorders>
              <w:top w:val="nil"/>
              <w:left w:val="nil"/>
              <w:bottom w:val="nil"/>
              <w:right w:val="nil"/>
            </w:tcBorders>
            <w:shd w:val="clear" w:color="auto" w:fill="auto"/>
            <w:noWrap/>
            <w:vAlign w:val="bottom"/>
            <w:hideMark/>
          </w:tcPr>
          <w:p w14:paraId="603AB74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7,725 </w:t>
            </w:r>
          </w:p>
        </w:tc>
        <w:tc>
          <w:tcPr>
            <w:tcW w:w="100" w:type="dxa"/>
            <w:tcBorders>
              <w:top w:val="nil"/>
              <w:left w:val="nil"/>
              <w:bottom w:val="nil"/>
              <w:right w:val="nil"/>
            </w:tcBorders>
            <w:shd w:val="clear" w:color="auto" w:fill="auto"/>
            <w:noWrap/>
            <w:vAlign w:val="bottom"/>
            <w:hideMark/>
          </w:tcPr>
          <w:p w14:paraId="4797237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C37ACC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7,895 </w:t>
            </w:r>
          </w:p>
        </w:tc>
        <w:tc>
          <w:tcPr>
            <w:tcW w:w="201" w:type="dxa"/>
            <w:tcBorders>
              <w:top w:val="nil"/>
              <w:left w:val="nil"/>
              <w:bottom w:val="nil"/>
              <w:right w:val="nil"/>
            </w:tcBorders>
            <w:shd w:val="clear" w:color="auto" w:fill="auto"/>
            <w:noWrap/>
            <w:vAlign w:val="bottom"/>
            <w:hideMark/>
          </w:tcPr>
          <w:p w14:paraId="4EEBF20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CB10F6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7,756 </w:t>
            </w:r>
          </w:p>
        </w:tc>
        <w:tc>
          <w:tcPr>
            <w:tcW w:w="100" w:type="dxa"/>
            <w:tcBorders>
              <w:top w:val="nil"/>
              <w:left w:val="nil"/>
              <w:bottom w:val="nil"/>
              <w:right w:val="nil"/>
            </w:tcBorders>
            <w:shd w:val="clear" w:color="auto" w:fill="auto"/>
            <w:noWrap/>
            <w:vAlign w:val="bottom"/>
            <w:hideMark/>
          </w:tcPr>
          <w:p w14:paraId="3FA8848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EF061D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7,952 </w:t>
            </w:r>
          </w:p>
        </w:tc>
      </w:tr>
      <w:tr w:rsidR="004A31B2" w:rsidRPr="004A31B2" w14:paraId="7B0E3A95" w14:textId="77777777" w:rsidTr="004A31B2">
        <w:trPr>
          <w:trHeight w:val="300"/>
        </w:trPr>
        <w:tc>
          <w:tcPr>
            <w:tcW w:w="3260" w:type="dxa"/>
            <w:tcBorders>
              <w:top w:val="nil"/>
              <w:left w:val="nil"/>
              <w:bottom w:val="nil"/>
              <w:right w:val="nil"/>
            </w:tcBorders>
            <w:shd w:val="clear" w:color="auto" w:fill="auto"/>
            <w:noWrap/>
            <w:vAlign w:val="bottom"/>
            <w:hideMark/>
          </w:tcPr>
          <w:p w14:paraId="14296209"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Diluted</w:t>
            </w:r>
          </w:p>
        </w:tc>
        <w:tc>
          <w:tcPr>
            <w:tcW w:w="1100" w:type="dxa"/>
            <w:tcBorders>
              <w:top w:val="nil"/>
              <w:left w:val="nil"/>
              <w:bottom w:val="nil"/>
              <w:right w:val="nil"/>
            </w:tcBorders>
            <w:shd w:val="clear" w:color="auto" w:fill="auto"/>
            <w:noWrap/>
            <w:vAlign w:val="bottom"/>
            <w:hideMark/>
          </w:tcPr>
          <w:p w14:paraId="12A2A40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7,813 </w:t>
            </w:r>
          </w:p>
        </w:tc>
        <w:tc>
          <w:tcPr>
            <w:tcW w:w="100" w:type="dxa"/>
            <w:tcBorders>
              <w:top w:val="nil"/>
              <w:left w:val="nil"/>
              <w:bottom w:val="nil"/>
              <w:right w:val="nil"/>
            </w:tcBorders>
            <w:shd w:val="clear" w:color="auto" w:fill="auto"/>
            <w:noWrap/>
            <w:vAlign w:val="bottom"/>
            <w:hideMark/>
          </w:tcPr>
          <w:p w14:paraId="047C43B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E3E97C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7,985 </w:t>
            </w:r>
          </w:p>
        </w:tc>
        <w:tc>
          <w:tcPr>
            <w:tcW w:w="201" w:type="dxa"/>
            <w:tcBorders>
              <w:top w:val="nil"/>
              <w:left w:val="nil"/>
              <w:bottom w:val="nil"/>
              <w:right w:val="nil"/>
            </w:tcBorders>
            <w:shd w:val="clear" w:color="auto" w:fill="auto"/>
            <w:noWrap/>
            <w:vAlign w:val="bottom"/>
            <w:hideMark/>
          </w:tcPr>
          <w:p w14:paraId="32516E0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8F700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7,840 </w:t>
            </w:r>
          </w:p>
        </w:tc>
        <w:tc>
          <w:tcPr>
            <w:tcW w:w="100" w:type="dxa"/>
            <w:tcBorders>
              <w:top w:val="nil"/>
              <w:left w:val="nil"/>
              <w:bottom w:val="nil"/>
              <w:right w:val="nil"/>
            </w:tcBorders>
            <w:shd w:val="clear" w:color="auto" w:fill="auto"/>
            <w:noWrap/>
            <w:vAlign w:val="bottom"/>
            <w:hideMark/>
          </w:tcPr>
          <w:p w14:paraId="36D52F3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B807B7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8,041 </w:t>
            </w:r>
          </w:p>
        </w:tc>
      </w:tr>
      <w:tr w:rsidR="004A31B2" w:rsidRPr="004A31B2" w14:paraId="4FBE0BAD" w14:textId="77777777" w:rsidTr="004A31B2">
        <w:trPr>
          <w:trHeight w:val="600"/>
        </w:trPr>
        <w:tc>
          <w:tcPr>
            <w:tcW w:w="3260" w:type="dxa"/>
            <w:tcBorders>
              <w:top w:val="nil"/>
              <w:left w:val="nil"/>
              <w:bottom w:val="single" w:sz="4" w:space="0" w:color="auto"/>
              <w:right w:val="nil"/>
            </w:tcBorders>
            <w:shd w:val="clear" w:color="auto" w:fill="auto"/>
            <w:vAlign w:val="bottom"/>
            <w:hideMark/>
          </w:tcPr>
          <w:p w14:paraId="6BEA4D9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Cash dividends declared per</w:t>
            </w:r>
            <w:r w:rsidRPr="004A31B2">
              <w:rPr>
                <w:rFonts w:ascii="Segoe UI" w:eastAsia="Times New Roman" w:hAnsi="Segoe UI" w:cs="Segoe UI"/>
                <w:color w:val="666666"/>
                <w:sz w:val="20"/>
                <w:szCs w:val="20"/>
              </w:rPr>
              <w:br/>
              <w:t xml:space="preserve">   common share</w:t>
            </w:r>
          </w:p>
        </w:tc>
        <w:tc>
          <w:tcPr>
            <w:tcW w:w="1100" w:type="dxa"/>
            <w:tcBorders>
              <w:top w:val="nil"/>
              <w:left w:val="nil"/>
              <w:bottom w:val="single" w:sz="4" w:space="0" w:color="auto"/>
              <w:right w:val="nil"/>
            </w:tcBorders>
            <w:shd w:val="clear" w:color="auto" w:fill="auto"/>
            <w:noWrap/>
            <w:vAlign w:val="bottom"/>
            <w:hideMark/>
          </w:tcPr>
          <w:p w14:paraId="16B0074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$0.39 </w:t>
            </w:r>
          </w:p>
        </w:tc>
        <w:tc>
          <w:tcPr>
            <w:tcW w:w="100" w:type="dxa"/>
            <w:tcBorders>
              <w:top w:val="nil"/>
              <w:left w:val="nil"/>
              <w:bottom w:val="single" w:sz="4" w:space="0" w:color="auto"/>
              <w:right w:val="nil"/>
            </w:tcBorders>
            <w:shd w:val="clear" w:color="auto" w:fill="auto"/>
            <w:noWrap/>
            <w:vAlign w:val="bottom"/>
            <w:hideMark/>
          </w:tcPr>
          <w:p w14:paraId="7A1506A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13AC8A1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$0.36 </w:t>
            </w:r>
          </w:p>
        </w:tc>
        <w:tc>
          <w:tcPr>
            <w:tcW w:w="201" w:type="dxa"/>
            <w:tcBorders>
              <w:top w:val="nil"/>
              <w:left w:val="nil"/>
              <w:bottom w:val="single" w:sz="4" w:space="0" w:color="auto"/>
              <w:right w:val="nil"/>
            </w:tcBorders>
            <w:shd w:val="clear" w:color="auto" w:fill="auto"/>
            <w:noWrap/>
            <w:vAlign w:val="bottom"/>
            <w:hideMark/>
          </w:tcPr>
          <w:p w14:paraId="5D3B276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164062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$1.17 </w:t>
            </w:r>
          </w:p>
        </w:tc>
        <w:tc>
          <w:tcPr>
            <w:tcW w:w="100" w:type="dxa"/>
            <w:tcBorders>
              <w:top w:val="nil"/>
              <w:left w:val="nil"/>
              <w:bottom w:val="single" w:sz="4" w:space="0" w:color="auto"/>
              <w:right w:val="nil"/>
            </w:tcBorders>
            <w:shd w:val="clear" w:color="auto" w:fill="auto"/>
            <w:noWrap/>
            <w:vAlign w:val="bottom"/>
            <w:hideMark/>
          </w:tcPr>
          <w:p w14:paraId="354C7DD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5284E7D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$1.08 </w:t>
            </w:r>
          </w:p>
        </w:tc>
      </w:tr>
    </w:tbl>
    <w:p w14:paraId="5869E8F2" w14:textId="43BA4A79" w:rsidR="004A31B2" w:rsidRDefault="004A31B2" w:rsidP="00314DAE">
      <w:pPr>
        <w:pStyle w:val="NoSpacing"/>
        <w:spacing w:before="240" w:after="240" w:line="276" w:lineRule="auto"/>
        <w:rPr>
          <w:rFonts w:ascii="Segoe UI" w:hAnsi="Segoe UI" w:cs="Segoe UI"/>
          <w:color w:val="666666"/>
          <w:sz w:val="20"/>
          <w:szCs w:val="20"/>
        </w:rPr>
      </w:pPr>
    </w:p>
    <w:p w14:paraId="5CC7D8A0" w14:textId="77777777" w:rsidR="004A31B2" w:rsidRDefault="004A31B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181" w:type="dxa"/>
        <w:tblLook w:val="04A0" w:firstRow="1" w:lastRow="0" w:firstColumn="1" w:lastColumn="0" w:noHBand="0" w:noVBand="1"/>
      </w:tblPr>
      <w:tblGrid>
        <w:gridCol w:w="3560"/>
        <w:gridCol w:w="1100"/>
        <w:gridCol w:w="272"/>
        <w:gridCol w:w="960"/>
        <w:gridCol w:w="272"/>
        <w:gridCol w:w="1200"/>
        <w:gridCol w:w="272"/>
        <w:gridCol w:w="960"/>
      </w:tblGrid>
      <w:tr w:rsidR="004A31B2" w:rsidRPr="004A31B2" w14:paraId="515F670F" w14:textId="77777777" w:rsidTr="004A31B2">
        <w:trPr>
          <w:trHeight w:val="300"/>
        </w:trPr>
        <w:tc>
          <w:tcPr>
            <w:tcW w:w="3560" w:type="dxa"/>
            <w:tcBorders>
              <w:top w:val="nil"/>
              <w:left w:val="nil"/>
              <w:bottom w:val="nil"/>
              <w:right w:val="nil"/>
            </w:tcBorders>
            <w:shd w:val="clear" w:color="auto" w:fill="auto"/>
            <w:noWrap/>
            <w:vAlign w:val="bottom"/>
            <w:hideMark/>
          </w:tcPr>
          <w:p w14:paraId="370FE517"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MICROSOFT CORPORATION</w:t>
            </w:r>
          </w:p>
        </w:tc>
        <w:tc>
          <w:tcPr>
            <w:tcW w:w="1100" w:type="dxa"/>
            <w:tcBorders>
              <w:top w:val="nil"/>
              <w:left w:val="nil"/>
              <w:bottom w:val="nil"/>
              <w:right w:val="nil"/>
            </w:tcBorders>
            <w:shd w:val="clear" w:color="auto" w:fill="auto"/>
            <w:noWrap/>
            <w:vAlign w:val="bottom"/>
            <w:hideMark/>
          </w:tcPr>
          <w:p w14:paraId="77D465AA"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2A4D217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C08E176" w14:textId="77777777" w:rsidR="004A31B2" w:rsidRPr="004A31B2" w:rsidRDefault="004A31B2" w:rsidP="004A31B2">
            <w:pPr>
              <w:spacing w:after="0" w:line="240" w:lineRule="auto"/>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2BBE5DE9"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12578CE"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55984369"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D5F0569"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7BDB1A24" w14:textId="77777777" w:rsidTr="004A31B2">
        <w:trPr>
          <w:trHeight w:val="300"/>
        </w:trPr>
        <w:tc>
          <w:tcPr>
            <w:tcW w:w="3560" w:type="dxa"/>
            <w:tcBorders>
              <w:top w:val="nil"/>
              <w:left w:val="nil"/>
              <w:bottom w:val="nil"/>
              <w:right w:val="nil"/>
            </w:tcBorders>
            <w:shd w:val="clear" w:color="auto" w:fill="auto"/>
            <w:noWrap/>
            <w:vAlign w:val="bottom"/>
            <w:hideMark/>
          </w:tcPr>
          <w:p w14:paraId="54018317"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00" w:type="dxa"/>
            <w:tcBorders>
              <w:top w:val="nil"/>
              <w:left w:val="nil"/>
              <w:bottom w:val="nil"/>
              <w:right w:val="nil"/>
            </w:tcBorders>
            <w:shd w:val="clear" w:color="auto" w:fill="auto"/>
            <w:noWrap/>
            <w:vAlign w:val="bottom"/>
            <w:hideMark/>
          </w:tcPr>
          <w:p w14:paraId="590EDE9F"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A7F6EBA"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5C79DCC" w14:textId="77777777" w:rsidR="004A31B2" w:rsidRPr="004A31B2" w:rsidRDefault="004A31B2" w:rsidP="004A31B2">
            <w:pPr>
              <w:spacing w:after="0" w:line="240" w:lineRule="auto"/>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05FD9F36"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DD19715"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1C9DF0E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22E78BF"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0F93DE39" w14:textId="77777777" w:rsidTr="004A31B2">
        <w:trPr>
          <w:trHeight w:val="300"/>
        </w:trPr>
        <w:tc>
          <w:tcPr>
            <w:tcW w:w="8181" w:type="dxa"/>
            <w:gridSpan w:val="8"/>
            <w:tcBorders>
              <w:top w:val="nil"/>
              <w:left w:val="nil"/>
              <w:bottom w:val="nil"/>
              <w:right w:val="nil"/>
            </w:tcBorders>
            <w:shd w:val="clear" w:color="auto" w:fill="auto"/>
            <w:noWrap/>
            <w:vAlign w:val="bottom"/>
            <w:hideMark/>
          </w:tcPr>
          <w:p w14:paraId="1F86C081"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COMPREHENSIVE INCOME STATEMENTS</w:t>
            </w:r>
          </w:p>
        </w:tc>
      </w:tr>
      <w:tr w:rsidR="004A31B2" w:rsidRPr="004A31B2" w14:paraId="1FFEDC42" w14:textId="77777777" w:rsidTr="004A31B2">
        <w:trPr>
          <w:trHeight w:val="300"/>
        </w:trPr>
        <w:tc>
          <w:tcPr>
            <w:tcW w:w="8181" w:type="dxa"/>
            <w:gridSpan w:val="8"/>
            <w:tcBorders>
              <w:top w:val="nil"/>
              <w:left w:val="nil"/>
              <w:bottom w:val="nil"/>
              <w:right w:val="nil"/>
            </w:tcBorders>
            <w:shd w:val="clear" w:color="auto" w:fill="auto"/>
            <w:noWrap/>
            <w:vAlign w:val="bottom"/>
            <w:hideMark/>
          </w:tcPr>
          <w:p w14:paraId="36C0DD84"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(In </w:t>
            </w:r>
            <w:proofErr w:type="gramStart"/>
            <w:r w:rsidRPr="004A31B2">
              <w:rPr>
                <w:rFonts w:ascii="Segoe UI" w:eastAsia="Times New Roman" w:hAnsi="Segoe UI" w:cs="Segoe UI"/>
                <w:color w:val="666666"/>
                <w:sz w:val="20"/>
                <w:szCs w:val="20"/>
              </w:rPr>
              <w:t>millions)(</w:t>
            </w:r>
            <w:proofErr w:type="gramEnd"/>
            <w:r w:rsidRPr="004A31B2">
              <w:rPr>
                <w:rFonts w:ascii="Segoe UI" w:eastAsia="Times New Roman" w:hAnsi="Segoe UI" w:cs="Segoe UI"/>
                <w:color w:val="666666"/>
                <w:sz w:val="20"/>
                <w:szCs w:val="20"/>
              </w:rPr>
              <w:t>Unaudited)</w:t>
            </w:r>
          </w:p>
        </w:tc>
      </w:tr>
      <w:tr w:rsidR="004A31B2" w:rsidRPr="004A31B2" w14:paraId="4CADF775" w14:textId="77777777" w:rsidTr="004A31B2">
        <w:trPr>
          <w:trHeight w:val="300"/>
        </w:trPr>
        <w:tc>
          <w:tcPr>
            <w:tcW w:w="3560" w:type="dxa"/>
            <w:tcBorders>
              <w:top w:val="nil"/>
              <w:left w:val="nil"/>
              <w:bottom w:val="nil"/>
              <w:right w:val="nil"/>
            </w:tcBorders>
            <w:shd w:val="clear" w:color="auto" w:fill="auto"/>
            <w:noWrap/>
            <w:vAlign w:val="bottom"/>
            <w:hideMark/>
          </w:tcPr>
          <w:p w14:paraId="0F549883"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p>
        </w:tc>
        <w:tc>
          <w:tcPr>
            <w:tcW w:w="1100" w:type="dxa"/>
            <w:tcBorders>
              <w:top w:val="nil"/>
              <w:left w:val="nil"/>
              <w:bottom w:val="nil"/>
              <w:right w:val="nil"/>
            </w:tcBorders>
            <w:shd w:val="clear" w:color="auto" w:fill="auto"/>
            <w:noWrap/>
            <w:vAlign w:val="bottom"/>
            <w:hideMark/>
          </w:tcPr>
          <w:p w14:paraId="3B6B8679"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712A23B"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10E675D9"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7443B316"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43A481A"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AED0A0D"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A7712F" w14:textId="77777777" w:rsidR="004A31B2" w:rsidRPr="004A31B2" w:rsidRDefault="004A31B2" w:rsidP="004A31B2">
            <w:pPr>
              <w:spacing w:after="0" w:line="240" w:lineRule="auto"/>
              <w:jc w:val="center"/>
              <w:rPr>
                <w:rFonts w:ascii="Times New Roman" w:eastAsia="Times New Roman" w:hAnsi="Times New Roman"/>
                <w:sz w:val="20"/>
                <w:szCs w:val="20"/>
              </w:rPr>
            </w:pPr>
          </w:p>
        </w:tc>
      </w:tr>
      <w:tr w:rsidR="004A31B2" w:rsidRPr="004A31B2" w14:paraId="5CA819B6" w14:textId="77777777" w:rsidTr="004A31B2">
        <w:trPr>
          <w:trHeight w:val="300"/>
        </w:trPr>
        <w:tc>
          <w:tcPr>
            <w:tcW w:w="3560" w:type="dxa"/>
            <w:tcBorders>
              <w:top w:val="nil"/>
              <w:left w:val="nil"/>
              <w:bottom w:val="nil"/>
              <w:right w:val="nil"/>
            </w:tcBorders>
            <w:shd w:val="clear" w:color="auto" w:fill="auto"/>
            <w:noWrap/>
            <w:vAlign w:val="bottom"/>
            <w:hideMark/>
          </w:tcPr>
          <w:p w14:paraId="48FB261C"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160" w:type="dxa"/>
            <w:gridSpan w:val="3"/>
            <w:vMerge w:val="restart"/>
            <w:tcBorders>
              <w:top w:val="nil"/>
              <w:left w:val="nil"/>
              <w:bottom w:val="nil"/>
              <w:right w:val="nil"/>
            </w:tcBorders>
            <w:shd w:val="clear" w:color="auto" w:fill="auto"/>
            <w:vAlign w:val="bottom"/>
            <w:hideMark/>
          </w:tcPr>
          <w:p w14:paraId="65F1DB8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Three Months Ended March 31,</w:t>
            </w:r>
          </w:p>
        </w:tc>
        <w:tc>
          <w:tcPr>
            <w:tcW w:w="201" w:type="dxa"/>
            <w:tcBorders>
              <w:top w:val="nil"/>
              <w:left w:val="nil"/>
              <w:bottom w:val="nil"/>
              <w:right w:val="nil"/>
            </w:tcBorders>
            <w:shd w:val="clear" w:color="auto" w:fill="auto"/>
            <w:vAlign w:val="bottom"/>
            <w:hideMark/>
          </w:tcPr>
          <w:p w14:paraId="0A7EF42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260" w:type="dxa"/>
            <w:gridSpan w:val="3"/>
            <w:vMerge w:val="restart"/>
            <w:tcBorders>
              <w:top w:val="nil"/>
              <w:left w:val="nil"/>
              <w:bottom w:val="nil"/>
              <w:right w:val="nil"/>
            </w:tcBorders>
            <w:shd w:val="clear" w:color="auto" w:fill="auto"/>
            <w:vAlign w:val="bottom"/>
            <w:hideMark/>
          </w:tcPr>
          <w:p w14:paraId="436A360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Nine Months Ended March 31,</w:t>
            </w:r>
          </w:p>
        </w:tc>
      </w:tr>
      <w:tr w:rsidR="004A31B2" w:rsidRPr="004A31B2" w14:paraId="2A673C24" w14:textId="77777777" w:rsidTr="004A31B2">
        <w:trPr>
          <w:trHeight w:val="300"/>
        </w:trPr>
        <w:tc>
          <w:tcPr>
            <w:tcW w:w="3560" w:type="dxa"/>
            <w:tcBorders>
              <w:top w:val="nil"/>
              <w:left w:val="nil"/>
              <w:bottom w:val="nil"/>
              <w:right w:val="nil"/>
            </w:tcBorders>
            <w:shd w:val="clear" w:color="auto" w:fill="auto"/>
            <w:noWrap/>
            <w:vAlign w:val="bottom"/>
            <w:hideMark/>
          </w:tcPr>
          <w:p w14:paraId="37EF538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160" w:type="dxa"/>
            <w:gridSpan w:val="3"/>
            <w:vMerge/>
            <w:tcBorders>
              <w:top w:val="nil"/>
              <w:left w:val="nil"/>
              <w:bottom w:val="nil"/>
              <w:right w:val="nil"/>
            </w:tcBorders>
            <w:vAlign w:val="center"/>
            <w:hideMark/>
          </w:tcPr>
          <w:p w14:paraId="736437E8"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201" w:type="dxa"/>
            <w:tcBorders>
              <w:top w:val="nil"/>
              <w:left w:val="nil"/>
              <w:bottom w:val="nil"/>
              <w:right w:val="nil"/>
            </w:tcBorders>
            <w:shd w:val="clear" w:color="auto" w:fill="auto"/>
            <w:vAlign w:val="bottom"/>
            <w:hideMark/>
          </w:tcPr>
          <w:p w14:paraId="66C1C5A0" w14:textId="77777777" w:rsidR="004A31B2" w:rsidRPr="004A31B2" w:rsidRDefault="004A31B2" w:rsidP="004A31B2">
            <w:pPr>
              <w:spacing w:after="0" w:line="240" w:lineRule="auto"/>
              <w:rPr>
                <w:rFonts w:ascii="Times New Roman" w:eastAsia="Times New Roman" w:hAnsi="Times New Roman"/>
                <w:sz w:val="20"/>
                <w:szCs w:val="20"/>
              </w:rPr>
            </w:pPr>
          </w:p>
        </w:tc>
        <w:tc>
          <w:tcPr>
            <w:tcW w:w="2260" w:type="dxa"/>
            <w:gridSpan w:val="3"/>
            <w:vMerge/>
            <w:tcBorders>
              <w:top w:val="nil"/>
              <w:left w:val="nil"/>
              <w:bottom w:val="nil"/>
              <w:right w:val="nil"/>
            </w:tcBorders>
            <w:vAlign w:val="center"/>
            <w:hideMark/>
          </w:tcPr>
          <w:p w14:paraId="32C77F31"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r>
      <w:tr w:rsidR="004A31B2" w:rsidRPr="004A31B2" w14:paraId="111DD94C" w14:textId="77777777" w:rsidTr="004A31B2">
        <w:trPr>
          <w:trHeight w:val="300"/>
        </w:trPr>
        <w:tc>
          <w:tcPr>
            <w:tcW w:w="3560" w:type="dxa"/>
            <w:tcBorders>
              <w:top w:val="nil"/>
              <w:left w:val="nil"/>
              <w:bottom w:val="single" w:sz="4" w:space="0" w:color="auto"/>
              <w:right w:val="nil"/>
            </w:tcBorders>
            <w:shd w:val="clear" w:color="auto" w:fill="auto"/>
            <w:noWrap/>
            <w:vAlign w:val="bottom"/>
            <w:hideMark/>
          </w:tcPr>
          <w:p w14:paraId="557AF38A"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single" w:sz="4" w:space="0" w:color="auto"/>
              <w:right w:val="nil"/>
            </w:tcBorders>
            <w:shd w:val="clear" w:color="auto" w:fill="auto"/>
            <w:noWrap/>
            <w:vAlign w:val="bottom"/>
            <w:hideMark/>
          </w:tcPr>
          <w:p w14:paraId="68DDD36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2103908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20CB4AE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c>
          <w:tcPr>
            <w:tcW w:w="201" w:type="dxa"/>
            <w:tcBorders>
              <w:top w:val="nil"/>
              <w:left w:val="nil"/>
              <w:bottom w:val="single" w:sz="4" w:space="0" w:color="auto"/>
              <w:right w:val="nil"/>
            </w:tcBorders>
            <w:shd w:val="clear" w:color="auto" w:fill="auto"/>
            <w:noWrap/>
            <w:vAlign w:val="bottom"/>
            <w:hideMark/>
          </w:tcPr>
          <w:p w14:paraId="32064A6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66219C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6C82D90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72CBD7A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r>
      <w:tr w:rsidR="004A31B2" w:rsidRPr="004A31B2" w14:paraId="5679782A" w14:textId="77777777" w:rsidTr="004A31B2">
        <w:trPr>
          <w:trHeight w:val="300"/>
        </w:trPr>
        <w:tc>
          <w:tcPr>
            <w:tcW w:w="3560" w:type="dxa"/>
            <w:tcBorders>
              <w:top w:val="nil"/>
              <w:left w:val="nil"/>
              <w:bottom w:val="nil"/>
              <w:right w:val="nil"/>
            </w:tcBorders>
            <w:shd w:val="clear" w:color="auto" w:fill="auto"/>
            <w:noWrap/>
            <w:vAlign w:val="bottom"/>
            <w:hideMark/>
          </w:tcPr>
          <w:p w14:paraId="4125FD2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Net income</w:t>
            </w:r>
          </w:p>
        </w:tc>
        <w:tc>
          <w:tcPr>
            <w:tcW w:w="1100" w:type="dxa"/>
            <w:tcBorders>
              <w:top w:val="nil"/>
              <w:left w:val="nil"/>
              <w:bottom w:val="single" w:sz="4" w:space="0" w:color="auto"/>
              <w:right w:val="nil"/>
            </w:tcBorders>
            <w:shd w:val="clear" w:color="auto" w:fill="auto"/>
            <w:noWrap/>
            <w:vAlign w:val="bottom"/>
            <w:hideMark/>
          </w:tcPr>
          <w:p w14:paraId="696E3C2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$4,801 </w:t>
            </w:r>
          </w:p>
        </w:tc>
        <w:tc>
          <w:tcPr>
            <w:tcW w:w="100" w:type="dxa"/>
            <w:tcBorders>
              <w:top w:val="nil"/>
              <w:left w:val="nil"/>
              <w:bottom w:val="nil"/>
              <w:right w:val="nil"/>
            </w:tcBorders>
            <w:shd w:val="clear" w:color="auto" w:fill="auto"/>
            <w:noWrap/>
            <w:vAlign w:val="bottom"/>
            <w:hideMark/>
          </w:tcPr>
          <w:p w14:paraId="4507773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4A75764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$3,756 </w:t>
            </w:r>
          </w:p>
        </w:tc>
        <w:tc>
          <w:tcPr>
            <w:tcW w:w="201" w:type="dxa"/>
            <w:tcBorders>
              <w:top w:val="nil"/>
              <w:left w:val="nil"/>
              <w:bottom w:val="nil"/>
              <w:right w:val="nil"/>
            </w:tcBorders>
            <w:shd w:val="clear" w:color="auto" w:fill="auto"/>
            <w:noWrap/>
            <w:vAlign w:val="bottom"/>
            <w:hideMark/>
          </w:tcPr>
          <w:p w14:paraId="1746B6C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EDF440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$14,691 </w:t>
            </w:r>
          </w:p>
        </w:tc>
        <w:tc>
          <w:tcPr>
            <w:tcW w:w="100" w:type="dxa"/>
            <w:tcBorders>
              <w:top w:val="nil"/>
              <w:left w:val="nil"/>
              <w:bottom w:val="nil"/>
              <w:right w:val="nil"/>
            </w:tcBorders>
            <w:shd w:val="clear" w:color="auto" w:fill="auto"/>
            <w:noWrap/>
            <w:vAlign w:val="bottom"/>
            <w:hideMark/>
          </w:tcPr>
          <w:p w14:paraId="2642199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50DD57A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$13,676 </w:t>
            </w:r>
          </w:p>
        </w:tc>
      </w:tr>
      <w:tr w:rsidR="004A31B2" w:rsidRPr="004A31B2" w14:paraId="08B7B143" w14:textId="77777777" w:rsidTr="004A31B2">
        <w:trPr>
          <w:trHeight w:val="300"/>
        </w:trPr>
        <w:tc>
          <w:tcPr>
            <w:tcW w:w="3560" w:type="dxa"/>
            <w:tcBorders>
              <w:top w:val="nil"/>
              <w:left w:val="nil"/>
              <w:bottom w:val="nil"/>
              <w:right w:val="nil"/>
            </w:tcBorders>
            <w:shd w:val="clear" w:color="auto" w:fill="auto"/>
            <w:noWrap/>
            <w:vAlign w:val="bottom"/>
            <w:hideMark/>
          </w:tcPr>
          <w:p w14:paraId="0D03C7D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Other comprehensive income (loss):</w:t>
            </w:r>
          </w:p>
        </w:tc>
        <w:tc>
          <w:tcPr>
            <w:tcW w:w="1100" w:type="dxa"/>
            <w:tcBorders>
              <w:top w:val="nil"/>
              <w:left w:val="nil"/>
              <w:bottom w:val="nil"/>
              <w:right w:val="nil"/>
            </w:tcBorders>
            <w:shd w:val="clear" w:color="auto" w:fill="auto"/>
            <w:noWrap/>
            <w:vAlign w:val="bottom"/>
            <w:hideMark/>
          </w:tcPr>
          <w:p w14:paraId="65154742"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7C5BA0DD" w14:textId="77777777" w:rsidR="004A31B2" w:rsidRPr="004A31B2" w:rsidRDefault="004A31B2" w:rsidP="004A31B2">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374215"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201" w:type="dxa"/>
            <w:tcBorders>
              <w:top w:val="nil"/>
              <w:left w:val="nil"/>
              <w:bottom w:val="nil"/>
              <w:right w:val="nil"/>
            </w:tcBorders>
            <w:shd w:val="clear" w:color="auto" w:fill="auto"/>
            <w:noWrap/>
            <w:vAlign w:val="bottom"/>
            <w:hideMark/>
          </w:tcPr>
          <w:p w14:paraId="7CEF0CF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9D0A0A3"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53AF8FD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112D0F7C" w14:textId="77777777" w:rsidR="004A31B2" w:rsidRPr="004A31B2" w:rsidRDefault="004A31B2" w:rsidP="004A31B2">
            <w:pPr>
              <w:spacing w:after="0" w:line="240" w:lineRule="auto"/>
              <w:jc w:val="right"/>
              <w:rPr>
                <w:rFonts w:ascii="Times New Roman" w:eastAsia="Times New Roman" w:hAnsi="Times New Roman"/>
                <w:sz w:val="20"/>
                <w:szCs w:val="20"/>
              </w:rPr>
            </w:pPr>
          </w:p>
        </w:tc>
      </w:tr>
      <w:tr w:rsidR="004A31B2" w:rsidRPr="004A31B2" w14:paraId="5FCE07F9" w14:textId="77777777" w:rsidTr="004A31B2">
        <w:trPr>
          <w:trHeight w:val="900"/>
        </w:trPr>
        <w:tc>
          <w:tcPr>
            <w:tcW w:w="3560" w:type="dxa"/>
            <w:tcBorders>
              <w:top w:val="nil"/>
              <w:left w:val="nil"/>
              <w:bottom w:val="nil"/>
              <w:right w:val="nil"/>
            </w:tcBorders>
            <w:shd w:val="clear" w:color="auto" w:fill="auto"/>
            <w:vAlign w:val="bottom"/>
            <w:hideMark/>
          </w:tcPr>
          <w:p w14:paraId="0A18071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Net unrealized gains (losses) on </w:t>
            </w:r>
            <w:r w:rsidRPr="004A31B2">
              <w:rPr>
                <w:rFonts w:ascii="Segoe UI" w:eastAsia="Times New Roman" w:hAnsi="Segoe UI" w:cs="Segoe UI"/>
                <w:color w:val="666666"/>
                <w:sz w:val="20"/>
                <w:szCs w:val="20"/>
              </w:rPr>
              <w:br/>
              <w:t xml:space="preserve">   derivatives (net of tax effects </w:t>
            </w:r>
            <w:r w:rsidRPr="004A31B2">
              <w:rPr>
                <w:rFonts w:ascii="Segoe UI" w:eastAsia="Times New Roman" w:hAnsi="Segoe UI" w:cs="Segoe UI"/>
                <w:color w:val="666666"/>
                <w:sz w:val="20"/>
                <w:szCs w:val="20"/>
              </w:rPr>
              <w:br/>
              <w:t xml:space="preserve">   of </w:t>
            </w:r>
            <w:r w:rsidRPr="004A31B2">
              <w:rPr>
                <w:rFonts w:ascii="Segoe UI" w:eastAsia="Times New Roman" w:hAnsi="Segoe UI" w:cs="Segoe UI"/>
                <w:b/>
                <w:bCs/>
                <w:color w:val="666666"/>
                <w:sz w:val="20"/>
                <w:szCs w:val="20"/>
              </w:rPr>
              <w:t>$1</w:t>
            </w:r>
            <w:r w:rsidRPr="004A31B2">
              <w:rPr>
                <w:rFonts w:ascii="Segoe UI" w:eastAsia="Times New Roman" w:hAnsi="Segoe UI" w:cs="Segoe UI"/>
                <w:color w:val="666666"/>
                <w:sz w:val="20"/>
                <w:szCs w:val="20"/>
              </w:rPr>
              <w:t xml:space="preserve">, $(30), </w:t>
            </w:r>
            <w:r w:rsidRPr="004A31B2">
              <w:rPr>
                <w:rFonts w:ascii="Segoe UI" w:eastAsia="Times New Roman" w:hAnsi="Segoe UI" w:cs="Segoe UI"/>
                <w:b/>
                <w:bCs/>
                <w:color w:val="666666"/>
                <w:sz w:val="20"/>
                <w:szCs w:val="20"/>
              </w:rPr>
              <w:t>$(1)</w:t>
            </w:r>
            <w:r w:rsidRPr="004A31B2">
              <w:rPr>
                <w:rFonts w:ascii="Segoe UI" w:eastAsia="Times New Roman" w:hAnsi="Segoe UI" w:cs="Segoe UI"/>
                <w:color w:val="666666"/>
                <w:sz w:val="20"/>
                <w:szCs w:val="20"/>
              </w:rPr>
              <w:t>, and $(2))</w:t>
            </w:r>
          </w:p>
        </w:tc>
        <w:tc>
          <w:tcPr>
            <w:tcW w:w="1100" w:type="dxa"/>
            <w:tcBorders>
              <w:top w:val="nil"/>
              <w:left w:val="nil"/>
              <w:bottom w:val="nil"/>
              <w:right w:val="nil"/>
            </w:tcBorders>
            <w:shd w:val="clear" w:color="auto" w:fill="auto"/>
            <w:noWrap/>
            <w:vAlign w:val="bottom"/>
            <w:hideMark/>
          </w:tcPr>
          <w:p w14:paraId="56D40C1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(225)</w:t>
            </w:r>
          </w:p>
        </w:tc>
        <w:tc>
          <w:tcPr>
            <w:tcW w:w="100" w:type="dxa"/>
            <w:tcBorders>
              <w:top w:val="nil"/>
              <w:left w:val="nil"/>
              <w:bottom w:val="nil"/>
              <w:right w:val="nil"/>
            </w:tcBorders>
            <w:shd w:val="clear" w:color="auto" w:fill="auto"/>
            <w:noWrap/>
            <w:vAlign w:val="bottom"/>
            <w:hideMark/>
          </w:tcPr>
          <w:p w14:paraId="1FDFA97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2740F8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(285)</w:t>
            </w:r>
          </w:p>
        </w:tc>
        <w:tc>
          <w:tcPr>
            <w:tcW w:w="201" w:type="dxa"/>
            <w:tcBorders>
              <w:top w:val="nil"/>
              <w:left w:val="nil"/>
              <w:bottom w:val="nil"/>
              <w:right w:val="nil"/>
            </w:tcBorders>
            <w:shd w:val="clear" w:color="auto" w:fill="auto"/>
            <w:noWrap/>
            <w:vAlign w:val="bottom"/>
            <w:hideMark/>
          </w:tcPr>
          <w:p w14:paraId="198529E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4A4632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18 </w:t>
            </w:r>
          </w:p>
        </w:tc>
        <w:tc>
          <w:tcPr>
            <w:tcW w:w="100" w:type="dxa"/>
            <w:tcBorders>
              <w:top w:val="nil"/>
              <w:left w:val="nil"/>
              <w:bottom w:val="nil"/>
              <w:right w:val="nil"/>
            </w:tcBorders>
            <w:shd w:val="clear" w:color="auto" w:fill="auto"/>
            <w:noWrap/>
            <w:vAlign w:val="bottom"/>
            <w:hideMark/>
          </w:tcPr>
          <w:p w14:paraId="517D5EE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1AFC96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(277)</w:t>
            </w:r>
          </w:p>
        </w:tc>
      </w:tr>
      <w:tr w:rsidR="004A31B2" w:rsidRPr="004A31B2" w14:paraId="14C78808" w14:textId="77777777" w:rsidTr="004A31B2">
        <w:trPr>
          <w:trHeight w:val="900"/>
        </w:trPr>
        <w:tc>
          <w:tcPr>
            <w:tcW w:w="3560" w:type="dxa"/>
            <w:tcBorders>
              <w:top w:val="nil"/>
              <w:left w:val="nil"/>
              <w:bottom w:val="nil"/>
              <w:right w:val="nil"/>
            </w:tcBorders>
            <w:shd w:val="clear" w:color="auto" w:fill="auto"/>
            <w:vAlign w:val="bottom"/>
            <w:hideMark/>
          </w:tcPr>
          <w:p w14:paraId="7E14C4F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Net unrealized gains (losses) on </w:t>
            </w:r>
            <w:r w:rsidRPr="004A31B2">
              <w:rPr>
                <w:rFonts w:ascii="Segoe UI" w:eastAsia="Times New Roman" w:hAnsi="Segoe UI" w:cs="Segoe UI"/>
                <w:color w:val="666666"/>
                <w:sz w:val="20"/>
                <w:szCs w:val="20"/>
              </w:rPr>
              <w:br/>
              <w:t xml:space="preserve">   investments (net of tax effects of </w:t>
            </w:r>
            <w:r w:rsidRPr="004A31B2">
              <w:rPr>
                <w:rFonts w:ascii="Segoe UI" w:eastAsia="Times New Roman" w:hAnsi="Segoe UI" w:cs="Segoe UI"/>
                <w:color w:val="666666"/>
                <w:sz w:val="20"/>
                <w:szCs w:val="20"/>
              </w:rPr>
              <w:br/>
              <w:t xml:space="preserve">   </w:t>
            </w:r>
            <w:r w:rsidRPr="004A31B2">
              <w:rPr>
                <w:rFonts w:ascii="Segoe UI" w:eastAsia="Times New Roman" w:hAnsi="Segoe UI" w:cs="Segoe UI"/>
                <w:b/>
                <w:bCs/>
                <w:color w:val="666666"/>
                <w:sz w:val="20"/>
                <w:szCs w:val="20"/>
              </w:rPr>
              <w:t>$34</w:t>
            </w:r>
            <w:r w:rsidRPr="004A31B2">
              <w:rPr>
                <w:rFonts w:ascii="Segoe UI" w:eastAsia="Times New Roman" w:hAnsi="Segoe UI" w:cs="Segoe UI"/>
                <w:color w:val="666666"/>
                <w:sz w:val="20"/>
                <w:szCs w:val="20"/>
              </w:rPr>
              <w:t xml:space="preserve">, $186, </w:t>
            </w:r>
            <w:r w:rsidRPr="004A31B2">
              <w:rPr>
                <w:rFonts w:ascii="Segoe UI" w:eastAsia="Times New Roman" w:hAnsi="Segoe UI" w:cs="Segoe UI"/>
                <w:b/>
                <w:bCs/>
                <w:color w:val="666666"/>
                <w:sz w:val="20"/>
                <w:szCs w:val="20"/>
              </w:rPr>
              <w:t>$(457)</w:t>
            </w:r>
            <w:r w:rsidRPr="004A31B2">
              <w:rPr>
                <w:rFonts w:ascii="Segoe UI" w:eastAsia="Times New Roman" w:hAnsi="Segoe UI" w:cs="Segoe UI"/>
                <w:color w:val="666666"/>
                <w:sz w:val="20"/>
                <w:szCs w:val="20"/>
              </w:rPr>
              <w:t>, and $(36))</w:t>
            </w:r>
          </w:p>
        </w:tc>
        <w:tc>
          <w:tcPr>
            <w:tcW w:w="1100" w:type="dxa"/>
            <w:tcBorders>
              <w:top w:val="nil"/>
              <w:left w:val="nil"/>
              <w:bottom w:val="nil"/>
              <w:right w:val="nil"/>
            </w:tcBorders>
            <w:shd w:val="clear" w:color="auto" w:fill="auto"/>
            <w:noWrap/>
            <w:vAlign w:val="bottom"/>
            <w:hideMark/>
          </w:tcPr>
          <w:p w14:paraId="7DD4BB4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65 </w:t>
            </w:r>
          </w:p>
        </w:tc>
        <w:tc>
          <w:tcPr>
            <w:tcW w:w="100" w:type="dxa"/>
            <w:tcBorders>
              <w:top w:val="nil"/>
              <w:left w:val="nil"/>
              <w:bottom w:val="nil"/>
              <w:right w:val="nil"/>
            </w:tcBorders>
            <w:shd w:val="clear" w:color="auto" w:fill="auto"/>
            <w:noWrap/>
            <w:vAlign w:val="bottom"/>
            <w:hideMark/>
          </w:tcPr>
          <w:p w14:paraId="652074C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92C806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345 </w:t>
            </w:r>
          </w:p>
        </w:tc>
        <w:tc>
          <w:tcPr>
            <w:tcW w:w="201" w:type="dxa"/>
            <w:tcBorders>
              <w:top w:val="nil"/>
              <w:left w:val="nil"/>
              <w:bottom w:val="nil"/>
              <w:right w:val="nil"/>
            </w:tcBorders>
            <w:shd w:val="clear" w:color="auto" w:fill="auto"/>
            <w:noWrap/>
            <w:vAlign w:val="bottom"/>
            <w:hideMark/>
          </w:tcPr>
          <w:p w14:paraId="2B4703A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E62F5E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(846)</w:t>
            </w:r>
          </w:p>
        </w:tc>
        <w:tc>
          <w:tcPr>
            <w:tcW w:w="100" w:type="dxa"/>
            <w:tcBorders>
              <w:top w:val="nil"/>
              <w:left w:val="nil"/>
              <w:bottom w:val="nil"/>
              <w:right w:val="nil"/>
            </w:tcBorders>
            <w:shd w:val="clear" w:color="auto" w:fill="auto"/>
            <w:noWrap/>
            <w:vAlign w:val="bottom"/>
            <w:hideMark/>
          </w:tcPr>
          <w:p w14:paraId="1580848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E68C7D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(66)</w:t>
            </w:r>
          </w:p>
        </w:tc>
      </w:tr>
      <w:tr w:rsidR="004A31B2" w:rsidRPr="004A31B2" w14:paraId="0742C801" w14:textId="77777777" w:rsidTr="004A31B2">
        <w:trPr>
          <w:trHeight w:val="900"/>
        </w:trPr>
        <w:tc>
          <w:tcPr>
            <w:tcW w:w="3560" w:type="dxa"/>
            <w:tcBorders>
              <w:top w:val="nil"/>
              <w:left w:val="nil"/>
              <w:bottom w:val="single" w:sz="4" w:space="0" w:color="auto"/>
              <w:right w:val="nil"/>
            </w:tcBorders>
            <w:shd w:val="clear" w:color="auto" w:fill="auto"/>
            <w:vAlign w:val="bottom"/>
            <w:hideMark/>
          </w:tcPr>
          <w:p w14:paraId="45BA576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Translation adjustments and other </w:t>
            </w:r>
            <w:r w:rsidRPr="004A31B2">
              <w:rPr>
                <w:rFonts w:ascii="Segoe UI" w:eastAsia="Times New Roman" w:hAnsi="Segoe UI" w:cs="Segoe UI"/>
                <w:color w:val="666666"/>
                <w:sz w:val="20"/>
                <w:szCs w:val="20"/>
              </w:rPr>
              <w:br/>
            </w:r>
            <w:proofErr w:type="gramStart"/>
            <w:r w:rsidRPr="004A31B2">
              <w:rPr>
                <w:rFonts w:ascii="Segoe UI" w:eastAsia="Times New Roman" w:hAnsi="Segoe UI" w:cs="Segoe UI"/>
                <w:color w:val="666666"/>
                <w:sz w:val="20"/>
                <w:szCs w:val="20"/>
              </w:rPr>
              <w:t xml:space="preserve">   (</w:t>
            </w:r>
            <w:proofErr w:type="gramEnd"/>
            <w:r w:rsidRPr="004A31B2">
              <w:rPr>
                <w:rFonts w:ascii="Segoe UI" w:eastAsia="Times New Roman" w:hAnsi="Segoe UI" w:cs="Segoe UI"/>
                <w:color w:val="666666"/>
                <w:sz w:val="20"/>
                <w:szCs w:val="20"/>
              </w:rPr>
              <w:t xml:space="preserve">net of tax effects of </w:t>
            </w:r>
            <w:r w:rsidRPr="004A31B2">
              <w:rPr>
                <w:rFonts w:ascii="Segoe UI" w:eastAsia="Times New Roman" w:hAnsi="Segoe UI" w:cs="Segoe UI"/>
                <w:b/>
                <w:bCs/>
                <w:color w:val="666666"/>
                <w:sz w:val="20"/>
                <w:szCs w:val="20"/>
              </w:rPr>
              <w:t>$0</w:t>
            </w:r>
            <w:r w:rsidRPr="004A31B2">
              <w:rPr>
                <w:rFonts w:ascii="Segoe UI" w:eastAsia="Times New Roman" w:hAnsi="Segoe UI" w:cs="Segoe UI"/>
                <w:color w:val="666666"/>
                <w:sz w:val="20"/>
                <w:szCs w:val="20"/>
              </w:rPr>
              <w:t xml:space="preserve">, </w:t>
            </w:r>
            <w:r w:rsidRPr="004A31B2">
              <w:rPr>
                <w:rFonts w:ascii="Segoe UI" w:eastAsia="Times New Roman" w:hAnsi="Segoe UI" w:cs="Segoe UI"/>
                <w:color w:val="666666"/>
                <w:sz w:val="20"/>
                <w:szCs w:val="20"/>
              </w:rPr>
              <w:br/>
              <w:t xml:space="preserve">   $3, </w:t>
            </w:r>
            <w:r w:rsidRPr="004A31B2">
              <w:rPr>
                <w:rFonts w:ascii="Segoe UI" w:eastAsia="Times New Roman" w:hAnsi="Segoe UI" w:cs="Segoe UI"/>
                <w:b/>
                <w:bCs/>
                <w:color w:val="666666"/>
                <w:sz w:val="20"/>
                <w:szCs w:val="20"/>
              </w:rPr>
              <w:t>$7</w:t>
            </w:r>
            <w:r w:rsidRPr="004A31B2">
              <w:rPr>
                <w:rFonts w:ascii="Segoe UI" w:eastAsia="Times New Roman" w:hAnsi="Segoe UI" w:cs="Segoe UI"/>
                <w:color w:val="666666"/>
                <w:sz w:val="20"/>
                <w:szCs w:val="20"/>
              </w:rPr>
              <w:t>, and $(18))</w:t>
            </w:r>
          </w:p>
        </w:tc>
        <w:tc>
          <w:tcPr>
            <w:tcW w:w="1100" w:type="dxa"/>
            <w:tcBorders>
              <w:top w:val="nil"/>
              <w:left w:val="nil"/>
              <w:bottom w:val="single" w:sz="4" w:space="0" w:color="auto"/>
              <w:right w:val="nil"/>
            </w:tcBorders>
            <w:shd w:val="clear" w:color="auto" w:fill="auto"/>
            <w:noWrap/>
            <w:vAlign w:val="bottom"/>
            <w:hideMark/>
          </w:tcPr>
          <w:p w14:paraId="18B6C7C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292 </w:t>
            </w:r>
          </w:p>
        </w:tc>
        <w:tc>
          <w:tcPr>
            <w:tcW w:w="100" w:type="dxa"/>
            <w:tcBorders>
              <w:top w:val="nil"/>
              <w:left w:val="nil"/>
              <w:bottom w:val="nil"/>
              <w:right w:val="nil"/>
            </w:tcBorders>
            <w:shd w:val="clear" w:color="auto" w:fill="auto"/>
            <w:noWrap/>
            <w:vAlign w:val="bottom"/>
            <w:hideMark/>
          </w:tcPr>
          <w:p w14:paraId="371A14B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E98EBD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 </w:t>
            </w:r>
          </w:p>
        </w:tc>
        <w:tc>
          <w:tcPr>
            <w:tcW w:w="201" w:type="dxa"/>
            <w:tcBorders>
              <w:top w:val="nil"/>
              <w:left w:val="nil"/>
              <w:bottom w:val="nil"/>
              <w:right w:val="nil"/>
            </w:tcBorders>
            <w:shd w:val="clear" w:color="auto" w:fill="auto"/>
            <w:noWrap/>
            <w:vAlign w:val="bottom"/>
            <w:hideMark/>
          </w:tcPr>
          <w:p w14:paraId="4B9CAEF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4F1DA9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(65)</w:t>
            </w:r>
          </w:p>
        </w:tc>
        <w:tc>
          <w:tcPr>
            <w:tcW w:w="100" w:type="dxa"/>
            <w:tcBorders>
              <w:top w:val="nil"/>
              <w:left w:val="nil"/>
              <w:bottom w:val="nil"/>
              <w:right w:val="nil"/>
            </w:tcBorders>
            <w:shd w:val="clear" w:color="auto" w:fill="auto"/>
            <w:noWrap/>
            <w:vAlign w:val="bottom"/>
            <w:hideMark/>
          </w:tcPr>
          <w:p w14:paraId="5D5B423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108521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(339)</w:t>
            </w:r>
          </w:p>
        </w:tc>
      </w:tr>
      <w:tr w:rsidR="004A31B2" w:rsidRPr="004A31B2" w14:paraId="1A17B78A" w14:textId="77777777" w:rsidTr="004A31B2">
        <w:trPr>
          <w:trHeight w:val="600"/>
        </w:trPr>
        <w:tc>
          <w:tcPr>
            <w:tcW w:w="3560" w:type="dxa"/>
            <w:tcBorders>
              <w:top w:val="nil"/>
              <w:left w:val="nil"/>
              <w:bottom w:val="single" w:sz="4" w:space="0" w:color="auto"/>
              <w:right w:val="nil"/>
            </w:tcBorders>
            <w:shd w:val="clear" w:color="auto" w:fill="auto"/>
            <w:vAlign w:val="bottom"/>
            <w:hideMark/>
          </w:tcPr>
          <w:p w14:paraId="27FF7AF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 comprehensive income (loss)</w:t>
            </w:r>
          </w:p>
        </w:tc>
        <w:tc>
          <w:tcPr>
            <w:tcW w:w="1100" w:type="dxa"/>
            <w:tcBorders>
              <w:top w:val="nil"/>
              <w:left w:val="nil"/>
              <w:bottom w:val="single" w:sz="4" w:space="0" w:color="auto"/>
              <w:right w:val="nil"/>
            </w:tcBorders>
            <w:shd w:val="clear" w:color="auto" w:fill="auto"/>
            <w:noWrap/>
            <w:vAlign w:val="bottom"/>
            <w:hideMark/>
          </w:tcPr>
          <w:p w14:paraId="0F1C72A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132 </w:t>
            </w:r>
          </w:p>
        </w:tc>
        <w:tc>
          <w:tcPr>
            <w:tcW w:w="100" w:type="dxa"/>
            <w:tcBorders>
              <w:top w:val="nil"/>
              <w:left w:val="nil"/>
              <w:bottom w:val="nil"/>
              <w:right w:val="nil"/>
            </w:tcBorders>
            <w:shd w:val="clear" w:color="auto" w:fill="auto"/>
            <w:noWrap/>
            <w:vAlign w:val="bottom"/>
            <w:hideMark/>
          </w:tcPr>
          <w:p w14:paraId="51682BB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2462EA2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67 </w:t>
            </w:r>
          </w:p>
        </w:tc>
        <w:tc>
          <w:tcPr>
            <w:tcW w:w="201" w:type="dxa"/>
            <w:tcBorders>
              <w:top w:val="nil"/>
              <w:left w:val="nil"/>
              <w:bottom w:val="nil"/>
              <w:right w:val="nil"/>
            </w:tcBorders>
            <w:shd w:val="clear" w:color="auto" w:fill="auto"/>
            <w:noWrap/>
            <w:vAlign w:val="bottom"/>
            <w:hideMark/>
          </w:tcPr>
          <w:p w14:paraId="01BD6A4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AA301A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(893)</w:t>
            </w:r>
          </w:p>
        </w:tc>
        <w:tc>
          <w:tcPr>
            <w:tcW w:w="100" w:type="dxa"/>
            <w:tcBorders>
              <w:top w:val="nil"/>
              <w:left w:val="nil"/>
              <w:bottom w:val="nil"/>
              <w:right w:val="nil"/>
            </w:tcBorders>
            <w:shd w:val="clear" w:color="auto" w:fill="auto"/>
            <w:noWrap/>
            <w:vAlign w:val="bottom"/>
            <w:hideMark/>
          </w:tcPr>
          <w:p w14:paraId="3A83580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5BD51F1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(682)</w:t>
            </w:r>
          </w:p>
        </w:tc>
      </w:tr>
      <w:tr w:rsidR="004A31B2" w:rsidRPr="004A31B2" w14:paraId="43EC2F3F" w14:textId="77777777" w:rsidTr="004A31B2">
        <w:trPr>
          <w:trHeight w:val="312"/>
        </w:trPr>
        <w:tc>
          <w:tcPr>
            <w:tcW w:w="3560" w:type="dxa"/>
            <w:tcBorders>
              <w:top w:val="nil"/>
              <w:left w:val="nil"/>
              <w:bottom w:val="nil"/>
              <w:right w:val="nil"/>
            </w:tcBorders>
            <w:shd w:val="clear" w:color="auto" w:fill="auto"/>
            <w:noWrap/>
            <w:vAlign w:val="bottom"/>
            <w:hideMark/>
          </w:tcPr>
          <w:p w14:paraId="1AE8E35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Comprehensive income</w:t>
            </w:r>
          </w:p>
        </w:tc>
        <w:tc>
          <w:tcPr>
            <w:tcW w:w="1100" w:type="dxa"/>
            <w:tcBorders>
              <w:top w:val="nil"/>
              <w:left w:val="nil"/>
              <w:bottom w:val="single" w:sz="8" w:space="0" w:color="auto"/>
              <w:right w:val="nil"/>
            </w:tcBorders>
            <w:shd w:val="clear" w:color="auto" w:fill="auto"/>
            <w:noWrap/>
            <w:vAlign w:val="bottom"/>
            <w:hideMark/>
          </w:tcPr>
          <w:p w14:paraId="7366D2B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$4,933 </w:t>
            </w:r>
          </w:p>
        </w:tc>
        <w:tc>
          <w:tcPr>
            <w:tcW w:w="100" w:type="dxa"/>
            <w:tcBorders>
              <w:top w:val="nil"/>
              <w:left w:val="nil"/>
              <w:bottom w:val="nil"/>
              <w:right w:val="nil"/>
            </w:tcBorders>
            <w:shd w:val="clear" w:color="auto" w:fill="auto"/>
            <w:noWrap/>
            <w:vAlign w:val="bottom"/>
            <w:hideMark/>
          </w:tcPr>
          <w:p w14:paraId="4AAE298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167B9CF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$3,823 </w:t>
            </w:r>
          </w:p>
        </w:tc>
        <w:tc>
          <w:tcPr>
            <w:tcW w:w="201" w:type="dxa"/>
            <w:tcBorders>
              <w:top w:val="nil"/>
              <w:left w:val="nil"/>
              <w:bottom w:val="nil"/>
              <w:right w:val="nil"/>
            </w:tcBorders>
            <w:shd w:val="clear" w:color="auto" w:fill="auto"/>
            <w:noWrap/>
            <w:vAlign w:val="bottom"/>
            <w:hideMark/>
          </w:tcPr>
          <w:p w14:paraId="1F41C52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3934B0E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$13,798 </w:t>
            </w:r>
          </w:p>
        </w:tc>
        <w:tc>
          <w:tcPr>
            <w:tcW w:w="100" w:type="dxa"/>
            <w:tcBorders>
              <w:top w:val="nil"/>
              <w:left w:val="nil"/>
              <w:bottom w:val="nil"/>
              <w:right w:val="nil"/>
            </w:tcBorders>
            <w:shd w:val="clear" w:color="auto" w:fill="auto"/>
            <w:noWrap/>
            <w:vAlign w:val="bottom"/>
            <w:hideMark/>
          </w:tcPr>
          <w:p w14:paraId="3573319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1F420CA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$12,994 </w:t>
            </w:r>
          </w:p>
        </w:tc>
      </w:tr>
    </w:tbl>
    <w:p w14:paraId="2B284A62" w14:textId="6872863F" w:rsidR="004A31B2" w:rsidRDefault="004A31B2" w:rsidP="00314DAE">
      <w:pPr>
        <w:pStyle w:val="NoSpacing"/>
        <w:spacing w:before="240" w:after="240" w:line="276" w:lineRule="auto"/>
        <w:rPr>
          <w:rFonts w:ascii="Segoe UI" w:hAnsi="Segoe UI" w:cs="Segoe UI"/>
          <w:color w:val="666666"/>
          <w:sz w:val="20"/>
          <w:szCs w:val="20"/>
        </w:rPr>
      </w:pPr>
    </w:p>
    <w:p w14:paraId="0C951A86" w14:textId="77777777" w:rsidR="004A31B2" w:rsidRDefault="004A31B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060" w:type="dxa"/>
        <w:tblLook w:val="04A0" w:firstRow="1" w:lastRow="0" w:firstColumn="1" w:lastColumn="0" w:noHBand="0" w:noVBand="1"/>
      </w:tblPr>
      <w:tblGrid>
        <w:gridCol w:w="5180"/>
        <w:gridCol w:w="1500"/>
        <w:gridCol w:w="272"/>
        <w:gridCol w:w="1180"/>
      </w:tblGrid>
      <w:tr w:rsidR="004A31B2" w:rsidRPr="004A31B2" w14:paraId="50900635" w14:textId="77777777" w:rsidTr="004A31B2">
        <w:trPr>
          <w:trHeight w:val="300"/>
        </w:trPr>
        <w:tc>
          <w:tcPr>
            <w:tcW w:w="5180" w:type="dxa"/>
            <w:tcBorders>
              <w:top w:val="nil"/>
              <w:left w:val="nil"/>
              <w:bottom w:val="nil"/>
              <w:right w:val="nil"/>
            </w:tcBorders>
            <w:shd w:val="clear" w:color="auto" w:fill="auto"/>
            <w:noWrap/>
            <w:vAlign w:val="bottom"/>
            <w:hideMark/>
          </w:tcPr>
          <w:p w14:paraId="75915918"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MICROSOFT CORPORATION</w:t>
            </w:r>
          </w:p>
        </w:tc>
        <w:tc>
          <w:tcPr>
            <w:tcW w:w="1500" w:type="dxa"/>
            <w:tcBorders>
              <w:top w:val="nil"/>
              <w:left w:val="nil"/>
              <w:bottom w:val="nil"/>
              <w:right w:val="nil"/>
            </w:tcBorders>
            <w:shd w:val="clear" w:color="auto" w:fill="auto"/>
            <w:noWrap/>
            <w:vAlign w:val="bottom"/>
            <w:hideMark/>
          </w:tcPr>
          <w:p w14:paraId="6413E9CC"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6AFD2F84"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E14D730"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4F35ACC7" w14:textId="77777777" w:rsidTr="004A31B2">
        <w:trPr>
          <w:trHeight w:val="300"/>
        </w:trPr>
        <w:tc>
          <w:tcPr>
            <w:tcW w:w="5180" w:type="dxa"/>
            <w:tcBorders>
              <w:top w:val="nil"/>
              <w:left w:val="nil"/>
              <w:bottom w:val="nil"/>
              <w:right w:val="nil"/>
            </w:tcBorders>
            <w:shd w:val="clear" w:color="auto" w:fill="auto"/>
            <w:noWrap/>
            <w:vAlign w:val="bottom"/>
            <w:hideMark/>
          </w:tcPr>
          <w:p w14:paraId="404AFAD1"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500" w:type="dxa"/>
            <w:tcBorders>
              <w:top w:val="nil"/>
              <w:left w:val="nil"/>
              <w:bottom w:val="nil"/>
              <w:right w:val="nil"/>
            </w:tcBorders>
            <w:shd w:val="clear" w:color="auto" w:fill="auto"/>
            <w:noWrap/>
            <w:vAlign w:val="bottom"/>
            <w:hideMark/>
          </w:tcPr>
          <w:p w14:paraId="1784FC6B" w14:textId="77777777" w:rsidR="004A31B2" w:rsidRPr="004A31B2" w:rsidRDefault="004A31B2" w:rsidP="004A31B2">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63D45C33"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4E20DBB"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75DE1F24" w14:textId="77777777" w:rsidTr="004A31B2">
        <w:trPr>
          <w:trHeight w:val="300"/>
        </w:trPr>
        <w:tc>
          <w:tcPr>
            <w:tcW w:w="8060" w:type="dxa"/>
            <w:gridSpan w:val="4"/>
            <w:tcBorders>
              <w:top w:val="nil"/>
              <w:left w:val="nil"/>
              <w:bottom w:val="nil"/>
              <w:right w:val="nil"/>
            </w:tcBorders>
            <w:shd w:val="clear" w:color="auto" w:fill="auto"/>
            <w:noWrap/>
            <w:vAlign w:val="bottom"/>
            <w:hideMark/>
          </w:tcPr>
          <w:p w14:paraId="59323312"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BALANCE SHEETS</w:t>
            </w:r>
          </w:p>
        </w:tc>
      </w:tr>
      <w:tr w:rsidR="004A31B2" w:rsidRPr="004A31B2" w14:paraId="510E51F1" w14:textId="77777777" w:rsidTr="004A31B2">
        <w:trPr>
          <w:trHeight w:val="300"/>
        </w:trPr>
        <w:tc>
          <w:tcPr>
            <w:tcW w:w="8060" w:type="dxa"/>
            <w:gridSpan w:val="4"/>
            <w:tcBorders>
              <w:top w:val="nil"/>
              <w:left w:val="nil"/>
              <w:bottom w:val="nil"/>
              <w:right w:val="nil"/>
            </w:tcBorders>
            <w:shd w:val="clear" w:color="auto" w:fill="auto"/>
            <w:noWrap/>
            <w:vAlign w:val="bottom"/>
            <w:hideMark/>
          </w:tcPr>
          <w:p w14:paraId="655D8D9B"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(In </w:t>
            </w:r>
            <w:proofErr w:type="gramStart"/>
            <w:r w:rsidRPr="004A31B2">
              <w:rPr>
                <w:rFonts w:ascii="Segoe UI" w:eastAsia="Times New Roman" w:hAnsi="Segoe UI" w:cs="Segoe UI"/>
                <w:color w:val="666666"/>
                <w:sz w:val="20"/>
                <w:szCs w:val="20"/>
              </w:rPr>
              <w:t>millions)(</w:t>
            </w:r>
            <w:proofErr w:type="gramEnd"/>
            <w:r w:rsidRPr="004A31B2">
              <w:rPr>
                <w:rFonts w:ascii="Segoe UI" w:eastAsia="Times New Roman" w:hAnsi="Segoe UI" w:cs="Segoe UI"/>
                <w:color w:val="666666"/>
                <w:sz w:val="20"/>
                <w:szCs w:val="20"/>
              </w:rPr>
              <w:t>Unaudited)</w:t>
            </w:r>
          </w:p>
        </w:tc>
      </w:tr>
      <w:tr w:rsidR="004A31B2" w:rsidRPr="004A31B2" w14:paraId="17A60333" w14:textId="77777777" w:rsidTr="004A31B2">
        <w:trPr>
          <w:trHeight w:val="300"/>
        </w:trPr>
        <w:tc>
          <w:tcPr>
            <w:tcW w:w="5180" w:type="dxa"/>
            <w:tcBorders>
              <w:top w:val="nil"/>
              <w:left w:val="nil"/>
              <w:bottom w:val="nil"/>
              <w:right w:val="nil"/>
            </w:tcBorders>
            <w:shd w:val="clear" w:color="auto" w:fill="auto"/>
            <w:noWrap/>
            <w:vAlign w:val="bottom"/>
            <w:hideMark/>
          </w:tcPr>
          <w:p w14:paraId="2D6A7433"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67F8A6B6"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49207A52"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E016C55" w14:textId="77777777" w:rsidR="004A31B2" w:rsidRPr="004A31B2" w:rsidRDefault="004A31B2" w:rsidP="004A31B2">
            <w:pPr>
              <w:spacing w:after="0" w:line="240" w:lineRule="auto"/>
              <w:jc w:val="center"/>
              <w:rPr>
                <w:rFonts w:ascii="Times New Roman" w:eastAsia="Times New Roman" w:hAnsi="Times New Roman"/>
                <w:sz w:val="20"/>
                <w:szCs w:val="20"/>
              </w:rPr>
            </w:pPr>
          </w:p>
        </w:tc>
      </w:tr>
      <w:tr w:rsidR="004A31B2" w:rsidRPr="004A31B2" w14:paraId="0163F08F" w14:textId="77777777" w:rsidTr="004A31B2">
        <w:trPr>
          <w:trHeight w:val="600"/>
        </w:trPr>
        <w:tc>
          <w:tcPr>
            <w:tcW w:w="5180" w:type="dxa"/>
            <w:tcBorders>
              <w:top w:val="nil"/>
              <w:left w:val="nil"/>
              <w:bottom w:val="single" w:sz="4" w:space="0" w:color="auto"/>
              <w:right w:val="nil"/>
            </w:tcBorders>
            <w:shd w:val="clear" w:color="auto" w:fill="auto"/>
            <w:noWrap/>
            <w:vAlign w:val="bottom"/>
            <w:hideMark/>
          </w:tcPr>
          <w:p w14:paraId="56D57AFE"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500" w:type="dxa"/>
            <w:tcBorders>
              <w:top w:val="nil"/>
              <w:left w:val="nil"/>
              <w:bottom w:val="single" w:sz="4" w:space="0" w:color="auto"/>
              <w:right w:val="nil"/>
            </w:tcBorders>
            <w:shd w:val="clear" w:color="auto" w:fill="auto"/>
            <w:vAlign w:val="bottom"/>
            <w:hideMark/>
          </w:tcPr>
          <w:p w14:paraId="56DC36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March 31,</w:t>
            </w:r>
            <w:r w:rsidRPr="004A31B2">
              <w:rPr>
                <w:rFonts w:ascii="Segoe UI" w:eastAsia="Times New Roman" w:hAnsi="Segoe UI" w:cs="Segoe UI"/>
                <w:b/>
                <w:bCs/>
                <w:color w:val="666666"/>
                <w:sz w:val="20"/>
                <w:szCs w:val="20"/>
              </w:rPr>
              <w:br/>
              <w:t>2017</w:t>
            </w:r>
          </w:p>
        </w:tc>
        <w:tc>
          <w:tcPr>
            <w:tcW w:w="200" w:type="dxa"/>
            <w:tcBorders>
              <w:top w:val="nil"/>
              <w:left w:val="nil"/>
              <w:bottom w:val="single" w:sz="4" w:space="0" w:color="auto"/>
              <w:right w:val="nil"/>
            </w:tcBorders>
            <w:shd w:val="clear" w:color="auto" w:fill="auto"/>
            <w:vAlign w:val="bottom"/>
            <w:hideMark/>
          </w:tcPr>
          <w:p w14:paraId="591DA02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vAlign w:val="bottom"/>
            <w:hideMark/>
          </w:tcPr>
          <w:p w14:paraId="60964F1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June 30, 2016</w:t>
            </w:r>
          </w:p>
        </w:tc>
      </w:tr>
      <w:tr w:rsidR="004A31B2" w:rsidRPr="004A31B2" w14:paraId="3B0DE927" w14:textId="77777777" w:rsidTr="004A31B2">
        <w:trPr>
          <w:trHeight w:val="300"/>
        </w:trPr>
        <w:tc>
          <w:tcPr>
            <w:tcW w:w="5180" w:type="dxa"/>
            <w:tcBorders>
              <w:top w:val="nil"/>
              <w:left w:val="nil"/>
              <w:bottom w:val="nil"/>
              <w:right w:val="nil"/>
            </w:tcBorders>
            <w:shd w:val="clear" w:color="auto" w:fill="auto"/>
            <w:noWrap/>
            <w:vAlign w:val="bottom"/>
            <w:hideMark/>
          </w:tcPr>
          <w:p w14:paraId="721045F5"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Assets</w:t>
            </w:r>
          </w:p>
        </w:tc>
        <w:tc>
          <w:tcPr>
            <w:tcW w:w="1500" w:type="dxa"/>
            <w:tcBorders>
              <w:top w:val="nil"/>
              <w:left w:val="nil"/>
              <w:bottom w:val="nil"/>
              <w:right w:val="nil"/>
            </w:tcBorders>
            <w:shd w:val="clear" w:color="auto" w:fill="auto"/>
            <w:vAlign w:val="bottom"/>
            <w:hideMark/>
          </w:tcPr>
          <w:p w14:paraId="7558C80E"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69FFB6CC"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21497BD"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66130D65" w14:textId="77777777" w:rsidTr="004A31B2">
        <w:trPr>
          <w:trHeight w:val="300"/>
        </w:trPr>
        <w:tc>
          <w:tcPr>
            <w:tcW w:w="5180" w:type="dxa"/>
            <w:tcBorders>
              <w:top w:val="nil"/>
              <w:left w:val="nil"/>
              <w:bottom w:val="nil"/>
              <w:right w:val="nil"/>
            </w:tcBorders>
            <w:shd w:val="clear" w:color="auto" w:fill="auto"/>
            <w:noWrap/>
            <w:vAlign w:val="bottom"/>
            <w:hideMark/>
          </w:tcPr>
          <w:p w14:paraId="1FB65F8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Current assets:</w:t>
            </w:r>
          </w:p>
        </w:tc>
        <w:tc>
          <w:tcPr>
            <w:tcW w:w="1500" w:type="dxa"/>
            <w:tcBorders>
              <w:top w:val="nil"/>
              <w:left w:val="nil"/>
              <w:bottom w:val="nil"/>
              <w:right w:val="nil"/>
            </w:tcBorders>
            <w:shd w:val="clear" w:color="auto" w:fill="auto"/>
            <w:noWrap/>
            <w:vAlign w:val="bottom"/>
            <w:hideMark/>
          </w:tcPr>
          <w:p w14:paraId="327C6AA8"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6A147EFA"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F5835C2"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56470EEC" w14:textId="77777777" w:rsidTr="004A31B2">
        <w:trPr>
          <w:trHeight w:val="300"/>
        </w:trPr>
        <w:tc>
          <w:tcPr>
            <w:tcW w:w="5180" w:type="dxa"/>
            <w:tcBorders>
              <w:top w:val="nil"/>
              <w:left w:val="nil"/>
              <w:bottom w:val="nil"/>
              <w:right w:val="nil"/>
            </w:tcBorders>
            <w:shd w:val="clear" w:color="auto" w:fill="auto"/>
            <w:noWrap/>
            <w:vAlign w:val="bottom"/>
            <w:hideMark/>
          </w:tcPr>
          <w:p w14:paraId="03F5C53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Cash and cash equivalents</w:t>
            </w:r>
          </w:p>
        </w:tc>
        <w:tc>
          <w:tcPr>
            <w:tcW w:w="1500" w:type="dxa"/>
            <w:tcBorders>
              <w:top w:val="nil"/>
              <w:left w:val="nil"/>
              <w:bottom w:val="nil"/>
              <w:right w:val="nil"/>
            </w:tcBorders>
            <w:shd w:val="clear" w:color="auto" w:fill="auto"/>
            <w:noWrap/>
            <w:vAlign w:val="bottom"/>
            <w:hideMark/>
          </w:tcPr>
          <w:p w14:paraId="069AB90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$6,713 </w:t>
            </w:r>
          </w:p>
        </w:tc>
        <w:tc>
          <w:tcPr>
            <w:tcW w:w="200" w:type="dxa"/>
            <w:tcBorders>
              <w:top w:val="nil"/>
              <w:left w:val="nil"/>
              <w:bottom w:val="nil"/>
              <w:right w:val="nil"/>
            </w:tcBorders>
            <w:shd w:val="clear" w:color="auto" w:fill="auto"/>
            <w:noWrap/>
            <w:vAlign w:val="bottom"/>
            <w:hideMark/>
          </w:tcPr>
          <w:p w14:paraId="78B9EFC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103181A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$6,510 </w:t>
            </w:r>
          </w:p>
        </w:tc>
      </w:tr>
      <w:tr w:rsidR="004A31B2" w:rsidRPr="004A31B2" w14:paraId="38D7543E" w14:textId="77777777" w:rsidTr="004A31B2">
        <w:trPr>
          <w:trHeight w:val="600"/>
        </w:trPr>
        <w:tc>
          <w:tcPr>
            <w:tcW w:w="5180" w:type="dxa"/>
            <w:tcBorders>
              <w:top w:val="nil"/>
              <w:left w:val="nil"/>
              <w:bottom w:val="single" w:sz="4" w:space="0" w:color="auto"/>
              <w:right w:val="nil"/>
            </w:tcBorders>
            <w:shd w:val="clear" w:color="auto" w:fill="auto"/>
            <w:vAlign w:val="bottom"/>
            <w:hideMark/>
          </w:tcPr>
          <w:p w14:paraId="7F146339"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Short-term investments (including securities</w:t>
            </w:r>
            <w:r w:rsidRPr="004A31B2">
              <w:rPr>
                <w:rFonts w:ascii="Segoe UI" w:eastAsia="Times New Roman" w:hAnsi="Segoe UI" w:cs="Segoe UI"/>
                <w:color w:val="666666"/>
                <w:sz w:val="20"/>
                <w:szCs w:val="20"/>
              </w:rPr>
              <w:br/>
              <w:t xml:space="preserve">      loaned of </w:t>
            </w:r>
            <w:r w:rsidRPr="004A31B2">
              <w:rPr>
                <w:rFonts w:ascii="Segoe UI" w:eastAsia="Times New Roman" w:hAnsi="Segoe UI" w:cs="Segoe UI"/>
                <w:b/>
                <w:bCs/>
                <w:color w:val="666666"/>
                <w:sz w:val="20"/>
                <w:szCs w:val="20"/>
              </w:rPr>
              <w:t>$4,462</w:t>
            </w:r>
            <w:r w:rsidRPr="004A31B2">
              <w:rPr>
                <w:rFonts w:ascii="Segoe UI" w:eastAsia="Times New Roman" w:hAnsi="Segoe UI" w:cs="Segoe UI"/>
                <w:color w:val="666666"/>
                <w:sz w:val="20"/>
                <w:szCs w:val="20"/>
              </w:rPr>
              <w:t xml:space="preserve"> and $204)</w:t>
            </w:r>
          </w:p>
        </w:tc>
        <w:tc>
          <w:tcPr>
            <w:tcW w:w="1500" w:type="dxa"/>
            <w:tcBorders>
              <w:top w:val="nil"/>
              <w:left w:val="nil"/>
              <w:bottom w:val="single" w:sz="4" w:space="0" w:color="auto"/>
              <w:right w:val="nil"/>
            </w:tcBorders>
            <w:shd w:val="clear" w:color="auto" w:fill="auto"/>
            <w:noWrap/>
            <w:vAlign w:val="bottom"/>
            <w:hideMark/>
          </w:tcPr>
          <w:p w14:paraId="4C2F8CB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119,305 </w:t>
            </w:r>
          </w:p>
        </w:tc>
        <w:tc>
          <w:tcPr>
            <w:tcW w:w="200" w:type="dxa"/>
            <w:tcBorders>
              <w:top w:val="nil"/>
              <w:left w:val="nil"/>
              <w:bottom w:val="nil"/>
              <w:right w:val="nil"/>
            </w:tcBorders>
            <w:shd w:val="clear" w:color="auto" w:fill="auto"/>
            <w:noWrap/>
            <w:vAlign w:val="bottom"/>
            <w:hideMark/>
          </w:tcPr>
          <w:p w14:paraId="573586C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B8001F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106,730 </w:t>
            </w:r>
          </w:p>
        </w:tc>
      </w:tr>
      <w:tr w:rsidR="004A31B2" w:rsidRPr="004A31B2" w14:paraId="4DDFBF83" w14:textId="77777777" w:rsidTr="004A31B2">
        <w:trPr>
          <w:trHeight w:val="600"/>
        </w:trPr>
        <w:tc>
          <w:tcPr>
            <w:tcW w:w="5180" w:type="dxa"/>
            <w:tcBorders>
              <w:top w:val="nil"/>
              <w:left w:val="nil"/>
              <w:bottom w:val="nil"/>
              <w:right w:val="nil"/>
            </w:tcBorders>
            <w:shd w:val="clear" w:color="auto" w:fill="auto"/>
            <w:vAlign w:val="bottom"/>
            <w:hideMark/>
          </w:tcPr>
          <w:p w14:paraId="37C7924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cash, cash equivalents, and short-term </w:t>
            </w:r>
            <w:r w:rsidRPr="004A31B2">
              <w:rPr>
                <w:rFonts w:ascii="Segoe UI" w:eastAsia="Times New Roman" w:hAnsi="Segoe UI" w:cs="Segoe UI"/>
                <w:color w:val="666666"/>
                <w:sz w:val="20"/>
                <w:szCs w:val="20"/>
              </w:rPr>
              <w:br/>
              <w:t xml:space="preserve">         investments</w:t>
            </w:r>
          </w:p>
        </w:tc>
        <w:tc>
          <w:tcPr>
            <w:tcW w:w="1500" w:type="dxa"/>
            <w:tcBorders>
              <w:top w:val="nil"/>
              <w:left w:val="nil"/>
              <w:bottom w:val="nil"/>
              <w:right w:val="nil"/>
            </w:tcBorders>
            <w:shd w:val="clear" w:color="auto" w:fill="auto"/>
            <w:noWrap/>
            <w:vAlign w:val="bottom"/>
            <w:hideMark/>
          </w:tcPr>
          <w:p w14:paraId="7E42CF9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126,018 </w:t>
            </w:r>
          </w:p>
        </w:tc>
        <w:tc>
          <w:tcPr>
            <w:tcW w:w="200" w:type="dxa"/>
            <w:tcBorders>
              <w:top w:val="nil"/>
              <w:left w:val="nil"/>
              <w:bottom w:val="nil"/>
              <w:right w:val="nil"/>
            </w:tcBorders>
            <w:shd w:val="clear" w:color="auto" w:fill="auto"/>
            <w:noWrap/>
            <w:vAlign w:val="bottom"/>
            <w:hideMark/>
          </w:tcPr>
          <w:p w14:paraId="6423612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C52C1C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113,240 </w:t>
            </w:r>
          </w:p>
        </w:tc>
      </w:tr>
      <w:tr w:rsidR="004A31B2" w:rsidRPr="004A31B2" w14:paraId="5132A226" w14:textId="77777777" w:rsidTr="004A31B2">
        <w:trPr>
          <w:trHeight w:val="600"/>
        </w:trPr>
        <w:tc>
          <w:tcPr>
            <w:tcW w:w="5180" w:type="dxa"/>
            <w:tcBorders>
              <w:top w:val="nil"/>
              <w:left w:val="nil"/>
              <w:bottom w:val="nil"/>
              <w:right w:val="nil"/>
            </w:tcBorders>
            <w:shd w:val="clear" w:color="auto" w:fill="auto"/>
            <w:vAlign w:val="bottom"/>
            <w:hideMark/>
          </w:tcPr>
          <w:p w14:paraId="1BC2D97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Accounts receivable, net of allowance for doubtful</w:t>
            </w:r>
            <w:r w:rsidRPr="004A31B2">
              <w:rPr>
                <w:rFonts w:ascii="Segoe UI" w:eastAsia="Times New Roman" w:hAnsi="Segoe UI" w:cs="Segoe UI"/>
                <w:color w:val="666666"/>
                <w:sz w:val="20"/>
                <w:szCs w:val="20"/>
              </w:rPr>
              <w:br/>
              <w:t xml:space="preserve">      accounts of </w:t>
            </w:r>
            <w:r w:rsidRPr="004A31B2">
              <w:rPr>
                <w:rFonts w:ascii="Segoe UI" w:eastAsia="Times New Roman" w:hAnsi="Segoe UI" w:cs="Segoe UI"/>
                <w:b/>
                <w:bCs/>
                <w:color w:val="666666"/>
                <w:sz w:val="20"/>
                <w:szCs w:val="20"/>
              </w:rPr>
              <w:t>$302</w:t>
            </w:r>
            <w:r w:rsidRPr="004A31B2">
              <w:rPr>
                <w:rFonts w:ascii="Segoe UI" w:eastAsia="Times New Roman" w:hAnsi="Segoe UI" w:cs="Segoe UI"/>
                <w:color w:val="666666"/>
                <w:sz w:val="20"/>
                <w:szCs w:val="20"/>
              </w:rPr>
              <w:t xml:space="preserve"> and $426</w:t>
            </w:r>
          </w:p>
        </w:tc>
        <w:tc>
          <w:tcPr>
            <w:tcW w:w="1500" w:type="dxa"/>
            <w:tcBorders>
              <w:top w:val="nil"/>
              <w:left w:val="nil"/>
              <w:bottom w:val="nil"/>
              <w:right w:val="nil"/>
            </w:tcBorders>
            <w:shd w:val="clear" w:color="auto" w:fill="auto"/>
            <w:noWrap/>
            <w:vAlign w:val="bottom"/>
            <w:hideMark/>
          </w:tcPr>
          <w:p w14:paraId="1D1E3C2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12,882 </w:t>
            </w:r>
          </w:p>
        </w:tc>
        <w:tc>
          <w:tcPr>
            <w:tcW w:w="200" w:type="dxa"/>
            <w:tcBorders>
              <w:top w:val="nil"/>
              <w:left w:val="nil"/>
              <w:bottom w:val="nil"/>
              <w:right w:val="nil"/>
            </w:tcBorders>
            <w:shd w:val="clear" w:color="auto" w:fill="auto"/>
            <w:noWrap/>
            <w:vAlign w:val="bottom"/>
            <w:hideMark/>
          </w:tcPr>
          <w:p w14:paraId="2BF71A7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1BED65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18,277 </w:t>
            </w:r>
          </w:p>
        </w:tc>
      </w:tr>
      <w:tr w:rsidR="004A31B2" w:rsidRPr="004A31B2" w14:paraId="10E58903" w14:textId="77777777" w:rsidTr="004A31B2">
        <w:trPr>
          <w:trHeight w:val="300"/>
        </w:trPr>
        <w:tc>
          <w:tcPr>
            <w:tcW w:w="5180" w:type="dxa"/>
            <w:tcBorders>
              <w:top w:val="nil"/>
              <w:left w:val="nil"/>
              <w:bottom w:val="nil"/>
              <w:right w:val="nil"/>
            </w:tcBorders>
            <w:shd w:val="clear" w:color="auto" w:fill="auto"/>
            <w:noWrap/>
            <w:vAlign w:val="bottom"/>
            <w:hideMark/>
          </w:tcPr>
          <w:p w14:paraId="1E83690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Inventories</w:t>
            </w:r>
          </w:p>
        </w:tc>
        <w:tc>
          <w:tcPr>
            <w:tcW w:w="1500" w:type="dxa"/>
            <w:tcBorders>
              <w:top w:val="nil"/>
              <w:left w:val="nil"/>
              <w:bottom w:val="nil"/>
              <w:right w:val="nil"/>
            </w:tcBorders>
            <w:shd w:val="clear" w:color="auto" w:fill="auto"/>
            <w:noWrap/>
            <w:vAlign w:val="bottom"/>
            <w:hideMark/>
          </w:tcPr>
          <w:p w14:paraId="326096C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1,979 </w:t>
            </w:r>
          </w:p>
        </w:tc>
        <w:tc>
          <w:tcPr>
            <w:tcW w:w="200" w:type="dxa"/>
            <w:tcBorders>
              <w:top w:val="nil"/>
              <w:left w:val="nil"/>
              <w:bottom w:val="nil"/>
              <w:right w:val="nil"/>
            </w:tcBorders>
            <w:shd w:val="clear" w:color="auto" w:fill="auto"/>
            <w:noWrap/>
            <w:vAlign w:val="bottom"/>
            <w:hideMark/>
          </w:tcPr>
          <w:p w14:paraId="3E85C98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2D9038F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2,251 </w:t>
            </w:r>
          </w:p>
        </w:tc>
      </w:tr>
      <w:tr w:rsidR="004A31B2" w:rsidRPr="004A31B2" w14:paraId="3D1ADFA3" w14:textId="77777777" w:rsidTr="004A31B2">
        <w:trPr>
          <w:trHeight w:val="300"/>
        </w:trPr>
        <w:tc>
          <w:tcPr>
            <w:tcW w:w="5180" w:type="dxa"/>
            <w:tcBorders>
              <w:top w:val="nil"/>
              <w:left w:val="nil"/>
              <w:bottom w:val="single" w:sz="4" w:space="0" w:color="auto"/>
              <w:right w:val="nil"/>
            </w:tcBorders>
            <w:shd w:val="clear" w:color="auto" w:fill="auto"/>
            <w:noWrap/>
            <w:vAlign w:val="center"/>
            <w:hideMark/>
          </w:tcPr>
          <w:p w14:paraId="50C5FD8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w:t>
            </w:r>
          </w:p>
        </w:tc>
        <w:tc>
          <w:tcPr>
            <w:tcW w:w="1500" w:type="dxa"/>
            <w:tcBorders>
              <w:top w:val="nil"/>
              <w:left w:val="nil"/>
              <w:bottom w:val="single" w:sz="4" w:space="0" w:color="auto"/>
              <w:right w:val="nil"/>
            </w:tcBorders>
            <w:shd w:val="clear" w:color="auto" w:fill="auto"/>
            <w:noWrap/>
            <w:vAlign w:val="bottom"/>
            <w:hideMark/>
          </w:tcPr>
          <w:p w14:paraId="569CCC4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5,434 </w:t>
            </w:r>
          </w:p>
        </w:tc>
        <w:tc>
          <w:tcPr>
            <w:tcW w:w="200" w:type="dxa"/>
            <w:tcBorders>
              <w:top w:val="nil"/>
              <w:left w:val="nil"/>
              <w:bottom w:val="nil"/>
              <w:right w:val="nil"/>
            </w:tcBorders>
            <w:shd w:val="clear" w:color="auto" w:fill="auto"/>
            <w:noWrap/>
            <w:vAlign w:val="bottom"/>
            <w:hideMark/>
          </w:tcPr>
          <w:p w14:paraId="5856D47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16224E1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5,892 </w:t>
            </w:r>
          </w:p>
        </w:tc>
      </w:tr>
      <w:tr w:rsidR="004A31B2" w:rsidRPr="004A31B2" w14:paraId="55AB24A6" w14:textId="77777777" w:rsidTr="004A31B2">
        <w:trPr>
          <w:trHeight w:val="300"/>
        </w:trPr>
        <w:tc>
          <w:tcPr>
            <w:tcW w:w="5180" w:type="dxa"/>
            <w:tcBorders>
              <w:top w:val="nil"/>
              <w:left w:val="nil"/>
              <w:bottom w:val="nil"/>
              <w:right w:val="nil"/>
            </w:tcBorders>
            <w:shd w:val="clear" w:color="auto" w:fill="auto"/>
            <w:noWrap/>
            <w:vAlign w:val="bottom"/>
            <w:hideMark/>
          </w:tcPr>
          <w:p w14:paraId="4B023FC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current assets</w:t>
            </w:r>
          </w:p>
        </w:tc>
        <w:tc>
          <w:tcPr>
            <w:tcW w:w="1500" w:type="dxa"/>
            <w:tcBorders>
              <w:top w:val="nil"/>
              <w:left w:val="nil"/>
              <w:bottom w:val="nil"/>
              <w:right w:val="nil"/>
            </w:tcBorders>
            <w:shd w:val="clear" w:color="auto" w:fill="auto"/>
            <w:noWrap/>
            <w:vAlign w:val="bottom"/>
            <w:hideMark/>
          </w:tcPr>
          <w:p w14:paraId="3055FE7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146,313 </w:t>
            </w:r>
          </w:p>
        </w:tc>
        <w:tc>
          <w:tcPr>
            <w:tcW w:w="200" w:type="dxa"/>
            <w:tcBorders>
              <w:top w:val="nil"/>
              <w:left w:val="nil"/>
              <w:bottom w:val="nil"/>
              <w:right w:val="nil"/>
            </w:tcBorders>
            <w:shd w:val="clear" w:color="auto" w:fill="auto"/>
            <w:noWrap/>
            <w:vAlign w:val="bottom"/>
            <w:hideMark/>
          </w:tcPr>
          <w:p w14:paraId="6E105CD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4C6B21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139,660 </w:t>
            </w:r>
          </w:p>
        </w:tc>
      </w:tr>
      <w:tr w:rsidR="004A31B2" w:rsidRPr="004A31B2" w14:paraId="1914A34A" w14:textId="77777777" w:rsidTr="004A31B2">
        <w:trPr>
          <w:trHeight w:val="600"/>
        </w:trPr>
        <w:tc>
          <w:tcPr>
            <w:tcW w:w="5180" w:type="dxa"/>
            <w:tcBorders>
              <w:top w:val="nil"/>
              <w:left w:val="nil"/>
              <w:bottom w:val="nil"/>
              <w:right w:val="nil"/>
            </w:tcBorders>
            <w:shd w:val="clear" w:color="auto" w:fill="auto"/>
            <w:vAlign w:val="bottom"/>
            <w:hideMark/>
          </w:tcPr>
          <w:p w14:paraId="21A9DDA8"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Property and equipment, net of accumulated</w:t>
            </w:r>
            <w:r w:rsidRPr="004A31B2">
              <w:rPr>
                <w:rFonts w:ascii="Segoe UI" w:eastAsia="Times New Roman" w:hAnsi="Segoe UI" w:cs="Segoe UI"/>
                <w:color w:val="666666"/>
                <w:sz w:val="20"/>
                <w:szCs w:val="20"/>
              </w:rPr>
              <w:br/>
              <w:t xml:space="preserve">   depreciation of </w:t>
            </w:r>
            <w:r w:rsidRPr="004A31B2">
              <w:rPr>
                <w:rFonts w:ascii="Segoe UI" w:eastAsia="Times New Roman" w:hAnsi="Segoe UI" w:cs="Segoe UI"/>
                <w:b/>
                <w:bCs/>
                <w:color w:val="666666"/>
                <w:sz w:val="20"/>
                <w:szCs w:val="20"/>
              </w:rPr>
              <w:t>$22,992</w:t>
            </w:r>
            <w:r w:rsidRPr="004A31B2">
              <w:rPr>
                <w:rFonts w:ascii="Segoe UI" w:eastAsia="Times New Roman" w:hAnsi="Segoe UI" w:cs="Segoe UI"/>
                <w:color w:val="666666"/>
                <w:sz w:val="20"/>
                <w:szCs w:val="20"/>
              </w:rPr>
              <w:t xml:space="preserve"> and $19,800</w:t>
            </w:r>
          </w:p>
        </w:tc>
        <w:tc>
          <w:tcPr>
            <w:tcW w:w="1500" w:type="dxa"/>
            <w:tcBorders>
              <w:top w:val="nil"/>
              <w:left w:val="nil"/>
              <w:bottom w:val="nil"/>
              <w:right w:val="nil"/>
            </w:tcBorders>
            <w:shd w:val="clear" w:color="auto" w:fill="auto"/>
            <w:noWrap/>
            <w:vAlign w:val="bottom"/>
            <w:hideMark/>
          </w:tcPr>
          <w:p w14:paraId="0CA9385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21,962 </w:t>
            </w:r>
          </w:p>
        </w:tc>
        <w:tc>
          <w:tcPr>
            <w:tcW w:w="200" w:type="dxa"/>
            <w:tcBorders>
              <w:top w:val="nil"/>
              <w:left w:val="nil"/>
              <w:bottom w:val="nil"/>
              <w:right w:val="nil"/>
            </w:tcBorders>
            <w:shd w:val="clear" w:color="auto" w:fill="auto"/>
            <w:noWrap/>
            <w:vAlign w:val="bottom"/>
            <w:hideMark/>
          </w:tcPr>
          <w:p w14:paraId="52E3584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6BF044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18,356 </w:t>
            </w:r>
          </w:p>
        </w:tc>
      </w:tr>
      <w:tr w:rsidR="004A31B2" w:rsidRPr="004A31B2" w14:paraId="30C0F9E4" w14:textId="77777777" w:rsidTr="004A31B2">
        <w:trPr>
          <w:trHeight w:val="300"/>
        </w:trPr>
        <w:tc>
          <w:tcPr>
            <w:tcW w:w="5180" w:type="dxa"/>
            <w:tcBorders>
              <w:top w:val="nil"/>
              <w:left w:val="nil"/>
              <w:bottom w:val="nil"/>
              <w:right w:val="nil"/>
            </w:tcBorders>
            <w:shd w:val="clear" w:color="auto" w:fill="auto"/>
            <w:noWrap/>
            <w:vAlign w:val="bottom"/>
            <w:hideMark/>
          </w:tcPr>
          <w:p w14:paraId="47C9130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Equity and other investments</w:t>
            </w:r>
          </w:p>
        </w:tc>
        <w:tc>
          <w:tcPr>
            <w:tcW w:w="1500" w:type="dxa"/>
            <w:tcBorders>
              <w:top w:val="nil"/>
              <w:left w:val="nil"/>
              <w:bottom w:val="nil"/>
              <w:right w:val="nil"/>
            </w:tcBorders>
            <w:shd w:val="clear" w:color="auto" w:fill="auto"/>
            <w:noWrap/>
            <w:vAlign w:val="bottom"/>
            <w:hideMark/>
          </w:tcPr>
          <w:p w14:paraId="07EC599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7,381 </w:t>
            </w:r>
          </w:p>
        </w:tc>
        <w:tc>
          <w:tcPr>
            <w:tcW w:w="200" w:type="dxa"/>
            <w:tcBorders>
              <w:top w:val="nil"/>
              <w:left w:val="nil"/>
              <w:bottom w:val="nil"/>
              <w:right w:val="nil"/>
            </w:tcBorders>
            <w:shd w:val="clear" w:color="auto" w:fill="auto"/>
            <w:noWrap/>
            <w:vAlign w:val="bottom"/>
            <w:hideMark/>
          </w:tcPr>
          <w:p w14:paraId="1135284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F58124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10,431 </w:t>
            </w:r>
          </w:p>
        </w:tc>
      </w:tr>
      <w:tr w:rsidR="004A31B2" w:rsidRPr="004A31B2" w14:paraId="20F0688F" w14:textId="77777777" w:rsidTr="004A31B2">
        <w:trPr>
          <w:trHeight w:val="300"/>
        </w:trPr>
        <w:tc>
          <w:tcPr>
            <w:tcW w:w="5180" w:type="dxa"/>
            <w:tcBorders>
              <w:top w:val="nil"/>
              <w:left w:val="nil"/>
              <w:bottom w:val="nil"/>
              <w:right w:val="nil"/>
            </w:tcBorders>
            <w:shd w:val="clear" w:color="auto" w:fill="auto"/>
            <w:noWrap/>
            <w:vAlign w:val="bottom"/>
            <w:hideMark/>
          </w:tcPr>
          <w:p w14:paraId="763F7518"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Goodwill</w:t>
            </w:r>
          </w:p>
        </w:tc>
        <w:tc>
          <w:tcPr>
            <w:tcW w:w="1500" w:type="dxa"/>
            <w:tcBorders>
              <w:top w:val="nil"/>
              <w:left w:val="nil"/>
              <w:bottom w:val="nil"/>
              <w:right w:val="nil"/>
            </w:tcBorders>
            <w:shd w:val="clear" w:color="auto" w:fill="auto"/>
            <w:noWrap/>
            <w:vAlign w:val="bottom"/>
            <w:hideMark/>
          </w:tcPr>
          <w:p w14:paraId="7B7C0EA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34,668 </w:t>
            </w:r>
          </w:p>
        </w:tc>
        <w:tc>
          <w:tcPr>
            <w:tcW w:w="200" w:type="dxa"/>
            <w:tcBorders>
              <w:top w:val="nil"/>
              <w:left w:val="nil"/>
              <w:bottom w:val="nil"/>
              <w:right w:val="nil"/>
            </w:tcBorders>
            <w:shd w:val="clear" w:color="auto" w:fill="auto"/>
            <w:noWrap/>
            <w:vAlign w:val="bottom"/>
            <w:hideMark/>
          </w:tcPr>
          <w:p w14:paraId="614C17E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F3CF78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17,872 </w:t>
            </w:r>
          </w:p>
        </w:tc>
      </w:tr>
      <w:tr w:rsidR="004A31B2" w:rsidRPr="004A31B2" w14:paraId="63BAD91E" w14:textId="77777777" w:rsidTr="004A31B2">
        <w:trPr>
          <w:trHeight w:val="300"/>
        </w:trPr>
        <w:tc>
          <w:tcPr>
            <w:tcW w:w="5180" w:type="dxa"/>
            <w:tcBorders>
              <w:top w:val="nil"/>
              <w:left w:val="nil"/>
              <w:bottom w:val="nil"/>
              <w:right w:val="nil"/>
            </w:tcBorders>
            <w:shd w:val="clear" w:color="auto" w:fill="auto"/>
            <w:noWrap/>
            <w:vAlign w:val="bottom"/>
            <w:hideMark/>
          </w:tcPr>
          <w:p w14:paraId="41E7F51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Intangible assets, net</w:t>
            </w:r>
          </w:p>
        </w:tc>
        <w:tc>
          <w:tcPr>
            <w:tcW w:w="1500" w:type="dxa"/>
            <w:tcBorders>
              <w:top w:val="nil"/>
              <w:left w:val="nil"/>
              <w:bottom w:val="nil"/>
              <w:right w:val="nil"/>
            </w:tcBorders>
            <w:shd w:val="clear" w:color="auto" w:fill="auto"/>
            <w:noWrap/>
            <w:vAlign w:val="bottom"/>
            <w:hideMark/>
          </w:tcPr>
          <w:p w14:paraId="7AB3381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10,547 </w:t>
            </w:r>
          </w:p>
        </w:tc>
        <w:tc>
          <w:tcPr>
            <w:tcW w:w="200" w:type="dxa"/>
            <w:tcBorders>
              <w:top w:val="nil"/>
              <w:left w:val="nil"/>
              <w:bottom w:val="nil"/>
              <w:right w:val="nil"/>
            </w:tcBorders>
            <w:shd w:val="clear" w:color="auto" w:fill="auto"/>
            <w:noWrap/>
            <w:vAlign w:val="bottom"/>
            <w:hideMark/>
          </w:tcPr>
          <w:p w14:paraId="487BD36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169D26F"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3,733 </w:t>
            </w:r>
          </w:p>
        </w:tc>
      </w:tr>
      <w:tr w:rsidR="004A31B2" w:rsidRPr="004A31B2" w14:paraId="42686138" w14:textId="77777777" w:rsidTr="004A31B2">
        <w:trPr>
          <w:trHeight w:val="300"/>
        </w:trPr>
        <w:tc>
          <w:tcPr>
            <w:tcW w:w="5180" w:type="dxa"/>
            <w:tcBorders>
              <w:top w:val="nil"/>
              <w:left w:val="nil"/>
              <w:bottom w:val="single" w:sz="4" w:space="0" w:color="auto"/>
              <w:right w:val="nil"/>
            </w:tcBorders>
            <w:shd w:val="clear" w:color="auto" w:fill="auto"/>
            <w:noWrap/>
            <w:vAlign w:val="bottom"/>
            <w:hideMark/>
          </w:tcPr>
          <w:p w14:paraId="12284A37"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Other long-term assets</w:t>
            </w:r>
          </w:p>
        </w:tc>
        <w:tc>
          <w:tcPr>
            <w:tcW w:w="1500" w:type="dxa"/>
            <w:tcBorders>
              <w:top w:val="nil"/>
              <w:left w:val="nil"/>
              <w:bottom w:val="single" w:sz="4" w:space="0" w:color="auto"/>
              <w:right w:val="nil"/>
            </w:tcBorders>
            <w:shd w:val="clear" w:color="auto" w:fill="auto"/>
            <w:noWrap/>
            <w:vAlign w:val="bottom"/>
            <w:hideMark/>
          </w:tcPr>
          <w:p w14:paraId="2EB3CC3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4,146 </w:t>
            </w:r>
          </w:p>
        </w:tc>
        <w:tc>
          <w:tcPr>
            <w:tcW w:w="200" w:type="dxa"/>
            <w:tcBorders>
              <w:top w:val="nil"/>
              <w:left w:val="nil"/>
              <w:bottom w:val="nil"/>
              <w:right w:val="nil"/>
            </w:tcBorders>
            <w:shd w:val="clear" w:color="auto" w:fill="auto"/>
            <w:noWrap/>
            <w:vAlign w:val="bottom"/>
            <w:hideMark/>
          </w:tcPr>
          <w:p w14:paraId="42AD2DB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08BFD55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3,416 </w:t>
            </w:r>
          </w:p>
        </w:tc>
      </w:tr>
      <w:tr w:rsidR="004A31B2" w:rsidRPr="004A31B2" w14:paraId="7B07669D" w14:textId="77777777" w:rsidTr="004A31B2">
        <w:trPr>
          <w:trHeight w:val="312"/>
        </w:trPr>
        <w:tc>
          <w:tcPr>
            <w:tcW w:w="5180" w:type="dxa"/>
            <w:tcBorders>
              <w:top w:val="nil"/>
              <w:left w:val="nil"/>
              <w:bottom w:val="nil"/>
              <w:right w:val="nil"/>
            </w:tcBorders>
            <w:shd w:val="clear" w:color="auto" w:fill="auto"/>
            <w:noWrap/>
            <w:vAlign w:val="bottom"/>
            <w:hideMark/>
          </w:tcPr>
          <w:p w14:paraId="3966696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assets</w:t>
            </w:r>
          </w:p>
        </w:tc>
        <w:tc>
          <w:tcPr>
            <w:tcW w:w="1500" w:type="dxa"/>
            <w:tcBorders>
              <w:top w:val="nil"/>
              <w:left w:val="nil"/>
              <w:bottom w:val="single" w:sz="8" w:space="0" w:color="auto"/>
              <w:right w:val="nil"/>
            </w:tcBorders>
            <w:shd w:val="clear" w:color="auto" w:fill="auto"/>
            <w:noWrap/>
            <w:vAlign w:val="bottom"/>
            <w:hideMark/>
          </w:tcPr>
          <w:p w14:paraId="28E74A6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$225,017 </w:t>
            </w:r>
          </w:p>
        </w:tc>
        <w:tc>
          <w:tcPr>
            <w:tcW w:w="200" w:type="dxa"/>
            <w:tcBorders>
              <w:top w:val="nil"/>
              <w:left w:val="nil"/>
              <w:bottom w:val="nil"/>
              <w:right w:val="nil"/>
            </w:tcBorders>
            <w:shd w:val="clear" w:color="auto" w:fill="auto"/>
            <w:noWrap/>
            <w:vAlign w:val="bottom"/>
            <w:hideMark/>
          </w:tcPr>
          <w:p w14:paraId="4C1DEFB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33811B7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$193,468 </w:t>
            </w:r>
          </w:p>
        </w:tc>
      </w:tr>
      <w:tr w:rsidR="004A31B2" w:rsidRPr="004A31B2" w14:paraId="04616629" w14:textId="77777777" w:rsidTr="004A31B2">
        <w:trPr>
          <w:trHeight w:val="300"/>
        </w:trPr>
        <w:tc>
          <w:tcPr>
            <w:tcW w:w="5180" w:type="dxa"/>
            <w:tcBorders>
              <w:top w:val="nil"/>
              <w:left w:val="nil"/>
              <w:bottom w:val="nil"/>
              <w:right w:val="nil"/>
            </w:tcBorders>
            <w:shd w:val="clear" w:color="auto" w:fill="auto"/>
            <w:noWrap/>
            <w:vAlign w:val="bottom"/>
            <w:hideMark/>
          </w:tcPr>
          <w:p w14:paraId="65F892B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0C205B4F" w14:textId="77777777" w:rsidR="004A31B2" w:rsidRPr="004A31B2" w:rsidRDefault="004A31B2" w:rsidP="004A31B2">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505B925B"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40A90C9"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52A62918" w14:textId="77777777" w:rsidTr="004A31B2">
        <w:trPr>
          <w:trHeight w:val="300"/>
        </w:trPr>
        <w:tc>
          <w:tcPr>
            <w:tcW w:w="5180" w:type="dxa"/>
            <w:tcBorders>
              <w:top w:val="nil"/>
              <w:left w:val="nil"/>
              <w:bottom w:val="nil"/>
              <w:right w:val="nil"/>
            </w:tcBorders>
            <w:shd w:val="clear" w:color="auto" w:fill="auto"/>
            <w:noWrap/>
            <w:vAlign w:val="bottom"/>
            <w:hideMark/>
          </w:tcPr>
          <w:p w14:paraId="2798DF07"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Liabilities and stockholders' equity</w:t>
            </w:r>
          </w:p>
        </w:tc>
        <w:tc>
          <w:tcPr>
            <w:tcW w:w="1500" w:type="dxa"/>
            <w:tcBorders>
              <w:top w:val="nil"/>
              <w:left w:val="nil"/>
              <w:bottom w:val="nil"/>
              <w:right w:val="nil"/>
            </w:tcBorders>
            <w:shd w:val="clear" w:color="auto" w:fill="auto"/>
            <w:noWrap/>
            <w:vAlign w:val="bottom"/>
            <w:hideMark/>
          </w:tcPr>
          <w:p w14:paraId="2EB0E8DC"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53E2072E"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13A3F96"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66BFF28C" w14:textId="77777777" w:rsidTr="004A31B2">
        <w:trPr>
          <w:trHeight w:val="300"/>
        </w:trPr>
        <w:tc>
          <w:tcPr>
            <w:tcW w:w="5180" w:type="dxa"/>
            <w:tcBorders>
              <w:top w:val="nil"/>
              <w:left w:val="nil"/>
              <w:bottom w:val="nil"/>
              <w:right w:val="nil"/>
            </w:tcBorders>
            <w:shd w:val="clear" w:color="auto" w:fill="auto"/>
            <w:noWrap/>
            <w:vAlign w:val="bottom"/>
            <w:hideMark/>
          </w:tcPr>
          <w:p w14:paraId="4B83621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Current liabilities:</w:t>
            </w:r>
          </w:p>
        </w:tc>
        <w:tc>
          <w:tcPr>
            <w:tcW w:w="1500" w:type="dxa"/>
            <w:tcBorders>
              <w:top w:val="nil"/>
              <w:left w:val="nil"/>
              <w:bottom w:val="nil"/>
              <w:right w:val="nil"/>
            </w:tcBorders>
            <w:shd w:val="clear" w:color="auto" w:fill="auto"/>
            <w:noWrap/>
            <w:vAlign w:val="bottom"/>
            <w:hideMark/>
          </w:tcPr>
          <w:p w14:paraId="0A582864"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731231BB"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C0AD5FC"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45612933" w14:textId="77777777" w:rsidTr="004A31B2">
        <w:trPr>
          <w:trHeight w:val="300"/>
        </w:trPr>
        <w:tc>
          <w:tcPr>
            <w:tcW w:w="5180" w:type="dxa"/>
            <w:tcBorders>
              <w:top w:val="nil"/>
              <w:left w:val="nil"/>
              <w:bottom w:val="nil"/>
              <w:right w:val="nil"/>
            </w:tcBorders>
            <w:shd w:val="clear" w:color="auto" w:fill="auto"/>
            <w:noWrap/>
            <w:vAlign w:val="bottom"/>
            <w:hideMark/>
          </w:tcPr>
          <w:p w14:paraId="6CC8C21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Accounts payable</w:t>
            </w:r>
          </w:p>
        </w:tc>
        <w:tc>
          <w:tcPr>
            <w:tcW w:w="1500" w:type="dxa"/>
            <w:tcBorders>
              <w:top w:val="nil"/>
              <w:left w:val="nil"/>
              <w:bottom w:val="nil"/>
              <w:right w:val="nil"/>
            </w:tcBorders>
            <w:shd w:val="clear" w:color="auto" w:fill="auto"/>
            <w:noWrap/>
            <w:vAlign w:val="bottom"/>
            <w:hideMark/>
          </w:tcPr>
          <w:p w14:paraId="6CCA04E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$6,217 </w:t>
            </w:r>
          </w:p>
        </w:tc>
        <w:tc>
          <w:tcPr>
            <w:tcW w:w="200" w:type="dxa"/>
            <w:tcBorders>
              <w:top w:val="nil"/>
              <w:left w:val="nil"/>
              <w:bottom w:val="nil"/>
              <w:right w:val="nil"/>
            </w:tcBorders>
            <w:shd w:val="clear" w:color="auto" w:fill="auto"/>
            <w:noWrap/>
            <w:vAlign w:val="bottom"/>
            <w:hideMark/>
          </w:tcPr>
          <w:p w14:paraId="1D2A0B9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710AC62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$6,898 </w:t>
            </w:r>
          </w:p>
        </w:tc>
      </w:tr>
      <w:tr w:rsidR="004A31B2" w:rsidRPr="004A31B2" w14:paraId="3157C74A" w14:textId="77777777" w:rsidTr="004A31B2">
        <w:trPr>
          <w:trHeight w:val="300"/>
        </w:trPr>
        <w:tc>
          <w:tcPr>
            <w:tcW w:w="5180" w:type="dxa"/>
            <w:tcBorders>
              <w:top w:val="nil"/>
              <w:left w:val="nil"/>
              <w:bottom w:val="nil"/>
              <w:right w:val="nil"/>
            </w:tcBorders>
            <w:shd w:val="clear" w:color="auto" w:fill="auto"/>
            <w:noWrap/>
            <w:vAlign w:val="bottom"/>
            <w:hideMark/>
          </w:tcPr>
          <w:p w14:paraId="3B7671C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Short-term debt</w:t>
            </w:r>
          </w:p>
        </w:tc>
        <w:tc>
          <w:tcPr>
            <w:tcW w:w="1500" w:type="dxa"/>
            <w:tcBorders>
              <w:top w:val="nil"/>
              <w:left w:val="nil"/>
              <w:bottom w:val="nil"/>
              <w:right w:val="nil"/>
            </w:tcBorders>
            <w:shd w:val="clear" w:color="auto" w:fill="auto"/>
            <w:noWrap/>
            <w:vAlign w:val="bottom"/>
            <w:hideMark/>
          </w:tcPr>
          <w:p w14:paraId="49F6C5F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7,187 </w:t>
            </w:r>
          </w:p>
        </w:tc>
        <w:tc>
          <w:tcPr>
            <w:tcW w:w="200" w:type="dxa"/>
            <w:tcBorders>
              <w:top w:val="nil"/>
              <w:left w:val="nil"/>
              <w:bottom w:val="nil"/>
              <w:right w:val="nil"/>
            </w:tcBorders>
            <w:shd w:val="clear" w:color="auto" w:fill="auto"/>
            <w:noWrap/>
            <w:vAlign w:val="bottom"/>
            <w:hideMark/>
          </w:tcPr>
          <w:p w14:paraId="1B1662B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4D4C35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12,904 </w:t>
            </w:r>
          </w:p>
        </w:tc>
      </w:tr>
      <w:tr w:rsidR="004A31B2" w:rsidRPr="004A31B2" w14:paraId="20501BDC" w14:textId="77777777" w:rsidTr="004A31B2">
        <w:trPr>
          <w:trHeight w:val="300"/>
        </w:trPr>
        <w:tc>
          <w:tcPr>
            <w:tcW w:w="5180" w:type="dxa"/>
            <w:tcBorders>
              <w:top w:val="nil"/>
              <w:left w:val="nil"/>
              <w:bottom w:val="nil"/>
              <w:right w:val="nil"/>
            </w:tcBorders>
            <w:shd w:val="clear" w:color="auto" w:fill="auto"/>
            <w:noWrap/>
            <w:vAlign w:val="bottom"/>
            <w:hideMark/>
          </w:tcPr>
          <w:p w14:paraId="0F85291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Current portion of long-term debt</w:t>
            </w:r>
          </w:p>
        </w:tc>
        <w:tc>
          <w:tcPr>
            <w:tcW w:w="1500" w:type="dxa"/>
            <w:tcBorders>
              <w:top w:val="nil"/>
              <w:left w:val="nil"/>
              <w:bottom w:val="nil"/>
              <w:right w:val="nil"/>
            </w:tcBorders>
            <w:shd w:val="clear" w:color="auto" w:fill="auto"/>
            <w:noWrap/>
            <w:vAlign w:val="bottom"/>
            <w:hideMark/>
          </w:tcPr>
          <w:p w14:paraId="02853A1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599 </w:t>
            </w:r>
          </w:p>
        </w:tc>
        <w:tc>
          <w:tcPr>
            <w:tcW w:w="200" w:type="dxa"/>
            <w:tcBorders>
              <w:top w:val="nil"/>
              <w:left w:val="nil"/>
              <w:bottom w:val="nil"/>
              <w:right w:val="nil"/>
            </w:tcBorders>
            <w:shd w:val="clear" w:color="auto" w:fill="auto"/>
            <w:noWrap/>
            <w:vAlign w:val="bottom"/>
            <w:hideMark/>
          </w:tcPr>
          <w:p w14:paraId="4C12075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AB0EBB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0 </w:t>
            </w:r>
          </w:p>
        </w:tc>
      </w:tr>
      <w:tr w:rsidR="004A31B2" w:rsidRPr="004A31B2" w14:paraId="5C2DAFE8" w14:textId="77777777" w:rsidTr="004A31B2">
        <w:trPr>
          <w:trHeight w:val="300"/>
        </w:trPr>
        <w:tc>
          <w:tcPr>
            <w:tcW w:w="5180" w:type="dxa"/>
            <w:tcBorders>
              <w:top w:val="nil"/>
              <w:left w:val="nil"/>
              <w:bottom w:val="nil"/>
              <w:right w:val="nil"/>
            </w:tcBorders>
            <w:shd w:val="clear" w:color="auto" w:fill="auto"/>
            <w:noWrap/>
            <w:vAlign w:val="bottom"/>
            <w:hideMark/>
          </w:tcPr>
          <w:p w14:paraId="3C497FD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Accrued compensation</w:t>
            </w:r>
          </w:p>
        </w:tc>
        <w:tc>
          <w:tcPr>
            <w:tcW w:w="1500" w:type="dxa"/>
            <w:tcBorders>
              <w:top w:val="nil"/>
              <w:left w:val="nil"/>
              <w:bottom w:val="nil"/>
              <w:right w:val="nil"/>
            </w:tcBorders>
            <w:shd w:val="clear" w:color="auto" w:fill="auto"/>
            <w:noWrap/>
            <w:vAlign w:val="bottom"/>
            <w:hideMark/>
          </w:tcPr>
          <w:p w14:paraId="6ABB434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4,604 </w:t>
            </w:r>
          </w:p>
        </w:tc>
        <w:tc>
          <w:tcPr>
            <w:tcW w:w="200" w:type="dxa"/>
            <w:tcBorders>
              <w:top w:val="nil"/>
              <w:left w:val="nil"/>
              <w:bottom w:val="nil"/>
              <w:right w:val="nil"/>
            </w:tcBorders>
            <w:shd w:val="clear" w:color="auto" w:fill="auto"/>
            <w:noWrap/>
            <w:vAlign w:val="bottom"/>
            <w:hideMark/>
          </w:tcPr>
          <w:p w14:paraId="2D1126F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6112E6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5,264 </w:t>
            </w:r>
          </w:p>
        </w:tc>
      </w:tr>
      <w:tr w:rsidR="004A31B2" w:rsidRPr="004A31B2" w14:paraId="3D3AF730" w14:textId="77777777" w:rsidTr="004A31B2">
        <w:trPr>
          <w:trHeight w:val="300"/>
        </w:trPr>
        <w:tc>
          <w:tcPr>
            <w:tcW w:w="5180" w:type="dxa"/>
            <w:tcBorders>
              <w:top w:val="nil"/>
              <w:left w:val="nil"/>
              <w:bottom w:val="nil"/>
              <w:right w:val="nil"/>
            </w:tcBorders>
            <w:shd w:val="clear" w:color="auto" w:fill="auto"/>
            <w:noWrap/>
            <w:vAlign w:val="bottom"/>
            <w:hideMark/>
          </w:tcPr>
          <w:p w14:paraId="5FC2419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Income taxes</w:t>
            </w:r>
          </w:p>
        </w:tc>
        <w:tc>
          <w:tcPr>
            <w:tcW w:w="1500" w:type="dxa"/>
            <w:tcBorders>
              <w:top w:val="nil"/>
              <w:left w:val="nil"/>
              <w:bottom w:val="nil"/>
              <w:right w:val="nil"/>
            </w:tcBorders>
            <w:shd w:val="clear" w:color="auto" w:fill="auto"/>
            <w:noWrap/>
            <w:vAlign w:val="bottom"/>
            <w:hideMark/>
          </w:tcPr>
          <w:p w14:paraId="3A5BA77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654 </w:t>
            </w:r>
          </w:p>
        </w:tc>
        <w:tc>
          <w:tcPr>
            <w:tcW w:w="200" w:type="dxa"/>
            <w:tcBorders>
              <w:top w:val="nil"/>
              <w:left w:val="nil"/>
              <w:bottom w:val="nil"/>
              <w:right w:val="nil"/>
            </w:tcBorders>
            <w:shd w:val="clear" w:color="auto" w:fill="auto"/>
            <w:noWrap/>
            <w:vAlign w:val="bottom"/>
            <w:hideMark/>
          </w:tcPr>
          <w:p w14:paraId="6935012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317A55D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580 </w:t>
            </w:r>
          </w:p>
        </w:tc>
      </w:tr>
      <w:tr w:rsidR="004A31B2" w:rsidRPr="004A31B2" w14:paraId="68937167" w14:textId="77777777" w:rsidTr="004A31B2">
        <w:trPr>
          <w:trHeight w:val="300"/>
        </w:trPr>
        <w:tc>
          <w:tcPr>
            <w:tcW w:w="5180" w:type="dxa"/>
            <w:tcBorders>
              <w:top w:val="nil"/>
              <w:left w:val="nil"/>
              <w:bottom w:val="nil"/>
              <w:right w:val="nil"/>
            </w:tcBorders>
            <w:shd w:val="clear" w:color="auto" w:fill="auto"/>
            <w:noWrap/>
            <w:vAlign w:val="bottom"/>
            <w:hideMark/>
          </w:tcPr>
          <w:p w14:paraId="1A29B22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Short-term unearned revenue</w:t>
            </w:r>
          </w:p>
        </w:tc>
        <w:tc>
          <w:tcPr>
            <w:tcW w:w="1500" w:type="dxa"/>
            <w:tcBorders>
              <w:top w:val="nil"/>
              <w:left w:val="nil"/>
              <w:bottom w:val="nil"/>
              <w:right w:val="nil"/>
            </w:tcBorders>
            <w:shd w:val="clear" w:color="auto" w:fill="auto"/>
            <w:noWrap/>
            <w:vAlign w:val="bottom"/>
            <w:hideMark/>
          </w:tcPr>
          <w:p w14:paraId="4CA3264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26,518 </w:t>
            </w:r>
          </w:p>
        </w:tc>
        <w:tc>
          <w:tcPr>
            <w:tcW w:w="200" w:type="dxa"/>
            <w:tcBorders>
              <w:top w:val="nil"/>
              <w:left w:val="nil"/>
              <w:bottom w:val="nil"/>
              <w:right w:val="nil"/>
            </w:tcBorders>
            <w:shd w:val="clear" w:color="auto" w:fill="auto"/>
            <w:noWrap/>
            <w:vAlign w:val="bottom"/>
            <w:hideMark/>
          </w:tcPr>
          <w:p w14:paraId="29FF610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53A4C7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27,468 </w:t>
            </w:r>
          </w:p>
        </w:tc>
      </w:tr>
      <w:tr w:rsidR="004A31B2" w:rsidRPr="004A31B2" w14:paraId="1D985155" w14:textId="77777777" w:rsidTr="004A31B2">
        <w:trPr>
          <w:trHeight w:val="300"/>
        </w:trPr>
        <w:tc>
          <w:tcPr>
            <w:tcW w:w="5180" w:type="dxa"/>
            <w:tcBorders>
              <w:top w:val="nil"/>
              <w:left w:val="nil"/>
              <w:bottom w:val="nil"/>
              <w:right w:val="nil"/>
            </w:tcBorders>
            <w:shd w:val="clear" w:color="auto" w:fill="auto"/>
            <w:noWrap/>
            <w:vAlign w:val="bottom"/>
            <w:hideMark/>
          </w:tcPr>
          <w:p w14:paraId="7B725AE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Securities lending payable</w:t>
            </w:r>
          </w:p>
        </w:tc>
        <w:tc>
          <w:tcPr>
            <w:tcW w:w="1500" w:type="dxa"/>
            <w:tcBorders>
              <w:top w:val="nil"/>
              <w:left w:val="nil"/>
              <w:bottom w:val="nil"/>
              <w:right w:val="nil"/>
            </w:tcBorders>
            <w:shd w:val="clear" w:color="auto" w:fill="auto"/>
            <w:noWrap/>
            <w:vAlign w:val="bottom"/>
            <w:hideMark/>
          </w:tcPr>
          <w:p w14:paraId="6D162BA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201 </w:t>
            </w:r>
          </w:p>
        </w:tc>
        <w:tc>
          <w:tcPr>
            <w:tcW w:w="200" w:type="dxa"/>
            <w:tcBorders>
              <w:top w:val="nil"/>
              <w:left w:val="nil"/>
              <w:bottom w:val="nil"/>
              <w:right w:val="nil"/>
            </w:tcBorders>
            <w:shd w:val="clear" w:color="auto" w:fill="auto"/>
            <w:noWrap/>
            <w:vAlign w:val="bottom"/>
            <w:hideMark/>
          </w:tcPr>
          <w:p w14:paraId="0694A5E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0FADE78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294 </w:t>
            </w:r>
          </w:p>
        </w:tc>
      </w:tr>
      <w:tr w:rsidR="004A31B2" w:rsidRPr="004A31B2" w14:paraId="1ACFE889" w14:textId="77777777" w:rsidTr="004A31B2">
        <w:trPr>
          <w:trHeight w:val="300"/>
        </w:trPr>
        <w:tc>
          <w:tcPr>
            <w:tcW w:w="5180" w:type="dxa"/>
            <w:tcBorders>
              <w:top w:val="nil"/>
              <w:left w:val="nil"/>
              <w:bottom w:val="single" w:sz="4" w:space="0" w:color="auto"/>
              <w:right w:val="nil"/>
            </w:tcBorders>
            <w:shd w:val="clear" w:color="auto" w:fill="auto"/>
            <w:noWrap/>
            <w:vAlign w:val="bottom"/>
            <w:hideMark/>
          </w:tcPr>
          <w:p w14:paraId="7774E63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w:t>
            </w:r>
          </w:p>
        </w:tc>
        <w:tc>
          <w:tcPr>
            <w:tcW w:w="1500" w:type="dxa"/>
            <w:tcBorders>
              <w:top w:val="nil"/>
              <w:left w:val="nil"/>
              <w:bottom w:val="single" w:sz="4" w:space="0" w:color="auto"/>
              <w:right w:val="nil"/>
            </w:tcBorders>
            <w:shd w:val="clear" w:color="auto" w:fill="auto"/>
            <w:noWrap/>
            <w:vAlign w:val="bottom"/>
            <w:hideMark/>
          </w:tcPr>
          <w:p w14:paraId="5AAFEE7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6,025 </w:t>
            </w:r>
          </w:p>
        </w:tc>
        <w:tc>
          <w:tcPr>
            <w:tcW w:w="200" w:type="dxa"/>
            <w:tcBorders>
              <w:top w:val="nil"/>
              <w:left w:val="nil"/>
              <w:bottom w:val="nil"/>
              <w:right w:val="nil"/>
            </w:tcBorders>
            <w:shd w:val="clear" w:color="auto" w:fill="auto"/>
            <w:noWrap/>
            <w:vAlign w:val="bottom"/>
            <w:hideMark/>
          </w:tcPr>
          <w:p w14:paraId="2A5C576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3929E4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5,949 </w:t>
            </w:r>
          </w:p>
        </w:tc>
      </w:tr>
      <w:tr w:rsidR="004A31B2" w:rsidRPr="004A31B2" w14:paraId="3715B235" w14:textId="77777777" w:rsidTr="004A31B2">
        <w:trPr>
          <w:trHeight w:val="300"/>
        </w:trPr>
        <w:tc>
          <w:tcPr>
            <w:tcW w:w="5180" w:type="dxa"/>
            <w:tcBorders>
              <w:top w:val="nil"/>
              <w:left w:val="nil"/>
              <w:bottom w:val="nil"/>
              <w:right w:val="nil"/>
            </w:tcBorders>
            <w:shd w:val="clear" w:color="auto" w:fill="auto"/>
            <w:noWrap/>
            <w:vAlign w:val="bottom"/>
            <w:hideMark/>
          </w:tcPr>
          <w:p w14:paraId="35188D3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current liabilities</w:t>
            </w:r>
          </w:p>
        </w:tc>
        <w:tc>
          <w:tcPr>
            <w:tcW w:w="1500" w:type="dxa"/>
            <w:tcBorders>
              <w:top w:val="nil"/>
              <w:left w:val="nil"/>
              <w:bottom w:val="nil"/>
              <w:right w:val="nil"/>
            </w:tcBorders>
            <w:shd w:val="clear" w:color="auto" w:fill="auto"/>
            <w:noWrap/>
            <w:vAlign w:val="bottom"/>
            <w:hideMark/>
          </w:tcPr>
          <w:p w14:paraId="09EE285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52,005 </w:t>
            </w:r>
          </w:p>
        </w:tc>
        <w:tc>
          <w:tcPr>
            <w:tcW w:w="200" w:type="dxa"/>
            <w:tcBorders>
              <w:top w:val="nil"/>
              <w:left w:val="nil"/>
              <w:bottom w:val="nil"/>
              <w:right w:val="nil"/>
            </w:tcBorders>
            <w:shd w:val="clear" w:color="auto" w:fill="auto"/>
            <w:noWrap/>
            <w:vAlign w:val="bottom"/>
            <w:hideMark/>
          </w:tcPr>
          <w:p w14:paraId="108F1FC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DC3AEC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59,357 </w:t>
            </w:r>
          </w:p>
        </w:tc>
      </w:tr>
      <w:tr w:rsidR="004A31B2" w:rsidRPr="004A31B2" w14:paraId="642A0DAA" w14:textId="77777777" w:rsidTr="004A31B2">
        <w:trPr>
          <w:trHeight w:val="300"/>
        </w:trPr>
        <w:tc>
          <w:tcPr>
            <w:tcW w:w="5180" w:type="dxa"/>
            <w:tcBorders>
              <w:top w:val="nil"/>
              <w:left w:val="nil"/>
              <w:bottom w:val="nil"/>
              <w:right w:val="nil"/>
            </w:tcBorders>
            <w:shd w:val="clear" w:color="auto" w:fill="auto"/>
            <w:noWrap/>
            <w:vAlign w:val="bottom"/>
            <w:hideMark/>
          </w:tcPr>
          <w:p w14:paraId="56627CE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Long-term debt</w:t>
            </w:r>
          </w:p>
        </w:tc>
        <w:tc>
          <w:tcPr>
            <w:tcW w:w="1500" w:type="dxa"/>
            <w:tcBorders>
              <w:top w:val="nil"/>
              <w:left w:val="nil"/>
              <w:bottom w:val="nil"/>
              <w:right w:val="nil"/>
            </w:tcBorders>
            <w:shd w:val="clear" w:color="auto" w:fill="auto"/>
            <w:noWrap/>
            <w:vAlign w:val="bottom"/>
            <w:hideMark/>
          </w:tcPr>
          <w:p w14:paraId="1B5DDDF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76,222 </w:t>
            </w:r>
          </w:p>
        </w:tc>
        <w:tc>
          <w:tcPr>
            <w:tcW w:w="200" w:type="dxa"/>
            <w:tcBorders>
              <w:top w:val="nil"/>
              <w:left w:val="nil"/>
              <w:bottom w:val="nil"/>
              <w:right w:val="nil"/>
            </w:tcBorders>
            <w:shd w:val="clear" w:color="auto" w:fill="auto"/>
            <w:noWrap/>
            <w:vAlign w:val="bottom"/>
            <w:hideMark/>
          </w:tcPr>
          <w:p w14:paraId="7B1839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B5CDA2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40,557 </w:t>
            </w:r>
          </w:p>
        </w:tc>
      </w:tr>
      <w:tr w:rsidR="004A31B2" w:rsidRPr="004A31B2" w14:paraId="1BABAA35" w14:textId="77777777" w:rsidTr="004A31B2">
        <w:trPr>
          <w:trHeight w:val="300"/>
        </w:trPr>
        <w:tc>
          <w:tcPr>
            <w:tcW w:w="5180" w:type="dxa"/>
            <w:tcBorders>
              <w:top w:val="nil"/>
              <w:left w:val="nil"/>
              <w:bottom w:val="nil"/>
              <w:right w:val="nil"/>
            </w:tcBorders>
            <w:shd w:val="clear" w:color="auto" w:fill="auto"/>
            <w:noWrap/>
            <w:vAlign w:val="bottom"/>
            <w:hideMark/>
          </w:tcPr>
          <w:p w14:paraId="3C5B2A9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Long-term unearned revenue</w:t>
            </w:r>
          </w:p>
        </w:tc>
        <w:tc>
          <w:tcPr>
            <w:tcW w:w="1500" w:type="dxa"/>
            <w:tcBorders>
              <w:top w:val="nil"/>
              <w:left w:val="nil"/>
              <w:bottom w:val="nil"/>
              <w:right w:val="nil"/>
            </w:tcBorders>
            <w:shd w:val="clear" w:color="auto" w:fill="auto"/>
            <w:noWrap/>
            <w:vAlign w:val="bottom"/>
            <w:hideMark/>
          </w:tcPr>
          <w:p w14:paraId="107CE78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9,215 </w:t>
            </w:r>
          </w:p>
        </w:tc>
        <w:tc>
          <w:tcPr>
            <w:tcW w:w="200" w:type="dxa"/>
            <w:tcBorders>
              <w:top w:val="nil"/>
              <w:left w:val="nil"/>
              <w:bottom w:val="nil"/>
              <w:right w:val="nil"/>
            </w:tcBorders>
            <w:shd w:val="clear" w:color="auto" w:fill="auto"/>
            <w:noWrap/>
            <w:vAlign w:val="bottom"/>
            <w:hideMark/>
          </w:tcPr>
          <w:p w14:paraId="22CADA4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B2453B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6,441 </w:t>
            </w:r>
          </w:p>
        </w:tc>
      </w:tr>
      <w:tr w:rsidR="004A31B2" w:rsidRPr="004A31B2" w14:paraId="4BD0D19F" w14:textId="77777777" w:rsidTr="004A31B2">
        <w:trPr>
          <w:trHeight w:val="300"/>
        </w:trPr>
        <w:tc>
          <w:tcPr>
            <w:tcW w:w="5180" w:type="dxa"/>
            <w:tcBorders>
              <w:top w:val="nil"/>
              <w:left w:val="nil"/>
              <w:bottom w:val="nil"/>
              <w:right w:val="nil"/>
            </w:tcBorders>
            <w:shd w:val="clear" w:color="auto" w:fill="auto"/>
            <w:noWrap/>
            <w:vAlign w:val="bottom"/>
            <w:hideMark/>
          </w:tcPr>
          <w:p w14:paraId="23AD853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Deferred income taxes</w:t>
            </w:r>
          </w:p>
        </w:tc>
        <w:tc>
          <w:tcPr>
            <w:tcW w:w="1500" w:type="dxa"/>
            <w:tcBorders>
              <w:top w:val="nil"/>
              <w:left w:val="nil"/>
              <w:bottom w:val="nil"/>
              <w:right w:val="nil"/>
            </w:tcBorders>
            <w:shd w:val="clear" w:color="auto" w:fill="auto"/>
            <w:noWrap/>
            <w:vAlign w:val="bottom"/>
            <w:hideMark/>
          </w:tcPr>
          <w:p w14:paraId="52DCD0F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465 </w:t>
            </w:r>
          </w:p>
        </w:tc>
        <w:tc>
          <w:tcPr>
            <w:tcW w:w="200" w:type="dxa"/>
            <w:tcBorders>
              <w:top w:val="nil"/>
              <w:left w:val="nil"/>
              <w:bottom w:val="nil"/>
              <w:right w:val="nil"/>
            </w:tcBorders>
            <w:shd w:val="clear" w:color="auto" w:fill="auto"/>
            <w:noWrap/>
            <w:vAlign w:val="bottom"/>
            <w:hideMark/>
          </w:tcPr>
          <w:p w14:paraId="7C499E3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2F46D7C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1,476 </w:t>
            </w:r>
          </w:p>
        </w:tc>
      </w:tr>
      <w:tr w:rsidR="004A31B2" w:rsidRPr="004A31B2" w14:paraId="72E9DE74" w14:textId="77777777" w:rsidTr="004A31B2">
        <w:trPr>
          <w:trHeight w:val="336"/>
        </w:trPr>
        <w:tc>
          <w:tcPr>
            <w:tcW w:w="5180" w:type="dxa"/>
            <w:tcBorders>
              <w:top w:val="nil"/>
              <w:left w:val="nil"/>
              <w:bottom w:val="single" w:sz="4" w:space="0" w:color="auto"/>
              <w:right w:val="nil"/>
            </w:tcBorders>
            <w:shd w:val="clear" w:color="auto" w:fill="auto"/>
            <w:noWrap/>
            <w:vAlign w:val="bottom"/>
            <w:hideMark/>
          </w:tcPr>
          <w:p w14:paraId="2506A2E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Other long-term liabilities</w:t>
            </w:r>
          </w:p>
        </w:tc>
        <w:tc>
          <w:tcPr>
            <w:tcW w:w="1500" w:type="dxa"/>
            <w:tcBorders>
              <w:top w:val="nil"/>
              <w:left w:val="nil"/>
              <w:bottom w:val="single" w:sz="4" w:space="0" w:color="auto"/>
              <w:right w:val="nil"/>
            </w:tcBorders>
            <w:shd w:val="clear" w:color="auto" w:fill="auto"/>
            <w:noWrap/>
            <w:vAlign w:val="bottom"/>
            <w:hideMark/>
          </w:tcPr>
          <w:p w14:paraId="0AA4E94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17,381 </w:t>
            </w:r>
          </w:p>
        </w:tc>
        <w:tc>
          <w:tcPr>
            <w:tcW w:w="200" w:type="dxa"/>
            <w:tcBorders>
              <w:top w:val="nil"/>
              <w:left w:val="nil"/>
              <w:bottom w:val="nil"/>
              <w:right w:val="nil"/>
            </w:tcBorders>
            <w:shd w:val="clear" w:color="auto" w:fill="auto"/>
            <w:noWrap/>
            <w:vAlign w:val="bottom"/>
            <w:hideMark/>
          </w:tcPr>
          <w:p w14:paraId="73958BA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4B1B571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13,640 </w:t>
            </w:r>
          </w:p>
        </w:tc>
      </w:tr>
      <w:tr w:rsidR="004A31B2" w:rsidRPr="004A31B2" w14:paraId="6B938DC5" w14:textId="77777777" w:rsidTr="004A31B2">
        <w:trPr>
          <w:trHeight w:val="300"/>
        </w:trPr>
        <w:tc>
          <w:tcPr>
            <w:tcW w:w="5180" w:type="dxa"/>
            <w:tcBorders>
              <w:top w:val="nil"/>
              <w:left w:val="nil"/>
              <w:bottom w:val="single" w:sz="4" w:space="0" w:color="auto"/>
              <w:right w:val="nil"/>
            </w:tcBorders>
            <w:shd w:val="clear" w:color="auto" w:fill="auto"/>
            <w:noWrap/>
            <w:vAlign w:val="bottom"/>
            <w:hideMark/>
          </w:tcPr>
          <w:p w14:paraId="1108101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liabilities</w:t>
            </w:r>
          </w:p>
        </w:tc>
        <w:tc>
          <w:tcPr>
            <w:tcW w:w="1500" w:type="dxa"/>
            <w:tcBorders>
              <w:top w:val="nil"/>
              <w:left w:val="nil"/>
              <w:bottom w:val="single" w:sz="4" w:space="0" w:color="auto"/>
              <w:right w:val="nil"/>
            </w:tcBorders>
            <w:shd w:val="clear" w:color="auto" w:fill="auto"/>
            <w:noWrap/>
            <w:vAlign w:val="bottom"/>
            <w:hideMark/>
          </w:tcPr>
          <w:p w14:paraId="7D5CFC7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155,288 </w:t>
            </w:r>
          </w:p>
        </w:tc>
        <w:tc>
          <w:tcPr>
            <w:tcW w:w="200" w:type="dxa"/>
            <w:tcBorders>
              <w:top w:val="nil"/>
              <w:left w:val="nil"/>
              <w:bottom w:val="nil"/>
              <w:right w:val="nil"/>
            </w:tcBorders>
            <w:shd w:val="clear" w:color="auto" w:fill="auto"/>
            <w:noWrap/>
            <w:vAlign w:val="bottom"/>
            <w:hideMark/>
          </w:tcPr>
          <w:p w14:paraId="734E6C7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2A33E2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121,471 </w:t>
            </w:r>
          </w:p>
        </w:tc>
      </w:tr>
      <w:tr w:rsidR="004A31B2" w:rsidRPr="004A31B2" w14:paraId="5D181BD4" w14:textId="77777777" w:rsidTr="004A31B2">
        <w:trPr>
          <w:trHeight w:val="300"/>
        </w:trPr>
        <w:tc>
          <w:tcPr>
            <w:tcW w:w="5180" w:type="dxa"/>
            <w:tcBorders>
              <w:top w:val="nil"/>
              <w:left w:val="nil"/>
              <w:bottom w:val="nil"/>
              <w:right w:val="nil"/>
            </w:tcBorders>
            <w:shd w:val="clear" w:color="auto" w:fill="auto"/>
            <w:noWrap/>
            <w:vAlign w:val="bottom"/>
            <w:hideMark/>
          </w:tcPr>
          <w:p w14:paraId="16B29C3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Commitments and contingencies</w:t>
            </w:r>
          </w:p>
        </w:tc>
        <w:tc>
          <w:tcPr>
            <w:tcW w:w="1500" w:type="dxa"/>
            <w:tcBorders>
              <w:top w:val="nil"/>
              <w:left w:val="nil"/>
              <w:bottom w:val="nil"/>
              <w:right w:val="nil"/>
            </w:tcBorders>
            <w:shd w:val="clear" w:color="auto" w:fill="auto"/>
            <w:noWrap/>
            <w:vAlign w:val="bottom"/>
            <w:hideMark/>
          </w:tcPr>
          <w:p w14:paraId="5D203902"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3837D6B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13443C1"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27854373" w14:textId="77777777" w:rsidTr="004A31B2">
        <w:trPr>
          <w:trHeight w:val="300"/>
        </w:trPr>
        <w:tc>
          <w:tcPr>
            <w:tcW w:w="5180" w:type="dxa"/>
            <w:tcBorders>
              <w:top w:val="nil"/>
              <w:left w:val="nil"/>
              <w:bottom w:val="nil"/>
              <w:right w:val="nil"/>
            </w:tcBorders>
            <w:shd w:val="clear" w:color="auto" w:fill="auto"/>
            <w:noWrap/>
            <w:vAlign w:val="bottom"/>
            <w:hideMark/>
          </w:tcPr>
          <w:p w14:paraId="00F0704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Stockholders' equity:</w:t>
            </w:r>
          </w:p>
        </w:tc>
        <w:tc>
          <w:tcPr>
            <w:tcW w:w="1500" w:type="dxa"/>
            <w:tcBorders>
              <w:top w:val="nil"/>
              <w:left w:val="nil"/>
              <w:bottom w:val="nil"/>
              <w:right w:val="nil"/>
            </w:tcBorders>
            <w:shd w:val="clear" w:color="auto" w:fill="auto"/>
            <w:noWrap/>
            <w:vAlign w:val="bottom"/>
            <w:hideMark/>
          </w:tcPr>
          <w:p w14:paraId="230F3818"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19E7B954"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9BD8ADE"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10223338" w14:textId="77777777" w:rsidTr="004A31B2">
        <w:trPr>
          <w:trHeight w:val="645"/>
        </w:trPr>
        <w:tc>
          <w:tcPr>
            <w:tcW w:w="5180" w:type="dxa"/>
            <w:tcBorders>
              <w:top w:val="nil"/>
              <w:left w:val="nil"/>
              <w:bottom w:val="nil"/>
              <w:right w:val="nil"/>
            </w:tcBorders>
            <w:shd w:val="clear" w:color="auto" w:fill="auto"/>
            <w:vAlign w:val="bottom"/>
            <w:hideMark/>
          </w:tcPr>
          <w:p w14:paraId="3E79580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Common stock and paid-in capital - shares</w:t>
            </w:r>
            <w:r w:rsidRPr="004A31B2">
              <w:rPr>
                <w:rFonts w:ascii="Segoe UI" w:eastAsia="Times New Roman" w:hAnsi="Segoe UI" w:cs="Segoe UI"/>
                <w:color w:val="666666"/>
                <w:sz w:val="20"/>
                <w:szCs w:val="20"/>
              </w:rPr>
              <w:br/>
              <w:t xml:space="preserve">      authorized 24,000; outstanding </w:t>
            </w:r>
            <w:r w:rsidRPr="004A31B2">
              <w:rPr>
                <w:rFonts w:ascii="Segoe UI" w:eastAsia="Times New Roman" w:hAnsi="Segoe UI" w:cs="Segoe UI"/>
                <w:b/>
                <w:bCs/>
                <w:color w:val="666666"/>
                <w:sz w:val="20"/>
                <w:szCs w:val="20"/>
              </w:rPr>
              <w:t>7,723</w:t>
            </w:r>
            <w:r w:rsidRPr="004A31B2">
              <w:rPr>
                <w:rFonts w:ascii="Segoe UI" w:eastAsia="Times New Roman" w:hAnsi="Segoe UI" w:cs="Segoe UI"/>
                <w:color w:val="666666"/>
                <w:sz w:val="20"/>
                <w:szCs w:val="20"/>
              </w:rPr>
              <w:t xml:space="preserve"> and 7,808</w:t>
            </w:r>
          </w:p>
        </w:tc>
        <w:tc>
          <w:tcPr>
            <w:tcW w:w="1500" w:type="dxa"/>
            <w:tcBorders>
              <w:top w:val="nil"/>
              <w:left w:val="nil"/>
              <w:bottom w:val="nil"/>
              <w:right w:val="nil"/>
            </w:tcBorders>
            <w:shd w:val="clear" w:color="auto" w:fill="auto"/>
            <w:noWrap/>
            <w:vAlign w:val="bottom"/>
            <w:hideMark/>
          </w:tcPr>
          <w:p w14:paraId="50323EA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68,554 </w:t>
            </w:r>
          </w:p>
        </w:tc>
        <w:tc>
          <w:tcPr>
            <w:tcW w:w="200" w:type="dxa"/>
            <w:tcBorders>
              <w:top w:val="nil"/>
              <w:left w:val="nil"/>
              <w:bottom w:val="nil"/>
              <w:right w:val="nil"/>
            </w:tcBorders>
            <w:shd w:val="clear" w:color="auto" w:fill="auto"/>
            <w:noWrap/>
            <w:vAlign w:val="bottom"/>
            <w:hideMark/>
          </w:tcPr>
          <w:p w14:paraId="3299BAF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4EA7A2E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68,178 </w:t>
            </w:r>
          </w:p>
        </w:tc>
      </w:tr>
      <w:tr w:rsidR="004A31B2" w:rsidRPr="004A31B2" w14:paraId="12138717" w14:textId="77777777" w:rsidTr="004A31B2">
        <w:trPr>
          <w:trHeight w:val="300"/>
        </w:trPr>
        <w:tc>
          <w:tcPr>
            <w:tcW w:w="5180" w:type="dxa"/>
            <w:tcBorders>
              <w:top w:val="nil"/>
              <w:left w:val="nil"/>
              <w:bottom w:val="nil"/>
              <w:right w:val="nil"/>
            </w:tcBorders>
            <w:shd w:val="clear" w:color="auto" w:fill="auto"/>
            <w:vAlign w:val="bottom"/>
            <w:hideMark/>
          </w:tcPr>
          <w:p w14:paraId="0B13AC0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Retained earnings</w:t>
            </w:r>
          </w:p>
        </w:tc>
        <w:tc>
          <w:tcPr>
            <w:tcW w:w="1500" w:type="dxa"/>
            <w:tcBorders>
              <w:top w:val="nil"/>
              <w:left w:val="nil"/>
              <w:bottom w:val="nil"/>
              <w:right w:val="nil"/>
            </w:tcBorders>
            <w:shd w:val="clear" w:color="auto" w:fill="auto"/>
            <w:noWrap/>
            <w:vAlign w:val="bottom"/>
            <w:hideMark/>
          </w:tcPr>
          <w:p w14:paraId="0CBA993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531 </w:t>
            </w:r>
          </w:p>
        </w:tc>
        <w:tc>
          <w:tcPr>
            <w:tcW w:w="200" w:type="dxa"/>
            <w:tcBorders>
              <w:top w:val="nil"/>
              <w:left w:val="nil"/>
              <w:bottom w:val="nil"/>
              <w:right w:val="nil"/>
            </w:tcBorders>
            <w:shd w:val="clear" w:color="auto" w:fill="auto"/>
            <w:noWrap/>
            <w:vAlign w:val="bottom"/>
            <w:hideMark/>
          </w:tcPr>
          <w:p w14:paraId="6D94168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6530896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2,282 </w:t>
            </w:r>
          </w:p>
        </w:tc>
      </w:tr>
      <w:tr w:rsidR="004A31B2" w:rsidRPr="004A31B2" w14:paraId="16A224F7" w14:textId="77777777" w:rsidTr="004A31B2">
        <w:trPr>
          <w:trHeight w:val="300"/>
        </w:trPr>
        <w:tc>
          <w:tcPr>
            <w:tcW w:w="5180" w:type="dxa"/>
            <w:tcBorders>
              <w:top w:val="nil"/>
              <w:left w:val="nil"/>
              <w:bottom w:val="single" w:sz="4" w:space="0" w:color="auto"/>
              <w:right w:val="nil"/>
            </w:tcBorders>
            <w:shd w:val="clear" w:color="auto" w:fill="auto"/>
            <w:noWrap/>
            <w:vAlign w:val="bottom"/>
            <w:hideMark/>
          </w:tcPr>
          <w:p w14:paraId="123234F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Accumulated other comprehensive income</w:t>
            </w:r>
          </w:p>
        </w:tc>
        <w:tc>
          <w:tcPr>
            <w:tcW w:w="1500" w:type="dxa"/>
            <w:tcBorders>
              <w:top w:val="nil"/>
              <w:left w:val="nil"/>
              <w:bottom w:val="single" w:sz="4" w:space="0" w:color="auto"/>
              <w:right w:val="nil"/>
            </w:tcBorders>
            <w:shd w:val="clear" w:color="auto" w:fill="auto"/>
            <w:noWrap/>
            <w:vAlign w:val="bottom"/>
            <w:hideMark/>
          </w:tcPr>
          <w:p w14:paraId="2B2645F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644 </w:t>
            </w:r>
          </w:p>
        </w:tc>
        <w:tc>
          <w:tcPr>
            <w:tcW w:w="200" w:type="dxa"/>
            <w:tcBorders>
              <w:top w:val="nil"/>
              <w:left w:val="nil"/>
              <w:bottom w:val="nil"/>
              <w:right w:val="nil"/>
            </w:tcBorders>
            <w:shd w:val="clear" w:color="auto" w:fill="auto"/>
            <w:noWrap/>
            <w:vAlign w:val="bottom"/>
            <w:hideMark/>
          </w:tcPr>
          <w:p w14:paraId="7655E51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nil"/>
              <w:right w:val="nil"/>
            </w:tcBorders>
            <w:shd w:val="clear" w:color="auto" w:fill="auto"/>
            <w:noWrap/>
            <w:vAlign w:val="bottom"/>
            <w:hideMark/>
          </w:tcPr>
          <w:p w14:paraId="5842D2E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1,537 </w:t>
            </w:r>
          </w:p>
        </w:tc>
      </w:tr>
      <w:tr w:rsidR="004A31B2" w:rsidRPr="004A31B2" w14:paraId="0024D5BD" w14:textId="77777777" w:rsidTr="004A31B2">
        <w:trPr>
          <w:trHeight w:val="336"/>
        </w:trPr>
        <w:tc>
          <w:tcPr>
            <w:tcW w:w="5180" w:type="dxa"/>
            <w:tcBorders>
              <w:top w:val="nil"/>
              <w:left w:val="nil"/>
              <w:bottom w:val="single" w:sz="4" w:space="0" w:color="auto"/>
              <w:right w:val="nil"/>
            </w:tcBorders>
            <w:shd w:val="clear" w:color="auto" w:fill="auto"/>
            <w:noWrap/>
            <w:vAlign w:val="bottom"/>
            <w:hideMark/>
          </w:tcPr>
          <w:p w14:paraId="6570D5E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stockholders' equity</w:t>
            </w:r>
          </w:p>
        </w:tc>
        <w:tc>
          <w:tcPr>
            <w:tcW w:w="1500" w:type="dxa"/>
            <w:tcBorders>
              <w:top w:val="nil"/>
              <w:left w:val="nil"/>
              <w:bottom w:val="single" w:sz="4" w:space="0" w:color="auto"/>
              <w:right w:val="nil"/>
            </w:tcBorders>
            <w:shd w:val="clear" w:color="auto" w:fill="auto"/>
            <w:noWrap/>
            <w:vAlign w:val="bottom"/>
            <w:hideMark/>
          </w:tcPr>
          <w:p w14:paraId="34CB8F6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69,729 </w:t>
            </w:r>
          </w:p>
        </w:tc>
        <w:tc>
          <w:tcPr>
            <w:tcW w:w="200" w:type="dxa"/>
            <w:tcBorders>
              <w:top w:val="nil"/>
              <w:left w:val="nil"/>
              <w:bottom w:val="nil"/>
              <w:right w:val="nil"/>
            </w:tcBorders>
            <w:shd w:val="clear" w:color="auto" w:fill="auto"/>
            <w:noWrap/>
            <w:vAlign w:val="bottom"/>
            <w:hideMark/>
          </w:tcPr>
          <w:p w14:paraId="004A60D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single" w:sz="4" w:space="0" w:color="auto"/>
              <w:left w:val="nil"/>
              <w:bottom w:val="single" w:sz="4" w:space="0" w:color="auto"/>
              <w:right w:val="nil"/>
            </w:tcBorders>
            <w:shd w:val="clear" w:color="auto" w:fill="auto"/>
            <w:noWrap/>
            <w:vAlign w:val="bottom"/>
            <w:hideMark/>
          </w:tcPr>
          <w:p w14:paraId="407268A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71,997 </w:t>
            </w:r>
          </w:p>
        </w:tc>
      </w:tr>
      <w:tr w:rsidR="004A31B2" w:rsidRPr="004A31B2" w14:paraId="54182F64" w14:textId="77777777" w:rsidTr="004A31B2">
        <w:trPr>
          <w:trHeight w:val="348"/>
        </w:trPr>
        <w:tc>
          <w:tcPr>
            <w:tcW w:w="5180" w:type="dxa"/>
            <w:tcBorders>
              <w:top w:val="nil"/>
              <w:left w:val="nil"/>
              <w:bottom w:val="nil"/>
              <w:right w:val="nil"/>
            </w:tcBorders>
            <w:shd w:val="clear" w:color="auto" w:fill="auto"/>
            <w:noWrap/>
            <w:vAlign w:val="bottom"/>
            <w:hideMark/>
          </w:tcPr>
          <w:p w14:paraId="20286F1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liabilities and stockholders' equity</w:t>
            </w:r>
          </w:p>
        </w:tc>
        <w:tc>
          <w:tcPr>
            <w:tcW w:w="1500" w:type="dxa"/>
            <w:tcBorders>
              <w:top w:val="nil"/>
              <w:left w:val="nil"/>
              <w:bottom w:val="single" w:sz="8" w:space="0" w:color="auto"/>
              <w:right w:val="nil"/>
            </w:tcBorders>
            <w:shd w:val="clear" w:color="auto" w:fill="auto"/>
            <w:noWrap/>
            <w:vAlign w:val="bottom"/>
            <w:hideMark/>
          </w:tcPr>
          <w:p w14:paraId="4A3A2DA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$225,017 </w:t>
            </w:r>
          </w:p>
        </w:tc>
        <w:tc>
          <w:tcPr>
            <w:tcW w:w="200" w:type="dxa"/>
            <w:tcBorders>
              <w:top w:val="nil"/>
              <w:left w:val="nil"/>
              <w:bottom w:val="nil"/>
              <w:right w:val="nil"/>
            </w:tcBorders>
            <w:shd w:val="clear" w:color="auto" w:fill="auto"/>
            <w:noWrap/>
            <w:vAlign w:val="bottom"/>
            <w:hideMark/>
          </w:tcPr>
          <w:p w14:paraId="34F7452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0D24B3F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$193,468 </w:t>
            </w:r>
          </w:p>
        </w:tc>
      </w:tr>
    </w:tbl>
    <w:p w14:paraId="034AD24D" w14:textId="02C4382B" w:rsidR="004A31B2" w:rsidRDefault="004A31B2" w:rsidP="00314DAE">
      <w:pPr>
        <w:pStyle w:val="NoSpacing"/>
        <w:spacing w:before="240" w:after="240" w:line="276" w:lineRule="auto"/>
        <w:rPr>
          <w:rFonts w:ascii="Segoe UI" w:hAnsi="Segoe UI" w:cs="Segoe UI"/>
          <w:color w:val="666666"/>
          <w:sz w:val="20"/>
          <w:szCs w:val="20"/>
        </w:rPr>
      </w:pPr>
    </w:p>
    <w:p w14:paraId="3CAB6DAA" w14:textId="77777777" w:rsidR="004A31B2" w:rsidRDefault="004A31B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066" w:type="dxa"/>
        <w:tblLook w:val="04A0" w:firstRow="1" w:lastRow="0" w:firstColumn="1" w:lastColumn="0" w:noHBand="0" w:noVBand="1"/>
      </w:tblPr>
      <w:tblGrid>
        <w:gridCol w:w="3560"/>
        <w:gridCol w:w="1100"/>
        <w:gridCol w:w="272"/>
        <w:gridCol w:w="960"/>
        <w:gridCol w:w="272"/>
        <w:gridCol w:w="1200"/>
        <w:gridCol w:w="272"/>
        <w:gridCol w:w="960"/>
      </w:tblGrid>
      <w:tr w:rsidR="004A31B2" w:rsidRPr="004A31B2" w14:paraId="0DEBDA46" w14:textId="77777777" w:rsidTr="004A31B2">
        <w:trPr>
          <w:trHeight w:val="300"/>
        </w:trPr>
        <w:tc>
          <w:tcPr>
            <w:tcW w:w="3560" w:type="dxa"/>
            <w:tcBorders>
              <w:top w:val="nil"/>
              <w:left w:val="nil"/>
              <w:bottom w:val="nil"/>
              <w:right w:val="nil"/>
            </w:tcBorders>
            <w:shd w:val="clear" w:color="auto" w:fill="auto"/>
            <w:noWrap/>
            <w:vAlign w:val="bottom"/>
            <w:hideMark/>
          </w:tcPr>
          <w:p w14:paraId="63AE6426"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MICROSOFT CORPORATION</w:t>
            </w:r>
          </w:p>
        </w:tc>
        <w:tc>
          <w:tcPr>
            <w:tcW w:w="1100" w:type="dxa"/>
            <w:tcBorders>
              <w:top w:val="nil"/>
              <w:left w:val="nil"/>
              <w:bottom w:val="nil"/>
              <w:right w:val="nil"/>
            </w:tcBorders>
            <w:shd w:val="clear" w:color="auto" w:fill="auto"/>
            <w:noWrap/>
            <w:vAlign w:val="bottom"/>
            <w:hideMark/>
          </w:tcPr>
          <w:p w14:paraId="3444F872"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54FC03CE"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32AE03B"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EE934E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3A0BE8B"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58BAAEF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0CD6223B"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0C0F0704" w14:textId="77777777" w:rsidTr="004A31B2">
        <w:trPr>
          <w:trHeight w:val="300"/>
        </w:trPr>
        <w:tc>
          <w:tcPr>
            <w:tcW w:w="3560" w:type="dxa"/>
            <w:tcBorders>
              <w:top w:val="nil"/>
              <w:left w:val="nil"/>
              <w:bottom w:val="nil"/>
              <w:right w:val="nil"/>
            </w:tcBorders>
            <w:shd w:val="clear" w:color="auto" w:fill="auto"/>
            <w:noWrap/>
            <w:vAlign w:val="bottom"/>
            <w:hideMark/>
          </w:tcPr>
          <w:p w14:paraId="2C2162A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100" w:type="dxa"/>
            <w:tcBorders>
              <w:top w:val="nil"/>
              <w:left w:val="nil"/>
              <w:bottom w:val="nil"/>
              <w:right w:val="nil"/>
            </w:tcBorders>
            <w:shd w:val="clear" w:color="auto" w:fill="auto"/>
            <w:noWrap/>
            <w:vAlign w:val="bottom"/>
            <w:hideMark/>
          </w:tcPr>
          <w:p w14:paraId="17D39058"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A553F5C"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36C7986"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37EE00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5641D12"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6CBBF07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0103DBAC"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31A37E5E" w14:textId="77777777" w:rsidTr="004A31B2">
        <w:trPr>
          <w:trHeight w:val="300"/>
        </w:trPr>
        <w:tc>
          <w:tcPr>
            <w:tcW w:w="8066" w:type="dxa"/>
            <w:gridSpan w:val="8"/>
            <w:tcBorders>
              <w:top w:val="nil"/>
              <w:left w:val="nil"/>
              <w:bottom w:val="nil"/>
              <w:right w:val="nil"/>
            </w:tcBorders>
            <w:shd w:val="clear" w:color="auto" w:fill="auto"/>
            <w:noWrap/>
            <w:vAlign w:val="bottom"/>
            <w:hideMark/>
          </w:tcPr>
          <w:p w14:paraId="378CDA67"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CASH FLOWS STATEMENTS</w:t>
            </w:r>
          </w:p>
        </w:tc>
      </w:tr>
      <w:tr w:rsidR="004A31B2" w:rsidRPr="004A31B2" w14:paraId="21D9A818" w14:textId="77777777" w:rsidTr="004A31B2">
        <w:trPr>
          <w:trHeight w:val="300"/>
        </w:trPr>
        <w:tc>
          <w:tcPr>
            <w:tcW w:w="8066" w:type="dxa"/>
            <w:gridSpan w:val="8"/>
            <w:tcBorders>
              <w:top w:val="nil"/>
              <w:left w:val="nil"/>
              <w:bottom w:val="nil"/>
              <w:right w:val="nil"/>
            </w:tcBorders>
            <w:shd w:val="clear" w:color="auto" w:fill="auto"/>
            <w:noWrap/>
            <w:vAlign w:val="bottom"/>
            <w:hideMark/>
          </w:tcPr>
          <w:p w14:paraId="6833AF51"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(In </w:t>
            </w:r>
            <w:proofErr w:type="gramStart"/>
            <w:r w:rsidRPr="004A31B2">
              <w:rPr>
                <w:rFonts w:ascii="Segoe UI" w:eastAsia="Times New Roman" w:hAnsi="Segoe UI" w:cs="Segoe UI"/>
                <w:color w:val="666666"/>
                <w:sz w:val="20"/>
                <w:szCs w:val="20"/>
              </w:rPr>
              <w:t>millions)(</w:t>
            </w:r>
            <w:proofErr w:type="gramEnd"/>
            <w:r w:rsidRPr="004A31B2">
              <w:rPr>
                <w:rFonts w:ascii="Segoe UI" w:eastAsia="Times New Roman" w:hAnsi="Segoe UI" w:cs="Segoe UI"/>
                <w:color w:val="666666"/>
                <w:sz w:val="20"/>
                <w:szCs w:val="20"/>
              </w:rPr>
              <w:t>Unaudited)</w:t>
            </w:r>
          </w:p>
        </w:tc>
      </w:tr>
      <w:tr w:rsidR="004A31B2" w:rsidRPr="004A31B2" w14:paraId="08C2AAE0" w14:textId="77777777" w:rsidTr="004A31B2">
        <w:trPr>
          <w:trHeight w:val="300"/>
        </w:trPr>
        <w:tc>
          <w:tcPr>
            <w:tcW w:w="3560" w:type="dxa"/>
            <w:tcBorders>
              <w:top w:val="nil"/>
              <w:left w:val="nil"/>
              <w:bottom w:val="nil"/>
              <w:right w:val="nil"/>
            </w:tcBorders>
            <w:shd w:val="clear" w:color="auto" w:fill="auto"/>
            <w:noWrap/>
            <w:vAlign w:val="bottom"/>
            <w:hideMark/>
          </w:tcPr>
          <w:p w14:paraId="36126940"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p>
        </w:tc>
        <w:tc>
          <w:tcPr>
            <w:tcW w:w="1100" w:type="dxa"/>
            <w:tcBorders>
              <w:top w:val="nil"/>
              <w:left w:val="nil"/>
              <w:bottom w:val="nil"/>
              <w:right w:val="nil"/>
            </w:tcBorders>
            <w:shd w:val="clear" w:color="auto" w:fill="auto"/>
            <w:noWrap/>
            <w:vAlign w:val="bottom"/>
            <w:hideMark/>
          </w:tcPr>
          <w:p w14:paraId="7B5C8F7E"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8F9CD69"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1249F9B5"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AFD4FF3"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2F0E3C9"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0E5F6CF1"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DE301A2" w14:textId="77777777" w:rsidR="004A31B2" w:rsidRPr="004A31B2" w:rsidRDefault="004A31B2" w:rsidP="004A31B2">
            <w:pPr>
              <w:spacing w:after="0" w:line="240" w:lineRule="auto"/>
              <w:jc w:val="center"/>
              <w:rPr>
                <w:rFonts w:ascii="Times New Roman" w:eastAsia="Times New Roman" w:hAnsi="Times New Roman"/>
                <w:sz w:val="20"/>
                <w:szCs w:val="20"/>
              </w:rPr>
            </w:pPr>
          </w:p>
        </w:tc>
      </w:tr>
      <w:tr w:rsidR="004A31B2" w:rsidRPr="004A31B2" w14:paraId="43279531" w14:textId="77777777" w:rsidTr="004A31B2">
        <w:trPr>
          <w:trHeight w:val="300"/>
        </w:trPr>
        <w:tc>
          <w:tcPr>
            <w:tcW w:w="3560" w:type="dxa"/>
            <w:tcBorders>
              <w:top w:val="nil"/>
              <w:left w:val="nil"/>
              <w:bottom w:val="nil"/>
              <w:right w:val="nil"/>
            </w:tcBorders>
            <w:shd w:val="clear" w:color="auto" w:fill="auto"/>
            <w:noWrap/>
            <w:vAlign w:val="bottom"/>
            <w:hideMark/>
          </w:tcPr>
          <w:p w14:paraId="2F221324"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2160" w:type="dxa"/>
            <w:gridSpan w:val="3"/>
            <w:vMerge w:val="restart"/>
            <w:tcBorders>
              <w:top w:val="nil"/>
              <w:left w:val="nil"/>
              <w:bottom w:val="nil"/>
              <w:right w:val="nil"/>
            </w:tcBorders>
            <w:shd w:val="clear" w:color="auto" w:fill="auto"/>
            <w:vAlign w:val="bottom"/>
            <w:hideMark/>
          </w:tcPr>
          <w:p w14:paraId="494515A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noWrap/>
            <w:vAlign w:val="bottom"/>
            <w:hideMark/>
          </w:tcPr>
          <w:p w14:paraId="7A5CB61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260" w:type="dxa"/>
            <w:gridSpan w:val="3"/>
            <w:vMerge w:val="restart"/>
            <w:tcBorders>
              <w:top w:val="nil"/>
              <w:left w:val="nil"/>
              <w:bottom w:val="nil"/>
              <w:right w:val="nil"/>
            </w:tcBorders>
            <w:shd w:val="clear" w:color="auto" w:fill="auto"/>
            <w:vAlign w:val="bottom"/>
            <w:hideMark/>
          </w:tcPr>
          <w:p w14:paraId="51C30F1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Nine Months Ended March 31,</w:t>
            </w:r>
          </w:p>
        </w:tc>
      </w:tr>
      <w:tr w:rsidR="004A31B2" w:rsidRPr="004A31B2" w14:paraId="577A1B16" w14:textId="77777777" w:rsidTr="004A31B2">
        <w:trPr>
          <w:trHeight w:val="300"/>
        </w:trPr>
        <w:tc>
          <w:tcPr>
            <w:tcW w:w="3560" w:type="dxa"/>
            <w:tcBorders>
              <w:top w:val="nil"/>
              <w:left w:val="nil"/>
              <w:bottom w:val="nil"/>
              <w:right w:val="nil"/>
            </w:tcBorders>
            <w:shd w:val="clear" w:color="auto" w:fill="auto"/>
            <w:noWrap/>
            <w:vAlign w:val="bottom"/>
            <w:hideMark/>
          </w:tcPr>
          <w:p w14:paraId="6093417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2160" w:type="dxa"/>
            <w:gridSpan w:val="3"/>
            <w:vMerge/>
            <w:tcBorders>
              <w:top w:val="nil"/>
              <w:left w:val="nil"/>
              <w:bottom w:val="nil"/>
              <w:right w:val="nil"/>
            </w:tcBorders>
            <w:vAlign w:val="center"/>
            <w:hideMark/>
          </w:tcPr>
          <w:p w14:paraId="0C43ECDE"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24E2CAAE" w14:textId="77777777" w:rsidR="004A31B2" w:rsidRPr="004A31B2" w:rsidRDefault="004A31B2" w:rsidP="004A31B2">
            <w:pPr>
              <w:spacing w:after="0" w:line="240" w:lineRule="auto"/>
              <w:rPr>
                <w:rFonts w:ascii="Times New Roman" w:eastAsia="Times New Roman" w:hAnsi="Times New Roman"/>
                <w:sz w:val="20"/>
                <w:szCs w:val="20"/>
              </w:rPr>
            </w:pPr>
          </w:p>
        </w:tc>
        <w:tc>
          <w:tcPr>
            <w:tcW w:w="2260" w:type="dxa"/>
            <w:gridSpan w:val="3"/>
            <w:vMerge/>
            <w:tcBorders>
              <w:top w:val="nil"/>
              <w:left w:val="nil"/>
              <w:bottom w:val="nil"/>
              <w:right w:val="nil"/>
            </w:tcBorders>
            <w:vAlign w:val="center"/>
            <w:hideMark/>
          </w:tcPr>
          <w:p w14:paraId="2B863A5F"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r>
      <w:tr w:rsidR="004A31B2" w:rsidRPr="004A31B2" w14:paraId="7DC154BF" w14:textId="77777777" w:rsidTr="004A31B2">
        <w:trPr>
          <w:trHeight w:val="300"/>
        </w:trPr>
        <w:tc>
          <w:tcPr>
            <w:tcW w:w="3560" w:type="dxa"/>
            <w:tcBorders>
              <w:top w:val="nil"/>
              <w:left w:val="nil"/>
              <w:bottom w:val="single" w:sz="4" w:space="0" w:color="auto"/>
              <w:right w:val="nil"/>
            </w:tcBorders>
            <w:shd w:val="clear" w:color="auto" w:fill="auto"/>
            <w:noWrap/>
            <w:vAlign w:val="bottom"/>
            <w:hideMark/>
          </w:tcPr>
          <w:p w14:paraId="026E0D43"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single" w:sz="4" w:space="0" w:color="auto"/>
              <w:right w:val="nil"/>
            </w:tcBorders>
            <w:shd w:val="clear" w:color="auto" w:fill="auto"/>
            <w:noWrap/>
            <w:vAlign w:val="bottom"/>
            <w:hideMark/>
          </w:tcPr>
          <w:p w14:paraId="52FF76E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2D80E17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4456A4D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c>
          <w:tcPr>
            <w:tcW w:w="86" w:type="dxa"/>
            <w:tcBorders>
              <w:top w:val="nil"/>
              <w:left w:val="nil"/>
              <w:bottom w:val="single" w:sz="4" w:space="0" w:color="auto"/>
              <w:right w:val="nil"/>
            </w:tcBorders>
            <w:shd w:val="clear" w:color="auto" w:fill="auto"/>
            <w:noWrap/>
            <w:vAlign w:val="bottom"/>
            <w:hideMark/>
          </w:tcPr>
          <w:p w14:paraId="4AFF9E2E" w14:textId="77777777" w:rsidR="004A31B2" w:rsidRPr="004A31B2" w:rsidRDefault="004A31B2" w:rsidP="004A31B2">
            <w:pPr>
              <w:spacing w:after="0" w:line="240" w:lineRule="auto"/>
              <w:jc w:val="center"/>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B643A2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100" w:type="dxa"/>
            <w:tcBorders>
              <w:top w:val="nil"/>
              <w:left w:val="nil"/>
              <w:bottom w:val="single" w:sz="4" w:space="0" w:color="auto"/>
              <w:right w:val="nil"/>
            </w:tcBorders>
            <w:shd w:val="clear" w:color="auto" w:fill="auto"/>
            <w:noWrap/>
            <w:vAlign w:val="bottom"/>
            <w:hideMark/>
          </w:tcPr>
          <w:p w14:paraId="5F16E1A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auto" w:fill="auto"/>
            <w:noWrap/>
            <w:vAlign w:val="bottom"/>
            <w:hideMark/>
          </w:tcPr>
          <w:p w14:paraId="0BDB791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r>
      <w:tr w:rsidR="004A31B2" w:rsidRPr="004A31B2" w14:paraId="7E12BF3F" w14:textId="77777777" w:rsidTr="004A31B2">
        <w:trPr>
          <w:trHeight w:val="300"/>
        </w:trPr>
        <w:tc>
          <w:tcPr>
            <w:tcW w:w="3560" w:type="dxa"/>
            <w:tcBorders>
              <w:top w:val="nil"/>
              <w:left w:val="nil"/>
              <w:bottom w:val="nil"/>
              <w:right w:val="nil"/>
            </w:tcBorders>
            <w:shd w:val="clear" w:color="auto" w:fill="auto"/>
            <w:noWrap/>
            <w:vAlign w:val="bottom"/>
            <w:hideMark/>
          </w:tcPr>
          <w:p w14:paraId="7CDD2B14"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Operations</w:t>
            </w:r>
          </w:p>
        </w:tc>
        <w:tc>
          <w:tcPr>
            <w:tcW w:w="1100" w:type="dxa"/>
            <w:tcBorders>
              <w:top w:val="nil"/>
              <w:left w:val="nil"/>
              <w:bottom w:val="nil"/>
              <w:right w:val="nil"/>
            </w:tcBorders>
            <w:shd w:val="clear" w:color="auto" w:fill="auto"/>
            <w:noWrap/>
            <w:vAlign w:val="bottom"/>
            <w:hideMark/>
          </w:tcPr>
          <w:p w14:paraId="4BCA9CAB"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36E9367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BDA8397"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8F6F8F7"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5BA1604" w14:textId="77777777" w:rsidR="004A31B2" w:rsidRPr="004A31B2" w:rsidRDefault="004A31B2" w:rsidP="004A31B2">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3EEB5BB7"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62A4129" w14:textId="77777777" w:rsidR="004A31B2" w:rsidRPr="004A31B2" w:rsidRDefault="004A31B2" w:rsidP="004A31B2">
            <w:pPr>
              <w:spacing w:after="0" w:line="240" w:lineRule="auto"/>
              <w:jc w:val="center"/>
              <w:rPr>
                <w:rFonts w:ascii="Times New Roman" w:eastAsia="Times New Roman" w:hAnsi="Times New Roman"/>
                <w:sz w:val="20"/>
                <w:szCs w:val="20"/>
              </w:rPr>
            </w:pPr>
          </w:p>
        </w:tc>
      </w:tr>
      <w:tr w:rsidR="004A31B2" w:rsidRPr="004A31B2" w14:paraId="08B898D2" w14:textId="77777777" w:rsidTr="004A31B2">
        <w:trPr>
          <w:trHeight w:val="300"/>
        </w:trPr>
        <w:tc>
          <w:tcPr>
            <w:tcW w:w="3560" w:type="dxa"/>
            <w:tcBorders>
              <w:top w:val="nil"/>
              <w:left w:val="nil"/>
              <w:bottom w:val="nil"/>
              <w:right w:val="nil"/>
            </w:tcBorders>
            <w:shd w:val="clear" w:color="auto" w:fill="auto"/>
            <w:noWrap/>
            <w:vAlign w:val="bottom"/>
            <w:hideMark/>
          </w:tcPr>
          <w:p w14:paraId="303FCFA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Net income</w:t>
            </w:r>
          </w:p>
        </w:tc>
        <w:tc>
          <w:tcPr>
            <w:tcW w:w="1100" w:type="dxa"/>
            <w:tcBorders>
              <w:top w:val="nil"/>
              <w:left w:val="nil"/>
              <w:bottom w:val="nil"/>
              <w:right w:val="nil"/>
            </w:tcBorders>
            <w:shd w:val="clear" w:color="auto" w:fill="auto"/>
            <w:noWrap/>
            <w:vAlign w:val="bottom"/>
            <w:hideMark/>
          </w:tcPr>
          <w:p w14:paraId="1B0EAFA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$4,801 </w:t>
            </w:r>
          </w:p>
        </w:tc>
        <w:tc>
          <w:tcPr>
            <w:tcW w:w="100" w:type="dxa"/>
            <w:tcBorders>
              <w:top w:val="nil"/>
              <w:left w:val="nil"/>
              <w:bottom w:val="nil"/>
              <w:right w:val="nil"/>
            </w:tcBorders>
            <w:shd w:val="clear" w:color="auto" w:fill="auto"/>
            <w:noWrap/>
            <w:vAlign w:val="bottom"/>
            <w:hideMark/>
          </w:tcPr>
          <w:p w14:paraId="1D75A66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57CDC1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$3,756 </w:t>
            </w:r>
          </w:p>
        </w:tc>
        <w:tc>
          <w:tcPr>
            <w:tcW w:w="86" w:type="dxa"/>
            <w:tcBorders>
              <w:top w:val="nil"/>
              <w:left w:val="nil"/>
              <w:bottom w:val="nil"/>
              <w:right w:val="nil"/>
            </w:tcBorders>
            <w:shd w:val="clear" w:color="auto" w:fill="auto"/>
            <w:noWrap/>
            <w:vAlign w:val="bottom"/>
            <w:hideMark/>
          </w:tcPr>
          <w:p w14:paraId="621413B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744C6D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$14,691 </w:t>
            </w:r>
          </w:p>
        </w:tc>
        <w:tc>
          <w:tcPr>
            <w:tcW w:w="100" w:type="dxa"/>
            <w:tcBorders>
              <w:top w:val="nil"/>
              <w:left w:val="nil"/>
              <w:bottom w:val="nil"/>
              <w:right w:val="nil"/>
            </w:tcBorders>
            <w:shd w:val="clear" w:color="auto" w:fill="auto"/>
            <w:noWrap/>
            <w:vAlign w:val="bottom"/>
            <w:hideMark/>
          </w:tcPr>
          <w:p w14:paraId="648C256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F82D1D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$13,676 </w:t>
            </w:r>
          </w:p>
        </w:tc>
      </w:tr>
      <w:tr w:rsidR="004A31B2" w:rsidRPr="004A31B2" w14:paraId="6BC3250E" w14:textId="77777777" w:rsidTr="004A31B2">
        <w:trPr>
          <w:trHeight w:val="600"/>
        </w:trPr>
        <w:tc>
          <w:tcPr>
            <w:tcW w:w="3560" w:type="dxa"/>
            <w:tcBorders>
              <w:top w:val="nil"/>
              <w:left w:val="nil"/>
              <w:bottom w:val="nil"/>
              <w:right w:val="nil"/>
            </w:tcBorders>
            <w:shd w:val="clear" w:color="auto" w:fill="auto"/>
            <w:vAlign w:val="bottom"/>
            <w:hideMark/>
          </w:tcPr>
          <w:p w14:paraId="2CCB6BD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Adjustments to reconcile net income </w:t>
            </w:r>
            <w:r w:rsidRPr="004A31B2">
              <w:rPr>
                <w:rFonts w:ascii="Segoe UI" w:eastAsia="Times New Roman" w:hAnsi="Segoe UI" w:cs="Segoe UI"/>
                <w:color w:val="666666"/>
                <w:sz w:val="20"/>
                <w:szCs w:val="20"/>
              </w:rPr>
              <w:br/>
              <w:t xml:space="preserve">   to net cash from operations:</w:t>
            </w:r>
          </w:p>
        </w:tc>
        <w:tc>
          <w:tcPr>
            <w:tcW w:w="1100" w:type="dxa"/>
            <w:tcBorders>
              <w:top w:val="nil"/>
              <w:left w:val="nil"/>
              <w:bottom w:val="nil"/>
              <w:right w:val="nil"/>
            </w:tcBorders>
            <w:shd w:val="clear" w:color="auto" w:fill="auto"/>
            <w:noWrap/>
            <w:vAlign w:val="bottom"/>
            <w:hideMark/>
          </w:tcPr>
          <w:p w14:paraId="12F599E9"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731E41F4"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AD52453"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DDF799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1477B6D"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3E56F6F0"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94C3612"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5205F264" w14:textId="77777777" w:rsidTr="004A31B2">
        <w:trPr>
          <w:trHeight w:val="600"/>
        </w:trPr>
        <w:tc>
          <w:tcPr>
            <w:tcW w:w="3560" w:type="dxa"/>
            <w:tcBorders>
              <w:top w:val="nil"/>
              <w:left w:val="nil"/>
              <w:bottom w:val="nil"/>
              <w:right w:val="nil"/>
            </w:tcBorders>
            <w:shd w:val="clear" w:color="auto" w:fill="auto"/>
            <w:vAlign w:val="bottom"/>
            <w:hideMark/>
          </w:tcPr>
          <w:p w14:paraId="38718618"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Depreciation, amortization, and</w:t>
            </w:r>
            <w:r w:rsidRPr="004A31B2">
              <w:rPr>
                <w:rFonts w:ascii="Segoe UI" w:eastAsia="Times New Roman" w:hAnsi="Segoe UI" w:cs="Segoe UI"/>
                <w:color w:val="666666"/>
                <w:sz w:val="20"/>
                <w:szCs w:val="20"/>
              </w:rPr>
              <w:br/>
              <w:t xml:space="preserve">      other</w:t>
            </w:r>
          </w:p>
        </w:tc>
        <w:tc>
          <w:tcPr>
            <w:tcW w:w="1100" w:type="dxa"/>
            <w:tcBorders>
              <w:top w:val="nil"/>
              <w:left w:val="nil"/>
              <w:bottom w:val="nil"/>
              <w:right w:val="nil"/>
            </w:tcBorders>
            <w:shd w:val="clear" w:color="auto" w:fill="auto"/>
            <w:noWrap/>
            <w:vAlign w:val="bottom"/>
            <w:hideMark/>
          </w:tcPr>
          <w:p w14:paraId="763211D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2,453 </w:t>
            </w:r>
          </w:p>
        </w:tc>
        <w:tc>
          <w:tcPr>
            <w:tcW w:w="100" w:type="dxa"/>
            <w:tcBorders>
              <w:top w:val="nil"/>
              <w:left w:val="nil"/>
              <w:bottom w:val="nil"/>
              <w:right w:val="nil"/>
            </w:tcBorders>
            <w:shd w:val="clear" w:color="auto" w:fill="auto"/>
            <w:noWrap/>
            <w:vAlign w:val="bottom"/>
            <w:hideMark/>
          </w:tcPr>
          <w:p w14:paraId="79E478F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D019DB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1,707 </w:t>
            </w:r>
          </w:p>
        </w:tc>
        <w:tc>
          <w:tcPr>
            <w:tcW w:w="86" w:type="dxa"/>
            <w:tcBorders>
              <w:top w:val="nil"/>
              <w:left w:val="nil"/>
              <w:bottom w:val="nil"/>
              <w:right w:val="nil"/>
            </w:tcBorders>
            <w:shd w:val="clear" w:color="auto" w:fill="auto"/>
            <w:noWrap/>
            <w:vAlign w:val="bottom"/>
            <w:hideMark/>
          </w:tcPr>
          <w:p w14:paraId="520CEE7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5253BC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6,435 </w:t>
            </w:r>
          </w:p>
        </w:tc>
        <w:tc>
          <w:tcPr>
            <w:tcW w:w="100" w:type="dxa"/>
            <w:tcBorders>
              <w:top w:val="nil"/>
              <w:left w:val="nil"/>
              <w:bottom w:val="nil"/>
              <w:right w:val="nil"/>
            </w:tcBorders>
            <w:shd w:val="clear" w:color="auto" w:fill="auto"/>
            <w:noWrap/>
            <w:vAlign w:val="bottom"/>
            <w:hideMark/>
          </w:tcPr>
          <w:p w14:paraId="1072EE0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42246E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4,712 </w:t>
            </w:r>
          </w:p>
        </w:tc>
      </w:tr>
      <w:tr w:rsidR="004A31B2" w:rsidRPr="004A31B2" w14:paraId="48AC43A3" w14:textId="77777777" w:rsidTr="004A31B2">
        <w:trPr>
          <w:trHeight w:val="600"/>
        </w:trPr>
        <w:tc>
          <w:tcPr>
            <w:tcW w:w="3560" w:type="dxa"/>
            <w:tcBorders>
              <w:top w:val="nil"/>
              <w:left w:val="nil"/>
              <w:bottom w:val="nil"/>
              <w:right w:val="nil"/>
            </w:tcBorders>
            <w:shd w:val="clear" w:color="auto" w:fill="auto"/>
            <w:vAlign w:val="bottom"/>
            <w:hideMark/>
          </w:tcPr>
          <w:p w14:paraId="4930B93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Stock-based compensation</w:t>
            </w:r>
            <w:r w:rsidRPr="004A31B2">
              <w:rPr>
                <w:rFonts w:ascii="Segoe UI" w:eastAsia="Times New Roman" w:hAnsi="Segoe UI" w:cs="Segoe UI"/>
                <w:color w:val="666666"/>
                <w:sz w:val="20"/>
                <w:szCs w:val="20"/>
              </w:rPr>
              <w:br/>
              <w:t xml:space="preserve">      expense</w:t>
            </w:r>
          </w:p>
        </w:tc>
        <w:tc>
          <w:tcPr>
            <w:tcW w:w="1100" w:type="dxa"/>
            <w:tcBorders>
              <w:top w:val="nil"/>
              <w:left w:val="nil"/>
              <w:bottom w:val="nil"/>
              <w:right w:val="nil"/>
            </w:tcBorders>
            <w:shd w:val="clear" w:color="auto" w:fill="auto"/>
            <w:noWrap/>
            <w:vAlign w:val="bottom"/>
            <w:hideMark/>
          </w:tcPr>
          <w:p w14:paraId="6D3DAF5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883 </w:t>
            </w:r>
          </w:p>
        </w:tc>
        <w:tc>
          <w:tcPr>
            <w:tcW w:w="100" w:type="dxa"/>
            <w:tcBorders>
              <w:top w:val="nil"/>
              <w:left w:val="nil"/>
              <w:bottom w:val="nil"/>
              <w:right w:val="nil"/>
            </w:tcBorders>
            <w:shd w:val="clear" w:color="auto" w:fill="auto"/>
            <w:noWrap/>
            <w:vAlign w:val="bottom"/>
            <w:hideMark/>
          </w:tcPr>
          <w:p w14:paraId="727BB5C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EFA719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672 </w:t>
            </w:r>
          </w:p>
        </w:tc>
        <w:tc>
          <w:tcPr>
            <w:tcW w:w="86" w:type="dxa"/>
            <w:tcBorders>
              <w:top w:val="nil"/>
              <w:left w:val="nil"/>
              <w:bottom w:val="nil"/>
              <w:right w:val="nil"/>
            </w:tcBorders>
            <w:shd w:val="clear" w:color="auto" w:fill="auto"/>
            <w:noWrap/>
            <w:vAlign w:val="bottom"/>
            <w:hideMark/>
          </w:tcPr>
          <w:p w14:paraId="38E4419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7B4026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2,353 </w:t>
            </w:r>
          </w:p>
        </w:tc>
        <w:tc>
          <w:tcPr>
            <w:tcW w:w="100" w:type="dxa"/>
            <w:tcBorders>
              <w:top w:val="nil"/>
              <w:left w:val="nil"/>
              <w:bottom w:val="nil"/>
              <w:right w:val="nil"/>
            </w:tcBorders>
            <w:shd w:val="clear" w:color="auto" w:fill="auto"/>
            <w:noWrap/>
            <w:vAlign w:val="bottom"/>
            <w:hideMark/>
          </w:tcPr>
          <w:p w14:paraId="3FCC57F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D57B44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2,004 </w:t>
            </w:r>
          </w:p>
        </w:tc>
      </w:tr>
      <w:tr w:rsidR="004A31B2" w:rsidRPr="004A31B2" w14:paraId="732345FB" w14:textId="77777777" w:rsidTr="004A31B2">
        <w:trPr>
          <w:trHeight w:val="600"/>
        </w:trPr>
        <w:tc>
          <w:tcPr>
            <w:tcW w:w="3560" w:type="dxa"/>
            <w:tcBorders>
              <w:top w:val="nil"/>
              <w:left w:val="nil"/>
              <w:bottom w:val="nil"/>
              <w:right w:val="nil"/>
            </w:tcBorders>
            <w:shd w:val="clear" w:color="auto" w:fill="auto"/>
            <w:vAlign w:val="bottom"/>
            <w:hideMark/>
          </w:tcPr>
          <w:p w14:paraId="13ABAC5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Net recognized losses (gains)</w:t>
            </w:r>
            <w:r w:rsidRPr="004A31B2">
              <w:rPr>
                <w:rFonts w:ascii="Segoe UI" w:eastAsia="Times New Roman" w:hAnsi="Segoe UI" w:cs="Segoe UI"/>
                <w:color w:val="666666"/>
                <w:sz w:val="20"/>
                <w:szCs w:val="20"/>
              </w:rPr>
              <w:br/>
              <w:t xml:space="preserve">      on investments and derivatives</w:t>
            </w:r>
          </w:p>
        </w:tc>
        <w:tc>
          <w:tcPr>
            <w:tcW w:w="1100" w:type="dxa"/>
            <w:tcBorders>
              <w:top w:val="nil"/>
              <w:left w:val="nil"/>
              <w:bottom w:val="nil"/>
              <w:right w:val="nil"/>
            </w:tcBorders>
            <w:shd w:val="clear" w:color="auto" w:fill="auto"/>
            <w:noWrap/>
            <w:vAlign w:val="bottom"/>
            <w:hideMark/>
          </w:tcPr>
          <w:p w14:paraId="3C00580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(590)</w:t>
            </w:r>
          </w:p>
        </w:tc>
        <w:tc>
          <w:tcPr>
            <w:tcW w:w="100" w:type="dxa"/>
            <w:tcBorders>
              <w:top w:val="nil"/>
              <w:left w:val="nil"/>
              <w:bottom w:val="nil"/>
              <w:right w:val="nil"/>
            </w:tcBorders>
            <w:shd w:val="clear" w:color="auto" w:fill="auto"/>
            <w:noWrap/>
            <w:vAlign w:val="bottom"/>
            <w:hideMark/>
          </w:tcPr>
          <w:p w14:paraId="743EFCF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F7C189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65 </w:t>
            </w:r>
          </w:p>
        </w:tc>
        <w:tc>
          <w:tcPr>
            <w:tcW w:w="86" w:type="dxa"/>
            <w:tcBorders>
              <w:top w:val="nil"/>
              <w:left w:val="nil"/>
              <w:bottom w:val="nil"/>
              <w:right w:val="nil"/>
            </w:tcBorders>
            <w:shd w:val="clear" w:color="auto" w:fill="auto"/>
            <w:noWrap/>
            <w:vAlign w:val="bottom"/>
            <w:hideMark/>
          </w:tcPr>
          <w:p w14:paraId="46C8A9A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B225AF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(1,553)</w:t>
            </w:r>
          </w:p>
        </w:tc>
        <w:tc>
          <w:tcPr>
            <w:tcW w:w="100" w:type="dxa"/>
            <w:tcBorders>
              <w:top w:val="nil"/>
              <w:left w:val="nil"/>
              <w:bottom w:val="nil"/>
              <w:right w:val="nil"/>
            </w:tcBorders>
            <w:shd w:val="clear" w:color="auto" w:fill="auto"/>
            <w:noWrap/>
            <w:vAlign w:val="bottom"/>
            <w:hideMark/>
          </w:tcPr>
          <w:p w14:paraId="10089F0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5C8CB1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216 </w:t>
            </w:r>
          </w:p>
        </w:tc>
      </w:tr>
      <w:tr w:rsidR="004A31B2" w:rsidRPr="004A31B2" w14:paraId="3A5A5266" w14:textId="77777777" w:rsidTr="004A31B2">
        <w:trPr>
          <w:trHeight w:val="300"/>
        </w:trPr>
        <w:tc>
          <w:tcPr>
            <w:tcW w:w="3560" w:type="dxa"/>
            <w:tcBorders>
              <w:top w:val="nil"/>
              <w:left w:val="nil"/>
              <w:bottom w:val="nil"/>
              <w:right w:val="nil"/>
            </w:tcBorders>
            <w:shd w:val="clear" w:color="auto" w:fill="auto"/>
            <w:vAlign w:val="bottom"/>
            <w:hideMark/>
          </w:tcPr>
          <w:p w14:paraId="2B40A339"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Deferred income taxes</w:t>
            </w:r>
          </w:p>
        </w:tc>
        <w:tc>
          <w:tcPr>
            <w:tcW w:w="1100" w:type="dxa"/>
            <w:tcBorders>
              <w:top w:val="nil"/>
              <w:left w:val="nil"/>
              <w:bottom w:val="nil"/>
              <w:right w:val="nil"/>
            </w:tcBorders>
            <w:shd w:val="clear" w:color="auto" w:fill="auto"/>
            <w:noWrap/>
            <w:vAlign w:val="bottom"/>
            <w:hideMark/>
          </w:tcPr>
          <w:p w14:paraId="69C2910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(777)</w:t>
            </w:r>
          </w:p>
        </w:tc>
        <w:tc>
          <w:tcPr>
            <w:tcW w:w="100" w:type="dxa"/>
            <w:tcBorders>
              <w:top w:val="nil"/>
              <w:left w:val="nil"/>
              <w:bottom w:val="nil"/>
              <w:right w:val="nil"/>
            </w:tcBorders>
            <w:shd w:val="clear" w:color="auto" w:fill="auto"/>
            <w:noWrap/>
            <w:vAlign w:val="bottom"/>
            <w:hideMark/>
          </w:tcPr>
          <w:p w14:paraId="6843ADA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769211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351 </w:t>
            </w:r>
          </w:p>
        </w:tc>
        <w:tc>
          <w:tcPr>
            <w:tcW w:w="86" w:type="dxa"/>
            <w:tcBorders>
              <w:top w:val="nil"/>
              <w:left w:val="nil"/>
              <w:bottom w:val="nil"/>
              <w:right w:val="nil"/>
            </w:tcBorders>
            <w:shd w:val="clear" w:color="auto" w:fill="auto"/>
            <w:noWrap/>
            <w:vAlign w:val="bottom"/>
            <w:hideMark/>
          </w:tcPr>
          <w:p w14:paraId="6727C8F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C54D85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(1,349)</w:t>
            </w:r>
          </w:p>
        </w:tc>
        <w:tc>
          <w:tcPr>
            <w:tcW w:w="100" w:type="dxa"/>
            <w:tcBorders>
              <w:top w:val="nil"/>
              <w:left w:val="nil"/>
              <w:bottom w:val="nil"/>
              <w:right w:val="nil"/>
            </w:tcBorders>
            <w:shd w:val="clear" w:color="auto" w:fill="auto"/>
            <w:noWrap/>
            <w:vAlign w:val="bottom"/>
            <w:hideMark/>
          </w:tcPr>
          <w:p w14:paraId="5DFC2EB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2E98E37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177 </w:t>
            </w:r>
          </w:p>
        </w:tc>
      </w:tr>
      <w:tr w:rsidR="004A31B2" w:rsidRPr="004A31B2" w14:paraId="48FD306E" w14:textId="77777777" w:rsidTr="004A31B2">
        <w:trPr>
          <w:trHeight w:val="300"/>
        </w:trPr>
        <w:tc>
          <w:tcPr>
            <w:tcW w:w="3560" w:type="dxa"/>
            <w:tcBorders>
              <w:top w:val="nil"/>
              <w:left w:val="nil"/>
              <w:bottom w:val="nil"/>
              <w:right w:val="nil"/>
            </w:tcBorders>
            <w:shd w:val="clear" w:color="auto" w:fill="auto"/>
            <w:vAlign w:val="bottom"/>
            <w:hideMark/>
          </w:tcPr>
          <w:p w14:paraId="3617DF8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Deferral of unearned revenue</w:t>
            </w:r>
          </w:p>
        </w:tc>
        <w:tc>
          <w:tcPr>
            <w:tcW w:w="1100" w:type="dxa"/>
            <w:tcBorders>
              <w:top w:val="nil"/>
              <w:left w:val="nil"/>
              <w:bottom w:val="nil"/>
              <w:right w:val="nil"/>
            </w:tcBorders>
            <w:shd w:val="clear" w:color="auto" w:fill="auto"/>
            <w:noWrap/>
            <w:vAlign w:val="bottom"/>
            <w:hideMark/>
          </w:tcPr>
          <w:p w14:paraId="4CE835E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15,995 </w:t>
            </w:r>
          </w:p>
        </w:tc>
        <w:tc>
          <w:tcPr>
            <w:tcW w:w="100" w:type="dxa"/>
            <w:tcBorders>
              <w:top w:val="nil"/>
              <w:left w:val="nil"/>
              <w:bottom w:val="nil"/>
              <w:right w:val="nil"/>
            </w:tcBorders>
            <w:shd w:val="clear" w:color="auto" w:fill="auto"/>
            <w:noWrap/>
            <w:vAlign w:val="bottom"/>
            <w:hideMark/>
          </w:tcPr>
          <w:p w14:paraId="0367FD2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766FFF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13,073 </w:t>
            </w:r>
          </w:p>
        </w:tc>
        <w:tc>
          <w:tcPr>
            <w:tcW w:w="86" w:type="dxa"/>
            <w:tcBorders>
              <w:top w:val="nil"/>
              <w:left w:val="nil"/>
              <w:bottom w:val="nil"/>
              <w:right w:val="nil"/>
            </w:tcBorders>
            <w:shd w:val="clear" w:color="auto" w:fill="auto"/>
            <w:noWrap/>
            <w:vAlign w:val="bottom"/>
            <w:hideMark/>
          </w:tcPr>
          <w:p w14:paraId="557718F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505EBA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42,719 </w:t>
            </w:r>
          </w:p>
        </w:tc>
        <w:tc>
          <w:tcPr>
            <w:tcW w:w="100" w:type="dxa"/>
            <w:tcBorders>
              <w:top w:val="nil"/>
              <w:left w:val="nil"/>
              <w:bottom w:val="nil"/>
              <w:right w:val="nil"/>
            </w:tcBorders>
            <w:shd w:val="clear" w:color="auto" w:fill="auto"/>
            <w:noWrap/>
            <w:vAlign w:val="bottom"/>
            <w:hideMark/>
          </w:tcPr>
          <w:p w14:paraId="5F2E9F1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A9B0AE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36,066 </w:t>
            </w:r>
          </w:p>
        </w:tc>
      </w:tr>
      <w:tr w:rsidR="004A31B2" w:rsidRPr="004A31B2" w14:paraId="274DAF58" w14:textId="77777777" w:rsidTr="004A31B2">
        <w:trPr>
          <w:trHeight w:val="300"/>
        </w:trPr>
        <w:tc>
          <w:tcPr>
            <w:tcW w:w="3560" w:type="dxa"/>
            <w:tcBorders>
              <w:top w:val="nil"/>
              <w:left w:val="nil"/>
              <w:bottom w:val="nil"/>
              <w:right w:val="nil"/>
            </w:tcBorders>
            <w:shd w:val="clear" w:color="auto" w:fill="auto"/>
            <w:vAlign w:val="bottom"/>
            <w:hideMark/>
          </w:tcPr>
          <w:p w14:paraId="3437CBD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Recognition of unearned revenue</w:t>
            </w:r>
          </w:p>
        </w:tc>
        <w:tc>
          <w:tcPr>
            <w:tcW w:w="1100" w:type="dxa"/>
            <w:tcBorders>
              <w:top w:val="nil"/>
              <w:left w:val="nil"/>
              <w:bottom w:val="nil"/>
              <w:right w:val="nil"/>
            </w:tcBorders>
            <w:shd w:val="clear" w:color="auto" w:fill="auto"/>
            <w:noWrap/>
            <w:vAlign w:val="bottom"/>
            <w:hideMark/>
          </w:tcPr>
          <w:p w14:paraId="5B94F0A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(14,941)</w:t>
            </w:r>
          </w:p>
        </w:tc>
        <w:tc>
          <w:tcPr>
            <w:tcW w:w="100" w:type="dxa"/>
            <w:tcBorders>
              <w:top w:val="nil"/>
              <w:left w:val="nil"/>
              <w:bottom w:val="nil"/>
              <w:right w:val="nil"/>
            </w:tcBorders>
            <w:shd w:val="clear" w:color="auto" w:fill="auto"/>
            <w:noWrap/>
            <w:vAlign w:val="bottom"/>
            <w:hideMark/>
          </w:tcPr>
          <w:p w14:paraId="7BE1B4F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CE8A10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(12,210)</w:t>
            </w:r>
          </w:p>
        </w:tc>
        <w:tc>
          <w:tcPr>
            <w:tcW w:w="86" w:type="dxa"/>
            <w:tcBorders>
              <w:top w:val="nil"/>
              <w:left w:val="nil"/>
              <w:bottom w:val="nil"/>
              <w:right w:val="nil"/>
            </w:tcBorders>
            <w:shd w:val="clear" w:color="auto" w:fill="auto"/>
            <w:noWrap/>
            <w:vAlign w:val="bottom"/>
            <w:hideMark/>
          </w:tcPr>
          <w:p w14:paraId="23766B0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0F4AB1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(41,490)</w:t>
            </w:r>
          </w:p>
        </w:tc>
        <w:tc>
          <w:tcPr>
            <w:tcW w:w="100" w:type="dxa"/>
            <w:tcBorders>
              <w:top w:val="nil"/>
              <w:left w:val="nil"/>
              <w:bottom w:val="nil"/>
              <w:right w:val="nil"/>
            </w:tcBorders>
            <w:shd w:val="clear" w:color="auto" w:fill="auto"/>
            <w:noWrap/>
            <w:vAlign w:val="bottom"/>
            <w:hideMark/>
          </w:tcPr>
          <w:p w14:paraId="15541FA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74FB13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(35,494)</w:t>
            </w:r>
          </w:p>
        </w:tc>
      </w:tr>
      <w:tr w:rsidR="004A31B2" w:rsidRPr="004A31B2" w14:paraId="5E4D7783" w14:textId="77777777" w:rsidTr="004A31B2">
        <w:trPr>
          <w:trHeight w:val="600"/>
        </w:trPr>
        <w:tc>
          <w:tcPr>
            <w:tcW w:w="3560" w:type="dxa"/>
            <w:tcBorders>
              <w:top w:val="nil"/>
              <w:left w:val="nil"/>
              <w:bottom w:val="nil"/>
              <w:right w:val="nil"/>
            </w:tcBorders>
            <w:shd w:val="clear" w:color="auto" w:fill="auto"/>
            <w:vAlign w:val="bottom"/>
            <w:hideMark/>
          </w:tcPr>
          <w:p w14:paraId="6A4C973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Changes in operating assets and </w:t>
            </w:r>
            <w:r w:rsidRPr="004A31B2">
              <w:rPr>
                <w:rFonts w:ascii="Segoe UI" w:eastAsia="Times New Roman" w:hAnsi="Segoe UI" w:cs="Segoe UI"/>
                <w:color w:val="666666"/>
                <w:sz w:val="20"/>
                <w:szCs w:val="20"/>
              </w:rPr>
              <w:br/>
              <w:t xml:space="preserve">      liabilities:</w:t>
            </w:r>
          </w:p>
        </w:tc>
        <w:tc>
          <w:tcPr>
            <w:tcW w:w="1100" w:type="dxa"/>
            <w:tcBorders>
              <w:top w:val="nil"/>
              <w:left w:val="nil"/>
              <w:bottom w:val="nil"/>
              <w:right w:val="nil"/>
            </w:tcBorders>
            <w:shd w:val="clear" w:color="auto" w:fill="auto"/>
            <w:noWrap/>
            <w:vAlign w:val="bottom"/>
            <w:hideMark/>
          </w:tcPr>
          <w:p w14:paraId="1750EC93" w14:textId="77777777" w:rsidR="004A31B2" w:rsidRPr="004A31B2" w:rsidRDefault="004A31B2" w:rsidP="004A31B2">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1690789B"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F6F8470"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4388405"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72D8AA8"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92D3CE1"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785424E"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69079A4D" w14:textId="77777777" w:rsidTr="004A31B2">
        <w:trPr>
          <w:trHeight w:val="300"/>
        </w:trPr>
        <w:tc>
          <w:tcPr>
            <w:tcW w:w="3560" w:type="dxa"/>
            <w:tcBorders>
              <w:top w:val="nil"/>
              <w:left w:val="nil"/>
              <w:bottom w:val="nil"/>
              <w:right w:val="nil"/>
            </w:tcBorders>
            <w:shd w:val="clear" w:color="auto" w:fill="auto"/>
            <w:vAlign w:val="bottom"/>
            <w:hideMark/>
          </w:tcPr>
          <w:p w14:paraId="5CEEB9E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Accounts receivable</w:t>
            </w:r>
          </w:p>
        </w:tc>
        <w:tc>
          <w:tcPr>
            <w:tcW w:w="1100" w:type="dxa"/>
            <w:tcBorders>
              <w:top w:val="nil"/>
              <w:left w:val="nil"/>
              <w:bottom w:val="nil"/>
              <w:right w:val="nil"/>
            </w:tcBorders>
            <w:shd w:val="clear" w:color="auto" w:fill="auto"/>
            <w:noWrap/>
            <w:vAlign w:val="bottom"/>
            <w:hideMark/>
          </w:tcPr>
          <w:p w14:paraId="4D5DA5A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1,487 </w:t>
            </w:r>
          </w:p>
        </w:tc>
        <w:tc>
          <w:tcPr>
            <w:tcW w:w="100" w:type="dxa"/>
            <w:tcBorders>
              <w:top w:val="nil"/>
              <w:left w:val="nil"/>
              <w:bottom w:val="nil"/>
              <w:right w:val="nil"/>
            </w:tcBorders>
            <w:shd w:val="clear" w:color="auto" w:fill="auto"/>
            <w:noWrap/>
            <w:vAlign w:val="bottom"/>
            <w:hideMark/>
          </w:tcPr>
          <w:p w14:paraId="1CAA063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1BD251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2,288 </w:t>
            </w:r>
          </w:p>
        </w:tc>
        <w:tc>
          <w:tcPr>
            <w:tcW w:w="86" w:type="dxa"/>
            <w:tcBorders>
              <w:top w:val="nil"/>
              <w:left w:val="nil"/>
              <w:bottom w:val="nil"/>
              <w:right w:val="nil"/>
            </w:tcBorders>
            <w:shd w:val="clear" w:color="auto" w:fill="auto"/>
            <w:noWrap/>
            <w:vAlign w:val="bottom"/>
            <w:hideMark/>
          </w:tcPr>
          <w:p w14:paraId="1044337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377A68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5,950 </w:t>
            </w:r>
          </w:p>
        </w:tc>
        <w:tc>
          <w:tcPr>
            <w:tcW w:w="100" w:type="dxa"/>
            <w:tcBorders>
              <w:top w:val="nil"/>
              <w:left w:val="nil"/>
              <w:bottom w:val="nil"/>
              <w:right w:val="nil"/>
            </w:tcBorders>
            <w:shd w:val="clear" w:color="auto" w:fill="auto"/>
            <w:noWrap/>
            <w:vAlign w:val="bottom"/>
            <w:hideMark/>
          </w:tcPr>
          <w:p w14:paraId="403CC01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5A228E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5,546 </w:t>
            </w:r>
          </w:p>
        </w:tc>
      </w:tr>
      <w:tr w:rsidR="004A31B2" w:rsidRPr="004A31B2" w14:paraId="278CD07F" w14:textId="77777777" w:rsidTr="004A31B2">
        <w:trPr>
          <w:trHeight w:val="300"/>
        </w:trPr>
        <w:tc>
          <w:tcPr>
            <w:tcW w:w="3560" w:type="dxa"/>
            <w:tcBorders>
              <w:top w:val="nil"/>
              <w:left w:val="nil"/>
              <w:bottom w:val="nil"/>
              <w:right w:val="nil"/>
            </w:tcBorders>
            <w:shd w:val="clear" w:color="auto" w:fill="auto"/>
            <w:vAlign w:val="bottom"/>
            <w:hideMark/>
          </w:tcPr>
          <w:p w14:paraId="63B7765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Inventories</w:t>
            </w:r>
          </w:p>
        </w:tc>
        <w:tc>
          <w:tcPr>
            <w:tcW w:w="1100" w:type="dxa"/>
            <w:tcBorders>
              <w:top w:val="nil"/>
              <w:left w:val="nil"/>
              <w:bottom w:val="nil"/>
              <w:right w:val="nil"/>
            </w:tcBorders>
            <w:shd w:val="clear" w:color="auto" w:fill="auto"/>
            <w:noWrap/>
            <w:vAlign w:val="bottom"/>
            <w:hideMark/>
          </w:tcPr>
          <w:p w14:paraId="1043661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(16)</w:t>
            </w:r>
          </w:p>
        </w:tc>
        <w:tc>
          <w:tcPr>
            <w:tcW w:w="100" w:type="dxa"/>
            <w:tcBorders>
              <w:top w:val="nil"/>
              <w:left w:val="nil"/>
              <w:bottom w:val="nil"/>
              <w:right w:val="nil"/>
            </w:tcBorders>
            <w:shd w:val="clear" w:color="auto" w:fill="auto"/>
            <w:noWrap/>
            <w:vAlign w:val="bottom"/>
            <w:hideMark/>
          </w:tcPr>
          <w:p w14:paraId="04B101B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59C60A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241 </w:t>
            </w:r>
          </w:p>
        </w:tc>
        <w:tc>
          <w:tcPr>
            <w:tcW w:w="86" w:type="dxa"/>
            <w:tcBorders>
              <w:top w:val="nil"/>
              <w:left w:val="nil"/>
              <w:bottom w:val="nil"/>
              <w:right w:val="nil"/>
            </w:tcBorders>
            <w:shd w:val="clear" w:color="auto" w:fill="auto"/>
            <w:noWrap/>
            <w:vAlign w:val="bottom"/>
            <w:hideMark/>
          </w:tcPr>
          <w:p w14:paraId="2B352BA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1D893F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249 </w:t>
            </w:r>
          </w:p>
        </w:tc>
        <w:tc>
          <w:tcPr>
            <w:tcW w:w="100" w:type="dxa"/>
            <w:tcBorders>
              <w:top w:val="nil"/>
              <w:left w:val="nil"/>
              <w:bottom w:val="nil"/>
              <w:right w:val="nil"/>
            </w:tcBorders>
            <w:shd w:val="clear" w:color="auto" w:fill="auto"/>
            <w:noWrap/>
            <w:vAlign w:val="bottom"/>
            <w:hideMark/>
          </w:tcPr>
          <w:p w14:paraId="5CB12C9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408901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408 </w:t>
            </w:r>
          </w:p>
        </w:tc>
      </w:tr>
      <w:tr w:rsidR="004A31B2" w:rsidRPr="004A31B2" w14:paraId="3F80F564" w14:textId="77777777" w:rsidTr="004A31B2">
        <w:trPr>
          <w:trHeight w:val="300"/>
        </w:trPr>
        <w:tc>
          <w:tcPr>
            <w:tcW w:w="3560" w:type="dxa"/>
            <w:tcBorders>
              <w:top w:val="nil"/>
              <w:left w:val="nil"/>
              <w:bottom w:val="nil"/>
              <w:right w:val="nil"/>
            </w:tcBorders>
            <w:shd w:val="clear" w:color="auto" w:fill="auto"/>
            <w:vAlign w:val="bottom"/>
            <w:hideMark/>
          </w:tcPr>
          <w:p w14:paraId="6027619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 current assets</w:t>
            </w:r>
          </w:p>
        </w:tc>
        <w:tc>
          <w:tcPr>
            <w:tcW w:w="1100" w:type="dxa"/>
            <w:tcBorders>
              <w:top w:val="nil"/>
              <w:left w:val="nil"/>
              <w:bottom w:val="nil"/>
              <w:right w:val="nil"/>
            </w:tcBorders>
            <w:shd w:val="clear" w:color="auto" w:fill="auto"/>
            <w:noWrap/>
            <w:vAlign w:val="bottom"/>
            <w:hideMark/>
          </w:tcPr>
          <w:p w14:paraId="61D6D1D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(25)</w:t>
            </w:r>
          </w:p>
        </w:tc>
        <w:tc>
          <w:tcPr>
            <w:tcW w:w="100" w:type="dxa"/>
            <w:tcBorders>
              <w:top w:val="nil"/>
              <w:left w:val="nil"/>
              <w:bottom w:val="nil"/>
              <w:right w:val="nil"/>
            </w:tcBorders>
            <w:shd w:val="clear" w:color="auto" w:fill="auto"/>
            <w:noWrap/>
            <w:vAlign w:val="bottom"/>
            <w:hideMark/>
          </w:tcPr>
          <w:p w14:paraId="093C061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EC3291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(420)</w:t>
            </w:r>
          </w:p>
        </w:tc>
        <w:tc>
          <w:tcPr>
            <w:tcW w:w="86" w:type="dxa"/>
            <w:tcBorders>
              <w:top w:val="nil"/>
              <w:left w:val="nil"/>
              <w:bottom w:val="nil"/>
              <w:right w:val="nil"/>
            </w:tcBorders>
            <w:shd w:val="clear" w:color="auto" w:fill="auto"/>
            <w:noWrap/>
            <w:vAlign w:val="bottom"/>
            <w:hideMark/>
          </w:tcPr>
          <w:p w14:paraId="000BB3F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C04D4F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318 </w:t>
            </w:r>
          </w:p>
        </w:tc>
        <w:tc>
          <w:tcPr>
            <w:tcW w:w="100" w:type="dxa"/>
            <w:tcBorders>
              <w:top w:val="nil"/>
              <w:left w:val="nil"/>
              <w:bottom w:val="nil"/>
              <w:right w:val="nil"/>
            </w:tcBorders>
            <w:shd w:val="clear" w:color="auto" w:fill="auto"/>
            <w:noWrap/>
            <w:vAlign w:val="bottom"/>
            <w:hideMark/>
          </w:tcPr>
          <w:p w14:paraId="4069E7D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9EFCC6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(1,914)</w:t>
            </w:r>
          </w:p>
        </w:tc>
      </w:tr>
      <w:tr w:rsidR="004A31B2" w:rsidRPr="004A31B2" w14:paraId="2FE98E64" w14:textId="77777777" w:rsidTr="004A31B2">
        <w:trPr>
          <w:trHeight w:val="300"/>
        </w:trPr>
        <w:tc>
          <w:tcPr>
            <w:tcW w:w="3560" w:type="dxa"/>
            <w:tcBorders>
              <w:top w:val="nil"/>
              <w:left w:val="nil"/>
              <w:bottom w:val="nil"/>
              <w:right w:val="nil"/>
            </w:tcBorders>
            <w:shd w:val="clear" w:color="auto" w:fill="auto"/>
            <w:vAlign w:val="bottom"/>
            <w:hideMark/>
          </w:tcPr>
          <w:p w14:paraId="5152C7B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 long-term assets</w:t>
            </w:r>
          </w:p>
        </w:tc>
        <w:tc>
          <w:tcPr>
            <w:tcW w:w="1100" w:type="dxa"/>
            <w:tcBorders>
              <w:top w:val="nil"/>
              <w:left w:val="nil"/>
              <w:bottom w:val="nil"/>
              <w:right w:val="nil"/>
            </w:tcBorders>
            <w:shd w:val="clear" w:color="auto" w:fill="auto"/>
            <w:noWrap/>
            <w:vAlign w:val="bottom"/>
            <w:hideMark/>
          </w:tcPr>
          <w:p w14:paraId="6FC538E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(26)</w:t>
            </w:r>
          </w:p>
        </w:tc>
        <w:tc>
          <w:tcPr>
            <w:tcW w:w="100" w:type="dxa"/>
            <w:tcBorders>
              <w:top w:val="nil"/>
              <w:left w:val="nil"/>
              <w:bottom w:val="nil"/>
              <w:right w:val="nil"/>
            </w:tcBorders>
            <w:shd w:val="clear" w:color="auto" w:fill="auto"/>
            <w:noWrap/>
            <w:vAlign w:val="bottom"/>
            <w:hideMark/>
          </w:tcPr>
          <w:p w14:paraId="7C26072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9ED7DB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 </w:t>
            </w:r>
          </w:p>
        </w:tc>
        <w:tc>
          <w:tcPr>
            <w:tcW w:w="86" w:type="dxa"/>
            <w:tcBorders>
              <w:top w:val="nil"/>
              <w:left w:val="nil"/>
              <w:bottom w:val="nil"/>
              <w:right w:val="nil"/>
            </w:tcBorders>
            <w:shd w:val="clear" w:color="auto" w:fill="auto"/>
            <w:noWrap/>
            <w:vAlign w:val="bottom"/>
            <w:hideMark/>
          </w:tcPr>
          <w:p w14:paraId="06FDD7B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34A2ED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(298)</w:t>
            </w:r>
          </w:p>
        </w:tc>
        <w:tc>
          <w:tcPr>
            <w:tcW w:w="100" w:type="dxa"/>
            <w:tcBorders>
              <w:top w:val="nil"/>
              <w:left w:val="nil"/>
              <w:bottom w:val="nil"/>
              <w:right w:val="nil"/>
            </w:tcBorders>
            <w:shd w:val="clear" w:color="auto" w:fill="auto"/>
            <w:noWrap/>
            <w:vAlign w:val="bottom"/>
            <w:hideMark/>
          </w:tcPr>
          <w:p w14:paraId="5FF415B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1F21A5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58 </w:t>
            </w:r>
          </w:p>
        </w:tc>
      </w:tr>
      <w:tr w:rsidR="004A31B2" w:rsidRPr="004A31B2" w14:paraId="35B5C6A7" w14:textId="77777777" w:rsidTr="004A31B2">
        <w:trPr>
          <w:trHeight w:val="300"/>
        </w:trPr>
        <w:tc>
          <w:tcPr>
            <w:tcW w:w="3560" w:type="dxa"/>
            <w:tcBorders>
              <w:top w:val="nil"/>
              <w:left w:val="nil"/>
              <w:bottom w:val="nil"/>
              <w:right w:val="nil"/>
            </w:tcBorders>
            <w:shd w:val="clear" w:color="auto" w:fill="auto"/>
            <w:vAlign w:val="bottom"/>
            <w:hideMark/>
          </w:tcPr>
          <w:p w14:paraId="2E0865C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Accounts payable</w:t>
            </w:r>
          </w:p>
        </w:tc>
        <w:tc>
          <w:tcPr>
            <w:tcW w:w="1100" w:type="dxa"/>
            <w:tcBorders>
              <w:top w:val="nil"/>
              <w:left w:val="nil"/>
              <w:bottom w:val="nil"/>
              <w:right w:val="nil"/>
            </w:tcBorders>
            <w:shd w:val="clear" w:color="auto" w:fill="auto"/>
            <w:noWrap/>
            <w:vAlign w:val="bottom"/>
            <w:hideMark/>
          </w:tcPr>
          <w:p w14:paraId="13362A4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(425)</w:t>
            </w:r>
          </w:p>
        </w:tc>
        <w:tc>
          <w:tcPr>
            <w:tcW w:w="100" w:type="dxa"/>
            <w:tcBorders>
              <w:top w:val="nil"/>
              <w:left w:val="nil"/>
              <w:bottom w:val="nil"/>
              <w:right w:val="nil"/>
            </w:tcBorders>
            <w:shd w:val="clear" w:color="auto" w:fill="auto"/>
            <w:noWrap/>
            <w:vAlign w:val="bottom"/>
            <w:hideMark/>
          </w:tcPr>
          <w:p w14:paraId="200110E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3F34F3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(129)</w:t>
            </w:r>
          </w:p>
        </w:tc>
        <w:tc>
          <w:tcPr>
            <w:tcW w:w="86" w:type="dxa"/>
            <w:tcBorders>
              <w:top w:val="nil"/>
              <w:left w:val="nil"/>
              <w:bottom w:val="nil"/>
              <w:right w:val="nil"/>
            </w:tcBorders>
            <w:shd w:val="clear" w:color="auto" w:fill="auto"/>
            <w:noWrap/>
            <w:vAlign w:val="bottom"/>
            <w:hideMark/>
          </w:tcPr>
          <w:p w14:paraId="0832687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0DD75C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(769)</w:t>
            </w:r>
          </w:p>
        </w:tc>
        <w:tc>
          <w:tcPr>
            <w:tcW w:w="100" w:type="dxa"/>
            <w:tcBorders>
              <w:top w:val="nil"/>
              <w:left w:val="nil"/>
              <w:bottom w:val="nil"/>
              <w:right w:val="nil"/>
            </w:tcBorders>
            <w:shd w:val="clear" w:color="auto" w:fill="auto"/>
            <w:noWrap/>
            <w:vAlign w:val="bottom"/>
            <w:hideMark/>
          </w:tcPr>
          <w:p w14:paraId="1AFBBB5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64DE77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105 </w:t>
            </w:r>
          </w:p>
        </w:tc>
      </w:tr>
      <w:tr w:rsidR="004A31B2" w:rsidRPr="004A31B2" w14:paraId="44B3CE89" w14:textId="77777777" w:rsidTr="004A31B2">
        <w:trPr>
          <w:trHeight w:val="300"/>
        </w:trPr>
        <w:tc>
          <w:tcPr>
            <w:tcW w:w="3560" w:type="dxa"/>
            <w:tcBorders>
              <w:top w:val="nil"/>
              <w:left w:val="nil"/>
              <w:bottom w:val="nil"/>
              <w:right w:val="nil"/>
            </w:tcBorders>
            <w:shd w:val="clear" w:color="auto" w:fill="auto"/>
            <w:vAlign w:val="bottom"/>
            <w:hideMark/>
          </w:tcPr>
          <w:p w14:paraId="1992C94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 current liabilities</w:t>
            </w:r>
          </w:p>
        </w:tc>
        <w:tc>
          <w:tcPr>
            <w:tcW w:w="1100" w:type="dxa"/>
            <w:tcBorders>
              <w:top w:val="nil"/>
              <w:left w:val="nil"/>
              <w:bottom w:val="nil"/>
              <w:right w:val="nil"/>
            </w:tcBorders>
            <w:shd w:val="clear" w:color="auto" w:fill="auto"/>
            <w:noWrap/>
            <w:vAlign w:val="bottom"/>
            <w:hideMark/>
          </w:tcPr>
          <w:p w14:paraId="2F3FEBF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742 </w:t>
            </w:r>
          </w:p>
        </w:tc>
        <w:tc>
          <w:tcPr>
            <w:tcW w:w="100" w:type="dxa"/>
            <w:tcBorders>
              <w:top w:val="nil"/>
              <w:left w:val="nil"/>
              <w:bottom w:val="nil"/>
              <w:right w:val="nil"/>
            </w:tcBorders>
            <w:shd w:val="clear" w:color="auto" w:fill="auto"/>
            <w:noWrap/>
            <w:vAlign w:val="bottom"/>
            <w:hideMark/>
          </w:tcPr>
          <w:p w14:paraId="424BB69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DA8E5F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626 </w:t>
            </w:r>
          </w:p>
        </w:tc>
        <w:tc>
          <w:tcPr>
            <w:tcW w:w="86" w:type="dxa"/>
            <w:tcBorders>
              <w:top w:val="nil"/>
              <w:left w:val="nil"/>
              <w:bottom w:val="nil"/>
              <w:right w:val="nil"/>
            </w:tcBorders>
            <w:shd w:val="clear" w:color="auto" w:fill="auto"/>
            <w:noWrap/>
            <w:vAlign w:val="bottom"/>
            <w:hideMark/>
          </w:tcPr>
          <w:p w14:paraId="038A510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C524FF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(1,148)</w:t>
            </w:r>
          </w:p>
        </w:tc>
        <w:tc>
          <w:tcPr>
            <w:tcW w:w="100" w:type="dxa"/>
            <w:tcBorders>
              <w:top w:val="nil"/>
              <w:left w:val="nil"/>
              <w:bottom w:val="nil"/>
              <w:right w:val="nil"/>
            </w:tcBorders>
            <w:shd w:val="clear" w:color="auto" w:fill="auto"/>
            <w:noWrap/>
            <w:vAlign w:val="bottom"/>
            <w:hideMark/>
          </w:tcPr>
          <w:p w14:paraId="2CD3280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BB25D5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(1,293)</w:t>
            </w:r>
          </w:p>
        </w:tc>
      </w:tr>
      <w:tr w:rsidR="004A31B2" w:rsidRPr="004A31B2" w14:paraId="444BA4A7" w14:textId="77777777" w:rsidTr="004A31B2">
        <w:trPr>
          <w:trHeight w:val="300"/>
        </w:trPr>
        <w:tc>
          <w:tcPr>
            <w:tcW w:w="3560" w:type="dxa"/>
            <w:tcBorders>
              <w:top w:val="nil"/>
              <w:left w:val="nil"/>
              <w:bottom w:val="single" w:sz="4" w:space="0" w:color="auto"/>
              <w:right w:val="nil"/>
            </w:tcBorders>
            <w:shd w:val="clear" w:color="auto" w:fill="auto"/>
            <w:noWrap/>
            <w:vAlign w:val="bottom"/>
            <w:hideMark/>
          </w:tcPr>
          <w:p w14:paraId="4107483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Other long-term liabilities</w:t>
            </w:r>
          </w:p>
        </w:tc>
        <w:tc>
          <w:tcPr>
            <w:tcW w:w="1100" w:type="dxa"/>
            <w:tcBorders>
              <w:top w:val="nil"/>
              <w:left w:val="nil"/>
              <w:bottom w:val="single" w:sz="4" w:space="0" w:color="auto"/>
              <w:right w:val="nil"/>
            </w:tcBorders>
            <w:shd w:val="clear" w:color="auto" w:fill="auto"/>
            <w:noWrap/>
            <w:vAlign w:val="bottom"/>
            <w:hideMark/>
          </w:tcPr>
          <w:p w14:paraId="4F6B50A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1,099 </w:t>
            </w:r>
          </w:p>
        </w:tc>
        <w:tc>
          <w:tcPr>
            <w:tcW w:w="100" w:type="dxa"/>
            <w:tcBorders>
              <w:top w:val="nil"/>
              <w:left w:val="nil"/>
              <w:bottom w:val="nil"/>
              <w:right w:val="nil"/>
            </w:tcBorders>
            <w:shd w:val="clear" w:color="auto" w:fill="auto"/>
            <w:noWrap/>
            <w:vAlign w:val="bottom"/>
            <w:hideMark/>
          </w:tcPr>
          <w:p w14:paraId="6301361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4084BEA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340 </w:t>
            </w:r>
          </w:p>
        </w:tc>
        <w:tc>
          <w:tcPr>
            <w:tcW w:w="86" w:type="dxa"/>
            <w:tcBorders>
              <w:top w:val="nil"/>
              <w:left w:val="nil"/>
              <w:bottom w:val="nil"/>
              <w:right w:val="nil"/>
            </w:tcBorders>
            <w:shd w:val="clear" w:color="auto" w:fill="auto"/>
            <w:noWrap/>
            <w:vAlign w:val="bottom"/>
            <w:hideMark/>
          </w:tcPr>
          <w:p w14:paraId="3F933CF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E9705A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2,394 </w:t>
            </w:r>
          </w:p>
        </w:tc>
        <w:tc>
          <w:tcPr>
            <w:tcW w:w="100" w:type="dxa"/>
            <w:tcBorders>
              <w:top w:val="nil"/>
              <w:left w:val="nil"/>
              <w:bottom w:val="nil"/>
              <w:right w:val="nil"/>
            </w:tcBorders>
            <w:shd w:val="clear" w:color="auto" w:fill="auto"/>
            <w:noWrap/>
            <w:vAlign w:val="bottom"/>
            <w:hideMark/>
          </w:tcPr>
          <w:p w14:paraId="52C0D8C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4B48D62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594 </w:t>
            </w:r>
          </w:p>
        </w:tc>
      </w:tr>
      <w:tr w:rsidR="004A31B2" w:rsidRPr="004A31B2" w14:paraId="05527364" w14:textId="77777777" w:rsidTr="004A31B2">
        <w:trPr>
          <w:trHeight w:val="300"/>
        </w:trPr>
        <w:tc>
          <w:tcPr>
            <w:tcW w:w="3560" w:type="dxa"/>
            <w:tcBorders>
              <w:top w:val="nil"/>
              <w:left w:val="nil"/>
              <w:bottom w:val="single" w:sz="4" w:space="0" w:color="auto"/>
              <w:right w:val="nil"/>
            </w:tcBorders>
            <w:shd w:val="clear" w:color="auto" w:fill="auto"/>
            <w:vAlign w:val="bottom"/>
            <w:hideMark/>
          </w:tcPr>
          <w:p w14:paraId="24F86D6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Net cash from operations</w:t>
            </w:r>
          </w:p>
        </w:tc>
        <w:tc>
          <w:tcPr>
            <w:tcW w:w="1100" w:type="dxa"/>
            <w:tcBorders>
              <w:top w:val="nil"/>
              <w:left w:val="nil"/>
              <w:bottom w:val="single" w:sz="4" w:space="0" w:color="auto"/>
              <w:right w:val="nil"/>
            </w:tcBorders>
            <w:shd w:val="clear" w:color="auto" w:fill="auto"/>
            <w:noWrap/>
            <w:vAlign w:val="bottom"/>
            <w:hideMark/>
          </w:tcPr>
          <w:p w14:paraId="69895D2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10,660 </w:t>
            </w:r>
          </w:p>
        </w:tc>
        <w:tc>
          <w:tcPr>
            <w:tcW w:w="100" w:type="dxa"/>
            <w:tcBorders>
              <w:top w:val="nil"/>
              <w:left w:val="nil"/>
              <w:bottom w:val="nil"/>
              <w:right w:val="nil"/>
            </w:tcBorders>
            <w:shd w:val="clear" w:color="auto" w:fill="auto"/>
            <w:noWrap/>
            <w:vAlign w:val="bottom"/>
            <w:hideMark/>
          </w:tcPr>
          <w:p w14:paraId="55C8B55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0FE14EE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10,367 </w:t>
            </w:r>
          </w:p>
        </w:tc>
        <w:tc>
          <w:tcPr>
            <w:tcW w:w="86" w:type="dxa"/>
            <w:tcBorders>
              <w:top w:val="nil"/>
              <w:left w:val="nil"/>
              <w:bottom w:val="nil"/>
              <w:right w:val="nil"/>
            </w:tcBorders>
            <w:shd w:val="clear" w:color="auto" w:fill="auto"/>
            <w:noWrap/>
            <w:vAlign w:val="bottom"/>
            <w:hideMark/>
          </w:tcPr>
          <w:p w14:paraId="519BCEC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158753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28,502 </w:t>
            </w:r>
          </w:p>
        </w:tc>
        <w:tc>
          <w:tcPr>
            <w:tcW w:w="100" w:type="dxa"/>
            <w:tcBorders>
              <w:top w:val="nil"/>
              <w:left w:val="nil"/>
              <w:bottom w:val="nil"/>
              <w:right w:val="nil"/>
            </w:tcBorders>
            <w:shd w:val="clear" w:color="auto" w:fill="auto"/>
            <w:noWrap/>
            <w:vAlign w:val="bottom"/>
            <w:hideMark/>
          </w:tcPr>
          <w:p w14:paraId="1996BA4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4674AE6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24,861 </w:t>
            </w:r>
          </w:p>
        </w:tc>
      </w:tr>
      <w:tr w:rsidR="004A31B2" w:rsidRPr="004A31B2" w14:paraId="7CBA7337" w14:textId="77777777" w:rsidTr="004A31B2">
        <w:trPr>
          <w:trHeight w:val="300"/>
        </w:trPr>
        <w:tc>
          <w:tcPr>
            <w:tcW w:w="3560" w:type="dxa"/>
            <w:tcBorders>
              <w:top w:val="nil"/>
              <w:left w:val="nil"/>
              <w:bottom w:val="nil"/>
              <w:right w:val="nil"/>
            </w:tcBorders>
            <w:shd w:val="clear" w:color="auto" w:fill="auto"/>
            <w:noWrap/>
            <w:vAlign w:val="bottom"/>
            <w:hideMark/>
          </w:tcPr>
          <w:p w14:paraId="472186FD"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Financing</w:t>
            </w:r>
          </w:p>
        </w:tc>
        <w:tc>
          <w:tcPr>
            <w:tcW w:w="1100" w:type="dxa"/>
            <w:tcBorders>
              <w:top w:val="nil"/>
              <w:left w:val="nil"/>
              <w:bottom w:val="nil"/>
              <w:right w:val="nil"/>
            </w:tcBorders>
            <w:shd w:val="clear" w:color="auto" w:fill="auto"/>
            <w:noWrap/>
            <w:vAlign w:val="bottom"/>
            <w:hideMark/>
          </w:tcPr>
          <w:p w14:paraId="6C447292"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18EC4301"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AD3297F"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1EBC673"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D291765"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0C7373E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4333D10"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0A9F67FE" w14:textId="77777777" w:rsidTr="004A31B2">
        <w:trPr>
          <w:trHeight w:val="900"/>
        </w:trPr>
        <w:tc>
          <w:tcPr>
            <w:tcW w:w="3560" w:type="dxa"/>
            <w:tcBorders>
              <w:top w:val="nil"/>
              <w:left w:val="nil"/>
              <w:bottom w:val="nil"/>
              <w:right w:val="nil"/>
            </w:tcBorders>
            <w:shd w:val="clear" w:color="auto" w:fill="auto"/>
            <w:vAlign w:val="bottom"/>
            <w:hideMark/>
          </w:tcPr>
          <w:p w14:paraId="17E2EE1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Proceeds from issuance</w:t>
            </w:r>
            <w:r w:rsidRPr="004A31B2">
              <w:rPr>
                <w:rFonts w:ascii="Segoe UI" w:eastAsia="Times New Roman" w:hAnsi="Segoe UI" w:cs="Segoe UI"/>
                <w:color w:val="666666"/>
                <w:sz w:val="20"/>
                <w:szCs w:val="20"/>
              </w:rPr>
              <w:br/>
              <w:t xml:space="preserve">  (repayments) of short-term debt,</w:t>
            </w:r>
            <w:r w:rsidRPr="004A31B2">
              <w:rPr>
                <w:rFonts w:ascii="Segoe UI" w:eastAsia="Times New Roman" w:hAnsi="Segoe UI" w:cs="Segoe UI"/>
                <w:color w:val="666666"/>
                <w:sz w:val="20"/>
                <w:szCs w:val="20"/>
              </w:rPr>
              <w:br/>
              <w:t xml:space="preserve">  maturities of 90 days or less, net</w:t>
            </w:r>
          </w:p>
        </w:tc>
        <w:tc>
          <w:tcPr>
            <w:tcW w:w="1100" w:type="dxa"/>
            <w:tcBorders>
              <w:top w:val="nil"/>
              <w:left w:val="nil"/>
              <w:bottom w:val="nil"/>
              <w:right w:val="nil"/>
            </w:tcBorders>
            <w:shd w:val="clear" w:color="auto" w:fill="auto"/>
            <w:noWrap/>
            <w:vAlign w:val="bottom"/>
            <w:hideMark/>
          </w:tcPr>
          <w:p w14:paraId="77D555A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(1,302)</w:t>
            </w:r>
          </w:p>
        </w:tc>
        <w:tc>
          <w:tcPr>
            <w:tcW w:w="100" w:type="dxa"/>
            <w:tcBorders>
              <w:top w:val="nil"/>
              <w:left w:val="nil"/>
              <w:bottom w:val="nil"/>
              <w:right w:val="nil"/>
            </w:tcBorders>
            <w:shd w:val="clear" w:color="auto" w:fill="auto"/>
            <w:noWrap/>
            <w:vAlign w:val="bottom"/>
            <w:hideMark/>
          </w:tcPr>
          <w:p w14:paraId="4E43CB5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9DBF91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2,622 </w:t>
            </w:r>
          </w:p>
        </w:tc>
        <w:tc>
          <w:tcPr>
            <w:tcW w:w="86" w:type="dxa"/>
            <w:tcBorders>
              <w:top w:val="nil"/>
              <w:left w:val="nil"/>
              <w:bottom w:val="nil"/>
              <w:right w:val="nil"/>
            </w:tcBorders>
            <w:shd w:val="clear" w:color="auto" w:fill="auto"/>
            <w:noWrap/>
            <w:vAlign w:val="bottom"/>
            <w:hideMark/>
          </w:tcPr>
          <w:p w14:paraId="26F0655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F6D717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(8,447)</w:t>
            </w:r>
          </w:p>
        </w:tc>
        <w:tc>
          <w:tcPr>
            <w:tcW w:w="100" w:type="dxa"/>
            <w:tcBorders>
              <w:top w:val="nil"/>
              <w:left w:val="nil"/>
              <w:bottom w:val="nil"/>
              <w:right w:val="nil"/>
            </w:tcBorders>
            <w:shd w:val="clear" w:color="auto" w:fill="auto"/>
            <w:noWrap/>
            <w:vAlign w:val="bottom"/>
            <w:hideMark/>
          </w:tcPr>
          <w:p w14:paraId="54A76D9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6237DD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481 </w:t>
            </w:r>
          </w:p>
        </w:tc>
      </w:tr>
      <w:tr w:rsidR="004A31B2" w:rsidRPr="004A31B2" w14:paraId="01F648D8" w14:textId="77777777" w:rsidTr="004A31B2">
        <w:trPr>
          <w:trHeight w:val="300"/>
        </w:trPr>
        <w:tc>
          <w:tcPr>
            <w:tcW w:w="3560" w:type="dxa"/>
            <w:tcBorders>
              <w:top w:val="nil"/>
              <w:left w:val="nil"/>
              <w:bottom w:val="nil"/>
              <w:right w:val="nil"/>
            </w:tcBorders>
            <w:shd w:val="clear" w:color="auto" w:fill="auto"/>
            <w:vAlign w:val="bottom"/>
            <w:hideMark/>
          </w:tcPr>
          <w:p w14:paraId="2065284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Proceeds from issuance of debt</w:t>
            </w:r>
          </w:p>
        </w:tc>
        <w:tc>
          <w:tcPr>
            <w:tcW w:w="1100" w:type="dxa"/>
            <w:tcBorders>
              <w:top w:val="nil"/>
              <w:left w:val="nil"/>
              <w:bottom w:val="nil"/>
              <w:right w:val="nil"/>
            </w:tcBorders>
            <w:shd w:val="clear" w:color="auto" w:fill="auto"/>
            <w:noWrap/>
            <w:vAlign w:val="bottom"/>
            <w:hideMark/>
          </w:tcPr>
          <w:p w14:paraId="63C8188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547 </w:t>
            </w:r>
          </w:p>
        </w:tc>
        <w:tc>
          <w:tcPr>
            <w:tcW w:w="100" w:type="dxa"/>
            <w:tcBorders>
              <w:top w:val="nil"/>
              <w:left w:val="nil"/>
              <w:bottom w:val="nil"/>
              <w:right w:val="nil"/>
            </w:tcBorders>
            <w:shd w:val="clear" w:color="auto" w:fill="auto"/>
            <w:noWrap/>
            <w:vAlign w:val="bottom"/>
            <w:hideMark/>
          </w:tcPr>
          <w:p w14:paraId="0E626F0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14A33E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25 </w:t>
            </w:r>
          </w:p>
        </w:tc>
        <w:tc>
          <w:tcPr>
            <w:tcW w:w="86" w:type="dxa"/>
            <w:tcBorders>
              <w:top w:val="nil"/>
              <w:left w:val="nil"/>
              <w:bottom w:val="nil"/>
              <w:right w:val="nil"/>
            </w:tcBorders>
            <w:shd w:val="clear" w:color="auto" w:fill="auto"/>
            <w:noWrap/>
            <w:vAlign w:val="bottom"/>
            <w:hideMark/>
          </w:tcPr>
          <w:p w14:paraId="46B65FB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D82C2E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42,593 </w:t>
            </w:r>
          </w:p>
        </w:tc>
        <w:tc>
          <w:tcPr>
            <w:tcW w:w="100" w:type="dxa"/>
            <w:tcBorders>
              <w:top w:val="nil"/>
              <w:left w:val="nil"/>
              <w:bottom w:val="nil"/>
              <w:right w:val="nil"/>
            </w:tcBorders>
            <w:shd w:val="clear" w:color="auto" w:fill="auto"/>
            <w:noWrap/>
            <w:vAlign w:val="bottom"/>
            <w:hideMark/>
          </w:tcPr>
          <w:p w14:paraId="7C7AEB9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2AC95A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13,274 </w:t>
            </w:r>
          </w:p>
        </w:tc>
      </w:tr>
      <w:tr w:rsidR="004A31B2" w:rsidRPr="004A31B2" w14:paraId="4EC7655D" w14:textId="77777777" w:rsidTr="004A31B2">
        <w:trPr>
          <w:trHeight w:val="300"/>
        </w:trPr>
        <w:tc>
          <w:tcPr>
            <w:tcW w:w="3560" w:type="dxa"/>
            <w:tcBorders>
              <w:top w:val="nil"/>
              <w:left w:val="nil"/>
              <w:bottom w:val="nil"/>
              <w:right w:val="nil"/>
            </w:tcBorders>
            <w:shd w:val="clear" w:color="auto" w:fill="auto"/>
            <w:vAlign w:val="bottom"/>
            <w:hideMark/>
          </w:tcPr>
          <w:p w14:paraId="60552EC7"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Repayments of debt</w:t>
            </w:r>
          </w:p>
        </w:tc>
        <w:tc>
          <w:tcPr>
            <w:tcW w:w="1100" w:type="dxa"/>
            <w:tcBorders>
              <w:top w:val="nil"/>
              <w:left w:val="nil"/>
              <w:bottom w:val="nil"/>
              <w:right w:val="nil"/>
            </w:tcBorders>
            <w:shd w:val="clear" w:color="auto" w:fill="auto"/>
            <w:noWrap/>
            <w:vAlign w:val="bottom"/>
            <w:hideMark/>
          </w:tcPr>
          <w:p w14:paraId="3EF07DD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(211)</w:t>
            </w:r>
          </w:p>
        </w:tc>
        <w:tc>
          <w:tcPr>
            <w:tcW w:w="100" w:type="dxa"/>
            <w:tcBorders>
              <w:top w:val="nil"/>
              <w:left w:val="nil"/>
              <w:bottom w:val="nil"/>
              <w:right w:val="nil"/>
            </w:tcBorders>
            <w:shd w:val="clear" w:color="auto" w:fill="auto"/>
            <w:noWrap/>
            <w:vAlign w:val="bottom"/>
            <w:hideMark/>
          </w:tcPr>
          <w:p w14:paraId="2B192B2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F9A376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(900)</w:t>
            </w:r>
          </w:p>
        </w:tc>
        <w:tc>
          <w:tcPr>
            <w:tcW w:w="86" w:type="dxa"/>
            <w:tcBorders>
              <w:top w:val="nil"/>
              <w:left w:val="nil"/>
              <w:bottom w:val="nil"/>
              <w:right w:val="nil"/>
            </w:tcBorders>
            <w:shd w:val="clear" w:color="auto" w:fill="auto"/>
            <w:noWrap/>
            <w:vAlign w:val="bottom"/>
            <w:hideMark/>
          </w:tcPr>
          <w:p w14:paraId="5A4C9DB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84B8F4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(4,554)</w:t>
            </w:r>
          </w:p>
        </w:tc>
        <w:tc>
          <w:tcPr>
            <w:tcW w:w="100" w:type="dxa"/>
            <w:tcBorders>
              <w:top w:val="nil"/>
              <w:left w:val="nil"/>
              <w:bottom w:val="nil"/>
              <w:right w:val="nil"/>
            </w:tcBorders>
            <w:shd w:val="clear" w:color="auto" w:fill="auto"/>
            <w:noWrap/>
            <w:vAlign w:val="bottom"/>
            <w:hideMark/>
          </w:tcPr>
          <w:p w14:paraId="15C5A00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9989CE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(2,771)</w:t>
            </w:r>
          </w:p>
        </w:tc>
      </w:tr>
      <w:tr w:rsidR="004A31B2" w:rsidRPr="004A31B2" w14:paraId="1B3F4655" w14:textId="77777777" w:rsidTr="004A31B2">
        <w:trPr>
          <w:trHeight w:val="300"/>
        </w:trPr>
        <w:tc>
          <w:tcPr>
            <w:tcW w:w="3560" w:type="dxa"/>
            <w:tcBorders>
              <w:top w:val="nil"/>
              <w:left w:val="nil"/>
              <w:bottom w:val="nil"/>
              <w:right w:val="nil"/>
            </w:tcBorders>
            <w:shd w:val="clear" w:color="auto" w:fill="auto"/>
            <w:noWrap/>
            <w:vAlign w:val="bottom"/>
            <w:hideMark/>
          </w:tcPr>
          <w:p w14:paraId="528883C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Common stock issued</w:t>
            </w:r>
          </w:p>
        </w:tc>
        <w:tc>
          <w:tcPr>
            <w:tcW w:w="1100" w:type="dxa"/>
            <w:tcBorders>
              <w:top w:val="nil"/>
              <w:left w:val="nil"/>
              <w:bottom w:val="nil"/>
              <w:right w:val="nil"/>
            </w:tcBorders>
            <w:shd w:val="clear" w:color="auto" w:fill="auto"/>
            <w:noWrap/>
            <w:vAlign w:val="bottom"/>
            <w:hideMark/>
          </w:tcPr>
          <w:p w14:paraId="5A33CE0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179 </w:t>
            </w:r>
          </w:p>
        </w:tc>
        <w:tc>
          <w:tcPr>
            <w:tcW w:w="100" w:type="dxa"/>
            <w:tcBorders>
              <w:top w:val="nil"/>
              <w:left w:val="nil"/>
              <w:bottom w:val="nil"/>
              <w:right w:val="nil"/>
            </w:tcBorders>
            <w:shd w:val="clear" w:color="auto" w:fill="auto"/>
            <w:noWrap/>
            <w:vAlign w:val="bottom"/>
            <w:hideMark/>
          </w:tcPr>
          <w:p w14:paraId="10736B2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6E2D97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159 </w:t>
            </w:r>
          </w:p>
        </w:tc>
        <w:tc>
          <w:tcPr>
            <w:tcW w:w="86" w:type="dxa"/>
            <w:tcBorders>
              <w:top w:val="nil"/>
              <w:left w:val="nil"/>
              <w:bottom w:val="nil"/>
              <w:right w:val="nil"/>
            </w:tcBorders>
            <w:shd w:val="clear" w:color="auto" w:fill="auto"/>
            <w:noWrap/>
            <w:vAlign w:val="bottom"/>
            <w:hideMark/>
          </w:tcPr>
          <w:p w14:paraId="37BD6E5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93EDDB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551 </w:t>
            </w:r>
          </w:p>
        </w:tc>
        <w:tc>
          <w:tcPr>
            <w:tcW w:w="100" w:type="dxa"/>
            <w:tcBorders>
              <w:top w:val="nil"/>
              <w:left w:val="nil"/>
              <w:bottom w:val="nil"/>
              <w:right w:val="nil"/>
            </w:tcBorders>
            <w:shd w:val="clear" w:color="auto" w:fill="auto"/>
            <w:noWrap/>
            <w:vAlign w:val="bottom"/>
            <w:hideMark/>
          </w:tcPr>
          <w:p w14:paraId="7BCC94B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7272053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495 </w:t>
            </w:r>
          </w:p>
        </w:tc>
      </w:tr>
      <w:tr w:rsidR="004A31B2" w:rsidRPr="004A31B2" w14:paraId="1E7A6A54" w14:textId="77777777" w:rsidTr="004A31B2">
        <w:trPr>
          <w:trHeight w:val="300"/>
        </w:trPr>
        <w:tc>
          <w:tcPr>
            <w:tcW w:w="3560" w:type="dxa"/>
            <w:tcBorders>
              <w:top w:val="nil"/>
              <w:left w:val="nil"/>
              <w:bottom w:val="nil"/>
              <w:right w:val="nil"/>
            </w:tcBorders>
            <w:shd w:val="clear" w:color="auto" w:fill="auto"/>
            <w:noWrap/>
            <w:vAlign w:val="bottom"/>
            <w:hideMark/>
          </w:tcPr>
          <w:p w14:paraId="6579F0A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Common stock repurchased</w:t>
            </w:r>
          </w:p>
        </w:tc>
        <w:tc>
          <w:tcPr>
            <w:tcW w:w="1100" w:type="dxa"/>
            <w:tcBorders>
              <w:top w:val="nil"/>
              <w:left w:val="nil"/>
              <w:bottom w:val="nil"/>
              <w:right w:val="nil"/>
            </w:tcBorders>
            <w:shd w:val="clear" w:color="auto" w:fill="auto"/>
            <w:noWrap/>
            <w:vAlign w:val="bottom"/>
            <w:hideMark/>
          </w:tcPr>
          <w:p w14:paraId="12117B2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(2,062)</w:t>
            </w:r>
          </w:p>
        </w:tc>
        <w:tc>
          <w:tcPr>
            <w:tcW w:w="100" w:type="dxa"/>
            <w:tcBorders>
              <w:top w:val="nil"/>
              <w:left w:val="nil"/>
              <w:bottom w:val="nil"/>
              <w:right w:val="nil"/>
            </w:tcBorders>
            <w:shd w:val="clear" w:color="auto" w:fill="auto"/>
            <w:noWrap/>
            <w:vAlign w:val="bottom"/>
            <w:hideMark/>
          </w:tcPr>
          <w:p w14:paraId="43AF3EA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5031CD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(3,857)</w:t>
            </w:r>
          </w:p>
        </w:tc>
        <w:tc>
          <w:tcPr>
            <w:tcW w:w="86" w:type="dxa"/>
            <w:tcBorders>
              <w:top w:val="nil"/>
              <w:left w:val="nil"/>
              <w:bottom w:val="nil"/>
              <w:right w:val="nil"/>
            </w:tcBorders>
            <w:shd w:val="clear" w:color="auto" w:fill="auto"/>
            <w:noWrap/>
            <w:vAlign w:val="bottom"/>
            <w:hideMark/>
          </w:tcPr>
          <w:p w14:paraId="5376BA0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CCB686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(10,023)</w:t>
            </w:r>
          </w:p>
        </w:tc>
        <w:tc>
          <w:tcPr>
            <w:tcW w:w="100" w:type="dxa"/>
            <w:tcBorders>
              <w:top w:val="nil"/>
              <w:left w:val="nil"/>
              <w:bottom w:val="nil"/>
              <w:right w:val="nil"/>
            </w:tcBorders>
            <w:shd w:val="clear" w:color="auto" w:fill="auto"/>
            <w:noWrap/>
            <w:vAlign w:val="bottom"/>
            <w:hideMark/>
          </w:tcPr>
          <w:p w14:paraId="7271D4D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3FE511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(12,292)</w:t>
            </w:r>
          </w:p>
        </w:tc>
      </w:tr>
      <w:tr w:rsidR="004A31B2" w:rsidRPr="004A31B2" w14:paraId="7A7E7D53" w14:textId="77777777" w:rsidTr="004A31B2">
        <w:trPr>
          <w:trHeight w:val="300"/>
        </w:trPr>
        <w:tc>
          <w:tcPr>
            <w:tcW w:w="3560" w:type="dxa"/>
            <w:tcBorders>
              <w:top w:val="nil"/>
              <w:left w:val="nil"/>
              <w:bottom w:val="nil"/>
              <w:right w:val="nil"/>
            </w:tcBorders>
            <w:shd w:val="clear" w:color="auto" w:fill="auto"/>
            <w:noWrap/>
            <w:vAlign w:val="bottom"/>
            <w:hideMark/>
          </w:tcPr>
          <w:p w14:paraId="594DD31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Common stock cash dividends paid</w:t>
            </w:r>
          </w:p>
        </w:tc>
        <w:tc>
          <w:tcPr>
            <w:tcW w:w="1100" w:type="dxa"/>
            <w:tcBorders>
              <w:top w:val="nil"/>
              <w:left w:val="nil"/>
              <w:bottom w:val="nil"/>
              <w:right w:val="nil"/>
            </w:tcBorders>
            <w:shd w:val="clear" w:color="auto" w:fill="auto"/>
            <w:noWrap/>
            <w:vAlign w:val="bottom"/>
            <w:hideMark/>
          </w:tcPr>
          <w:p w14:paraId="19A8B4A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(3,012)</w:t>
            </w:r>
          </w:p>
        </w:tc>
        <w:tc>
          <w:tcPr>
            <w:tcW w:w="100" w:type="dxa"/>
            <w:tcBorders>
              <w:top w:val="nil"/>
              <w:left w:val="nil"/>
              <w:bottom w:val="nil"/>
              <w:right w:val="nil"/>
            </w:tcBorders>
            <w:shd w:val="clear" w:color="auto" w:fill="auto"/>
            <w:noWrap/>
            <w:vAlign w:val="bottom"/>
            <w:hideMark/>
          </w:tcPr>
          <w:p w14:paraId="782788E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FBC6AD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(2,842)</w:t>
            </w:r>
          </w:p>
        </w:tc>
        <w:tc>
          <w:tcPr>
            <w:tcW w:w="86" w:type="dxa"/>
            <w:tcBorders>
              <w:top w:val="nil"/>
              <w:left w:val="nil"/>
              <w:bottom w:val="nil"/>
              <w:right w:val="nil"/>
            </w:tcBorders>
            <w:shd w:val="clear" w:color="auto" w:fill="auto"/>
            <w:noWrap/>
            <w:vAlign w:val="bottom"/>
            <w:hideMark/>
          </w:tcPr>
          <w:p w14:paraId="1A5AF73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ECA0B2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(8,836)</w:t>
            </w:r>
          </w:p>
        </w:tc>
        <w:tc>
          <w:tcPr>
            <w:tcW w:w="100" w:type="dxa"/>
            <w:tcBorders>
              <w:top w:val="nil"/>
              <w:left w:val="nil"/>
              <w:bottom w:val="nil"/>
              <w:right w:val="nil"/>
            </w:tcBorders>
            <w:shd w:val="clear" w:color="auto" w:fill="auto"/>
            <w:noWrap/>
            <w:vAlign w:val="bottom"/>
            <w:hideMark/>
          </w:tcPr>
          <w:p w14:paraId="181A0C9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A62C72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(8,185)</w:t>
            </w:r>
          </w:p>
        </w:tc>
      </w:tr>
      <w:tr w:rsidR="004A31B2" w:rsidRPr="004A31B2" w14:paraId="5E055E66" w14:textId="77777777" w:rsidTr="004A31B2">
        <w:trPr>
          <w:trHeight w:val="300"/>
        </w:trPr>
        <w:tc>
          <w:tcPr>
            <w:tcW w:w="3560" w:type="dxa"/>
            <w:tcBorders>
              <w:top w:val="nil"/>
              <w:left w:val="nil"/>
              <w:bottom w:val="single" w:sz="4" w:space="0" w:color="auto"/>
              <w:right w:val="nil"/>
            </w:tcBorders>
            <w:shd w:val="clear" w:color="auto" w:fill="auto"/>
            <w:vAlign w:val="bottom"/>
            <w:hideMark/>
          </w:tcPr>
          <w:p w14:paraId="619AE3C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Other</w:t>
            </w:r>
          </w:p>
        </w:tc>
        <w:tc>
          <w:tcPr>
            <w:tcW w:w="1100" w:type="dxa"/>
            <w:tcBorders>
              <w:top w:val="nil"/>
              <w:left w:val="nil"/>
              <w:bottom w:val="single" w:sz="4" w:space="0" w:color="auto"/>
              <w:right w:val="nil"/>
            </w:tcBorders>
            <w:shd w:val="clear" w:color="auto" w:fill="auto"/>
            <w:noWrap/>
            <w:vAlign w:val="bottom"/>
            <w:hideMark/>
          </w:tcPr>
          <w:p w14:paraId="0E20D7E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(375)</w:t>
            </w:r>
          </w:p>
        </w:tc>
        <w:tc>
          <w:tcPr>
            <w:tcW w:w="100" w:type="dxa"/>
            <w:tcBorders>
              <w:top w:val="nil"/>
              <w:left w:val="nil"/>
              <w:bottom w:val="nil"/>
              <w:right w:val="nil"/>
            </w:tcBorders>
            <w:shd w:val="clear" w:color="auto" w:fill="auto"/>
            <w:noWrap/>
            <w:vAlign w:val="bottom"/>
            <w:hideMark/>
          </w:tcPr>
          <w:p w14:paraId="1D07A2D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48FFF25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(123)</w:t>
            </w:r>
          </w:p>
        </w:tc>
        <w:tc>
          <w:tcPr>
            <w:tcW w:w="86" w:type="dxa"/>
            <w:tcBorders>
              <w:top w:val="nil"/>
              <w:left w:val="nil"/>
              <w:bottom w:val="nil"/>
              <w:right w:val="nil"/>
            </w:tcBorders>
            <w:shd w:val="clear" w:color="auto" w:fill="auto"/>
            <w:noWrap/>
            <w:vAlign w:val="bottom"/>
            <w:hideMark/>
          </w:tcPr>
          <w:p w14:paraId="1E00EFB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4F804F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(175)</w:t>
            </w:r>
          </w:p>
        </w:tc>
        <w:tc>
          <w:tcPr>
            <w:tcW w:w="100" w:type="dxa"/>
            <w:tcBorders>
              <w:top w:val="nil"/>
              <w:left w:val="nil"/>
              <w:bottom w:val="nil"/>
              <w:right w:val="nil"/>
            </w:tcBorders>
            <w:shd w:val="clear" w:color="auto" w:fill="auto"/>
            <w:noWrap/>
            <w:vAlign w:val="bottom"/>
            <w:hideMark/>
          </w:tcPr>
          <w:p w14:paraId="59E40D6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1CE37B7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(366)</w:t>
            </w:r>
          </w:p>
        </w:tc>
      </w:tr>
      <w:tr w:rsidR="004A31B2" w:rsidRPr="004A31B2" w14:paraId="789C69D7" w14:textId="77777777" w:rsidTr="004A31B2">
        <w:trPr>
          <w:trHeight w:val="600"/>
        </w:trPr>
        <w:tc>
          <w:tcPr>
            <w:tcW w:w="3560" w:type="dxa"/>
            <w:tcBorders>
              <w:top w:val="nil"/>
              <w:left w:val="nil"/>
              <w:bottom w:val="single" w:sz="4" w:space="0" w:color="auto"/>
              <w:right w:val="nil"/>
            </w:tcBorders>
            <w:shd w:val="clear" w:color="auto" w:fill="auto"/>
            <w:vAlign w:val="bottom"/>
            <w:hideMark/>
          </w:tcPr>
          <w:p w14:paraId="0F034FC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Net cash from (used in)</w:t>
            </w:r>
            <w:r w:rsidRPr="004A31B2">
              <w:rPr>
                <w:rFonts w:ascii="Segoe UI" w:eastAsia="Times New Roman" w:hAnsi="Segoe UI" w:cs="Segoe UI"/>
                <w:color w:val="666666"/>
                <w:sz w:val="20"/>
                <w:szCs w:val="20"/>
              </w:rPr>
              <w:br/>
              <w:t xml:space="preserve">               financing</w:t>
            </w:r>
          </w:p>
        </w:tc>
        <w:tc>
          <w:tcPr>
            <w:tcW w:w="1100" w:type="dxa"/>
            <w:tcBorders>
              <w:top w:val="nil"/>
              <w:left w:val="nil"/>
              <w:bottom w:val="single" w:sz="4" w:space="0" w:color="auto"/>
              <w:right w:val="nil"/>
            </w:tcBorders>
            <w:shd w:val="clear" w:color="auto" w:fill="auto"/>
            <w:noWrap/>
            <w:vAlign w:val="bottom"/>
            <w:hideMark/>
          </w:tcPr>
          <w:p w14:paraId="0D18BEF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(6,236)</w:t>
            </w:r>
          </w:p>
        </w:tc>
        <w:tc>
          <w:tcPr>
            <w:tcW w:w="100" w:type="dxa"/>
            <w:tcBorders>
              <w:top w:val="nil"/>
              <w:left w:val="nil"/>
              <w:bottom w:val="nil"/>
              <w:right w:val="nil"/>
            </w:tcBorders>
            <w:shd w:val="clear" w:color="auto" w:fill="auto"/>
            <w:noWrap/>
            <w:vAlign w:val="bottom"/>
            <w:hideMark/>
          </w:tcPr>
          <w:p w14:paraId="0962E79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25C62B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(4,916)</w:t>
            </w:r>
          </w:p>
        </w:tc>
        <w:tc>
          <w:tcPr>
            <w:tcW w:w="86" w:type="dxa"/>
            <w:tcBorders>
              <w:top w:val="nil"/>
              <w:left w:val="nil"/>
              <w:bottom w:val="nil"/>
              <w:right w:val="nil"/>
            </w:tcBorders>
            <w:shd w:val="clear" w:color="auto" w:fill="auto"/>
            <w:noWrap/>
            <w:vAlign w:val="bottom"/>
            <w:hideMark/>
          </w:tcPr>
          <w:p w14:paraId="1D445A9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254A86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11,109 </w:t>
            </w:r>
          </w:p>
        </w:tc>
        <w:tc>
          <w:tcPr>
            <w:tcW w:w="100" w:type="dxa"/>
            <w:tcBorders>
              <w:top w:val="nil"/>
              <w:left w:val="nil"/>
              <w:bottom w:val="nil"/>
              <w:right w:val="nil"/>
            </w:tcBorders>
            <w:shd w:val="clear" w:color="auto" w:fill="auto"/>
            <w:noWrap/>
            <w:vAlign w:val="bottom"/>
            <w:hideMark/>
          </w:tcPr>
          <w:p w14:paraId="64CD44D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1D5F81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(9,364)</w:t>
            </w:r>
          </w:p>
        </w:tc>
      </w:tr>
      <w:tr w:rsidR="004A31B2" w:rsidRPr="004A31B2" w14:paraId="17F6A552" w14:textId="77777777" w:rsidTr="004A31B2">
        <w:trPr>
          <w:trHeight w:val="300"/>
        </w:trPr>
        <w:tc>
          <w:tcPr>
            <w:tcW w:w="3560" w:type="dxa"/>
            <w:tcBorders>
              <w:top w:val="nil"/>
              <w:left w:val="nil"/>
              <w:bottom w:val="nil"/>
              <w:right w:val="nil"/>
            </w:tcBorders>
            <w:shd w:val="clear" w:color="auto" w:fill="auto"/>
            <w:noWrap/>
            <w:vAlign w:val="bottom"/>
            <w:hideMark/>
          </w:tcPr>
          <w:p w14:paraId="2395603B"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Investing</w:t>
            </w:r>
          </w:p>
        </w:tc>
        <w:tc>
          <w:tcPr>
            <w:tcW w:w="1100" w:type="dxa"/>
            <w:tcBorders>
              <w:top w:val="nil"/>
              <w:left w:val="nil"/>
              <w:bottom w:val="nil"/>
              <w:right w:val="nil"/>
            </w:tcBorders>
            <w:shd w:val="clear" w:color="auto" w:fill="auto"/>
            <w:noWrap/>
            <w:vAlign w:val="bottom"/>
            <w:hideMark/>
          </w:tcPr>
          <w:p w14:paraId="34998C7A"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auto" w:fill="auto"/>
            <w:noWrap/>
            <w:vAlign w:val="bottom"/>
            <w:hideMark/>
          </w:tcPr>
          <w:p w14:paraId="01AF0462"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247D1D5" w14:textId="77777777" w:rsidR="004A31B2" w:rsidRPr="004A31B2" w:rsidRDefault="004A31B2" w:rsidP="004A31B2">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849B4FF"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EB1523D" w14:textId="77777777" w:rsidR="004A31B2" w:rsidRPr="004A31B2" w:rsidRDefault="004A31B2" w:rsidP="004A31B2">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43AC9918" w14:textId="77777777" w:rsidR="004A31B2" w:rsidRPr="004A31B2" w:rsidRDefault="004A31B2" w:rsidP="004A31B2">
            <w:pPr>
              <w:spacing w:after="0" w:line="240" w:lineRule="auto"/>
              <w:jc w:val="right"/>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F7A0AA1" w14:textId="77777777" w:rsidR="004A31B2" w:rsidRPr="004A31B2" w:rsidRDefault="004A31B2" w:rsidP="004A31B2">
            <w:pPr>
              <w:spacing w:after="0" w:line="240" w:lineRule="auto"/>
              <w:rPr>
                <w:rFonts w:ascii="Times New Roman" w:eastAsia="Times New Roman" w:hAnsi="Times New Roman"/>
                <w:sz w:val="20"/>
                <w:szCs w:val="20"/>
              </w:rPr>
            </w:pPr>
          </w:p>
        </w:tc>
      </w:tr>
      <w:tr w:rsidR="004A31B2" w:rsidRPr="004A31B2" w14:paraId="431322E5" w14:textId="77777777" w:rsidTr="004A31B2">
        <w:trPr>
          <w:trHeight w:val="600"/>
        </w:trPr>
        <w:tc>
          <w:tcPr>
            <w:tcW w:w="3560" w:type="dxa"/>
            <w:tcBorders>
              <w:top w:val="nil"/>
              <w:left w:val="nil"/>
              <w:bottom w:val="nil"/>
              <w:right w:val="nil"/>
            </w:tcBorders>
            <w:shd w:val="clear" w:color="auto" w:fill="auto"/>
            <w:vAlign w:val="bottom"/>
            <w:hideMark/>
          </w:tcPr>
          <w:p w14:paraId="6C3104A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Additions to property and equipment</w:t>
            </w:r>
          </w:p>
        </w:tc>
        <w:tc>
          <w:tcPr>
            <w:tcW w:w="1100" w:type="dxa"/>
            <w:tcBorders>
              <w:top w:val="nil"/>
              <w:left w:val="nil"/>
              <w:bottom w:val="nil"/>
              <w:right w:val="nil"/>
            </w:tcBorders>
            <w:shd w:val="clear" w:color="auto" w:fill="auto"/>
            <w:noWrap/>
            <w:vAlign w:val="bottom"/>
            <w:hideMark/>
          </w:tcPr>
          <w:p w14:paraId="2F8CF1B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(1,695)</w:t>
            </w:r>
          </w:p>
        </w:tc>
        <w:tc>
          <w:tcPr>
            <w:tcW w:w="100" w:type="dxa"/>
            <w:tcBorders>
              <w:top w:val="nil"/>
              <w:left w:val="nil"/>
              <w:bottom w:val="nil"/>
              <w:right w:val="nil"/>
            </w:tcBorders>
            <w:shd w:val="clear" w:color="auto" w:fill="auto"/>
            <w:noWrap/>
            <w:vAlign w:val="bottom"/>
            <w:hideMark/>
          </w:tcPr>
          <w:p w14:paraId="4D2181A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9778F6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(2,308)</w:t>
            </w:r>
          </w:p>
        </w:tc>
        <w:tc>
          <w:tcPr>
            <w:tcW w:w="86" w:type="dxa"/>
            <w:tcBorders>
              <w:top w:val="nil"/>
              <w:left w:val="nil"/>
              <w:bottom w:val="nil"/>
              <w:right w:val="nil"/>
            </w:tcBorders>
            <w:shd w:val="clear" w:color="auto" w:fill="auto"/>
            <w:noWrap/>
            <w:vAlign w:val="bottom"/>
            <w:hideMark/>
          </w:tcPr>
          <w:p w14:paraId="1AC6257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E96EF3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(5,846)</w:t>
            </w:r>
          </w:p>
        </w:tc>
        <w:tc>
          <w:tcPr>
            <w:tcW w:w="100" w:type="dxa"/>
            <w:tcBorders>
              <w:top w:val="nil"/>
              <w:left w:val="nil"/>
              <w:bottom w:val="nil"/>
              <w:right w:val="nil"/>
            </w:tcBorders>
            <w:shd w:val="clear" w:color="auto" w:fill="auto"/>
            <w:noWrap/>
            <w:vAlign w:val="bottom"/>
            <w:hideMark/>
          </w:tcPr>
          <w:p w14:paraId="3F62D27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D2FEFE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(5,688)</w:t>
            </w:r>
          </w:p>
        </w:tc>
      </w:tr>
      <w:tr w:rsidR="004A31B2" w:rsidRPr="004A31B2" w14:paraId="57FE187C" w14:textId="77777777" w:rsidTr="004A31B2">
        <w:trPr>
          <w:trHeight w:val="900"/>
        </w:trPr>
        <w:tc>
          <w:tcPr>
            <w:tcW w:w="3560" w:type="dxa"/>
            <w:tcBorders>
              <w:top w:val="nil"/>
              <w:left w:val="nil"/>
              <w:bottom w:val="nil"/>
              <w:right w:val="nil"/>
            </w:tcBorders>
            <w:shd w:val="clear" w:color="auto" w:fill="auto"/>
            <w:vAlign w:val="bottom"/>
            <w:hideMark/>
          </w:tcPr>
          <w:p w14:paraId="502E8AF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Acquisition of companies, net of</w:t>
            </w:r>
            <w:r w:rsidRPr="004A31B2">
              <w:rPr>
                <w:rFonts w:ascii="Segoe UI" w:eastAsia="Times New Roman" w:hAnsi="Segoe UI" w:cs="Segoe UI"/>
                <w:color w:val="666666"/>
                <w:sz w:val="20"/>
                <w:szCs w:val="20"/>
              </w:rPr>
              <w:br/>
              <w:t xml:space="preserve">   cash acquired, and purchases of</w:t>
            </w:r>
            <w:r w:rsidRPr="004A31B2">
              <w:rPr>
                <w:rFonts w:ascii="Segoe UI" w:eastAsia="Times New Roman" w:hAnsi="Segoe UI" w:cs="Segoe UI"/>
                <w:color w:val="666666"/>
                <w:sz w:val="20"/>
                <w:szCs w:val="20"/>
              </w:rPr>
              <w:br/>
              <w:t xml:space="preserve">   intangible and other assets</w:t>
            </w:r>
          </w:p>
        </w:tc>
        <w:tc>
          <w:tcPr>
            <w:tcW w:w="1100" w:type="dxa"/>
            <w:tcBorders>
              <w:top w:val="nil"/>
              <w:left w:val="nil"/>
              <w:bottom w:val="nil"/>
              <w:right w:val="nil"/>
            </w:tcBorders>
            <w:shd w:val="clear" w:color="auto" w:fill="auto"/>
            <w:noWrap/>
            <w:vAlign w:val="bottom"/>
            <w:hideMark/>
          </w:tcPr>
          <w:p w14:paraId="24956B5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(802)</w:t>
            </w:r>
          </w:p>
        </w:tc>
        <w:tc>
          <w:tcPr>
            <w:tcW w:w="100" w:type="dxa"/>
            <w:tcBorders>
              <w:top w:val="nil"/>
              <w:left w:val="nil"/>
              <w:bottom w:val="nil"/>
              <w:right w:val="nil"/>
            </w:tcBorders>
            <w:shd w:val="clear" w:color="auto" w:fill="auto"/>
            <w:noWrap/>
            <w:vAlign w:val="bottom"/>
            <w:hideMark/>
          </w:tcPr>
          <w:p w14:paraId="1344958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928D4C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(559)</w:t>
            </w:r>
          </w:p>
        </w:tc>
        <w:tc>
          <w:tcPr>
            <w:tcW w:w="86" w:type="dxa"/>
            <w:tcBorders>
              <w:top w:val="nil"/>
              <w:left w:val="nil"/>
              <w:bottom w:val="nil"/>
              <w:right w:val="nil"/>
            </w:tcBorders>
            <w:shd w:val="clear" w:color="auto" w:fill="auto"/>
            <w:noWrap/>
            <w:vAlign w:val="bottom"/>
            <w:hideMark/>
          </w:tcPr>
          <w:p w14:paraId="3E77986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D1DA30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(25,586)</w:t>
            </w:r>
          </w:p>
        </w:tc>
        <w:tc>
          <w:tcPr>
            <w:tcW w:w="100" w:type="dxa"/>
            <w:tcBorders>
              <w:top w:val="nil"/>
              <w:left w:val="nil"/>
              <w:bottom w:val="nil"/>
              <w:right w:val="nil"/>
            </w:tcBorders>
            <w:shd w:val="clear" w:color="auto" w:fill="auto"/>
            <w:noWrap/>
            <w:vAlign w:val="bottom"/>
            <w:hideMark/>
          </w:tcPr>
          <w:p w14:paraId="4503D23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EA4EBF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(1,330)</w:t>
            </w:r>
          </w:p>
        </w:tc>
      </w:tr>
      <w:tr w:rsidR="004A31B2" w:rsidRPr="004A31B2" w14:paraId="34BB6DE7" w14:textId="77777777" w:rsidTr="004A31B2">
        <w:trPr>
          <w:trHeight w:val="300"/>
        </w:trPr>
        <w:tc>
          <w:tcPr>
            <w:tcW w:w="3560" w:type="dxa"/>
            <w:tcBorders>
              <w:top w:val="nil"/>
              <w:left w:val="nil"/>
              <w:bottom w:val="nil"/>
              <w:right w:val="nil"/>
            </w:tcBorders>
            <w:shd w:val="clear" w:color="auto" w:fill="auto"/>
            <w:noWrap/>
            <w:vAlign w:val="bottom"/>
            <w:hideMark/>
          </w:tcPr>
          <w:p w14:paraId="49FE232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Purchases of investments</w:t>
            </w:r>
          </w:p>
        </w:tc>
        <w:tc>
          <w:tcPr>
            <w:tcW w:w="1100" w:type="dxa"/>
            <w:tcBorders>
              <w:top w:val="nil"/>
              <w:left w:val="nil"/>
              <w:bottom w:val="nil"/>
              <w:right w:val="nil"/>
            </w:tcBorders>
            <w:shd w:val="clear" w:color="auto" w:fill="auto"/>
            <w:noWrap/>
            <w:vAlign w:val="bottom"/>
            <w:hideMark/>
          </w:tcPr>
          <w:p w14:paraId="3596EA9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(43,918)</w:t>
            </w:r>
          </w:p>
        </w:tc>
        <w:tc>
          <w:tcPr>
            <w:tcW w:w="100" w:type="dxa"/>
            <w:tcBorders>
              <w:top w:val="nil"/>
              <w:left w:val="nil"/>
              <w:bottom w:val="nil"/>
              <w:right w:val="nil"/>
            </w:tcBorders>
            <w:shd w:val="clear" w:color="auto" w:fill="auto"/>
            <w:noWrap/>
            <w:vAlign w:val="bottom"/>
            <w:hideMark/>
          </w:tcPr>
          <w:p w14:paraId="79B2FD9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2B6ABE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(27,341)</w:t>
            </w:r>
          </w:p>
        </w:tc>
        <w:tc>
          <w:tcPr>
            <w:tcW w:w="86" w:type="dxa"/>
            <w:tcBorders>
              <w:top w:val="nil"/>
              <w:left w:val="nil"/>
              <w:bottom w:val="nil"/>
              <w:right w:val="nil"/>
            </w:tcBorders>
            <w:shd w:val="clear" w:color="auto" w:fill="auto"/>
            <w:noWrap/>
            <w:vAlign w:val="bottom"/>
            <w:hideMark/>
          </w:tcPr>
          <w:p w14:paraId="14ED52B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F8B579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(147,874)</w:t>
            </w:r>
          </w:p>
        </w:tc>
        <w:tc>
          <w:tcPr>
            <w:tcW w:w="100" w:type="dxa"/>
            <w:tcBorders>
              <w:top w:val="nil"/>
              <w:left w:val="nil"/>
              <w:bottom w:val="nil"/>
              <w:right w:val="nil"/>
            </w:tcBorders>
            <w:shd w:val="clear" w:color="auto" w:fill="auto"/>
            <w:noWrap/>
            <w:vAlign w:val="bottom"/>
            <w:hideMark/>
          </w:tcPr>
          <w:p w14:paraId="4FAB907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3D2455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(99,661)</w:t>
            </w:r>
          </w:p>
        </w:tc>
      </w:tr>
      <w:tr w:rsidR="004A31B2" w:rsidRPr="004A31B2" w14:paraId="376EEB32" w14:textId="77777777" w:rsidTr="004A31B2">
        <w:trPr>
          <w:trHeight w:val="300"/>
        </w:trPr>
        <w:tc>
          <w:tcPr>
            <w:tcW w:w="3560" w:type="dxa"/>
            <w:tcBorders>
              <w:top w:val="nil"/>
              <w:left w:val="nil"/>
              <w:bottom w:val="nil"/>
              <w:right w:val="nil"/>
            </w:tcBorders>
            <w:shd w:val="clear" w:color="auto" w:fill="auto"/>
            <w:noWrap/>
            <w:vAlign w:val="bottom"/>
            <w:hideMark/>
          </w:tcPr>
          <w:p w14:paraId="1574197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Maturities of investments</w:t>
            </w:r>
          </w:p>
        </w:tc>
        <w:tc>
          <w:tcPr>
            <w:tcW w:w="1100" w:type="dxa"/>
            <w:tcBorders>
              <w:top w:val="nil"/>
              <w:left w:val="nil"/>
              <w:bottom w:val="nil"/>
              <w:right w:val="nil"/>
            </w:tcBorders>
            <w:shd w:val="clear" w:color="auto" w:fill="auto"/>
            <w:noWrap/>
            <w:vAlign w:val="bottom"/>
            <w:hideMark/>
          </w:tcPr>
          <w:p w14:paraId="2201252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4,860 </w:t>
            </w:r>
          </w:p>
        </w:tc>
        <w:tc>
          <w:tcPr>
            <w:tcW w:w="100" w:type="dxa"/>
            <w:tcBorders>
              <w:top w:val="nil"/>
              <w:left w:val="nil"/>
              <w:bottom w:val="nil"/>
              <w:right w:val="nil"/>
            </w:tcBorders>
            <w:shd w:val="clear" w:color="auto" w:fill="auto"/>
            <w:noWrap/>
            <w:vAlign w:val="bottom"/>
            <w:hideMark/>
          </w:tcPr>
          <w:p w14:paraId="20FAEA8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550376E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5,192 </w:t>
            </w:r>
          </w:p>
        </w:tc>
        <w:tc>
          <w:tcPr>
            <w:tcW w:w="86" w:type="dxa"/>
            <w:tcBorders>
              <w:top w:val="nil"/>
              <w:left w:val="nil"/>
              <w:bottom w:val="nil"/>
              <w:right w:val="nil"/>
            </w:tcBorders>
            <w:shd w:val="clear" w:color="auto" w:fill="auto"/>
            <w:noWrap/>
            <w:vAlign w:val="bottom"/>
            <w:hideMark/>
          </w:tcPr>
          <w:p w14:paraId="00F5A1E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A5041C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22,234 </w:t>
            </w:r>
          </w:p>
        </w:tc>
        <w:tc>
          <w:tcPr>
            <w:tcW w:w="100" w:type="dxa"/>
            <w:tcBorders>
              <w:top w:val="nil"/>
              <w:left w:val="nil"/>
              <w:bottom w:val="nil"/>
              <w:right w:val="nil"/>
            </w:tcBorders>
            <w:shd w:val="clear" w:color="auto" w:fill="auto"/>
            <w:noWrap/>
            <w:vAlign w:val="bottom"/>
            <w:hideMark/>
          </w:tcPr>
          <w:p w14:paraId="23F75D1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63BBD1D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16,229 </w:t>
            </w:r>
          </w:p>
        </w:tc>
      </w:tr>
      <w:tr w:rsidR="004A31B2" w:rsidRPr="004A31B2" w14:paraId="403AE7CF" w14:textId="77777777" w:rsidTr="004A31B2">
        <w:trPr>
          <w:trHeight w:val="300"/>
        </w:trPr>
        <w:tc>
          <w:tcPr>
            <w:tcW w:w="3560" w:type="dxa"/>
            <w:tcBorders>
              <w:top w:val="nil"/>
              <w:left w:val="nil"/>
              <w:bottom w:val="nil"/>
              <w:right w:val="nil"/>
            </w:tcBorders>
            <w:shd w:val="clear" w:color="auto" w:fill="auto"/>
            <w:noWrap/>
            <w:vAlign w:val="bottom"/>
            <w:hideMark/>
          </w:tcPr>
          <w:p w14:paraId="3541A3D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Sales of investments</w:t>
            </w:r>
          </w:p>
        </w:tc>
        <w:tc>
          <w:tcPr>
            <w:tcW w:w="1100" w:type="dxa"/>
            <w:tcBorders>
              <w:top w:val="nil"/>
              <w:left w:val="nil"/>
              <w:bottom w:val="nil"/>
              <w:right w:val="nil"/>
            </w:tcBorders>
            <w:shd w:val="clear" w:color="auto" w:fill="auto"/>
            <w:noWrap/>
            <w:vAlign w:val="bottom"/>
            <w:hideMark/>
          </w:tcPr>
          <w:p w14:paraId="3236942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36,444 </w:t>
            </w:r>
          </w:p>
        </w:tc>
        <w:tc>
          <w:tcPr>
            <w:tcW w:w="100" w:type="dxa"/>
            <w:tcBorders>
              <w:top w:val="nil"/>
              <w:left w:val="nil"/>
              <w:bottom w:val="nil"/>
              <w:right w:val="nil"/>
            </w:tcBorders>
            <w:shd w:val="clear" w:color="auto" w:fill="auto"/>
            <w:noWrap/>
            <w:vAlign w:val="bottom"/>
            <w:hideMark/>
          </w:tcPr>
          <w:p w14:paraId="72DE15A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4CF162B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19,599 </w:t>
            </w:r>
          </w:p>
        </w:tc>
        <w:tc>
          <w:tcPr>
            <w:tcW w:w="86" w:type="dxa"/>
            <w:tcBorders>
              <w:top w:val="nil"/>
              <w:left w:val="nil"/>
              <w:bottom w:val="nil"/>
              <w:right w:val="nil"/>
            </w:tcBorders>
            <w:shd w:val="clear" w:color="auto" w:fill="auto"/>
            <w:noWrap/>
            <w:vAlign w:val="bottom"/>
            <w:hideMark/>
          </w:tcPr>
          <w:p w14:paraId="6364BF0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B0234E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117,754 </w:t>
            </w:r>
          </w:p>
        </w:tc>
        <w:tc>
          <w:tcPr>
            <w:tcW w:w="100" w:type="dxa"/>
            <w:tcBorders>
              <w:top w:val="nil"/>
              <w:left w:val="nil"/>
              <w:bottom w:val="nil"/>
              <w:right w:val="nil"/>
            </w:tcBorders>
            <w:shd w:val="clear" w:color="auto" w:fill="auto"/>
            <w:noWrap/>
            <w:vAlign w:val="bottom"/>
            <w:hideMark/>
          </w:tcPr>
          <w:p w14:paraId="0EB38FC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19A0932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76,292 </w:t>
            </w:r>
          </w:p>
        </w:tc>
      </w:tr>
      <w:tr w:rsidR="004A31B2" w:rsidRPr="004A31B2" w14:paraId="69A03AC8" w14:textId="77777777" w:rsidTr="004A31B2">
        <w:trPr>
          <w:trHeight w:val="300"/>
        </w:trPr>
        <w:tc>
          <w:tcPr>
            <w:tcW w:w="3560" w:type="dxa"/>
            <w:tcBorders>
              <w:top w:val="nil"/>
              <w:left w:val="nil"/>
              <w:bottom w:val="single" w:sz="4" w:space="0" w:color="auto"/>
              <w:right w:val="nil"/>
            </w:tcBorders>
            <w:shd w:val="clear" w:color="auto" w:fill="auto"/>
            <w:noWrap/>
            <w:vAlign w:val="bottom"/>
            <w:hideMark/>
          </w:tcPr>
          <w:p w14:paraId="2EDBCE7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Securities lending payable</w:t>
            </w:r>
          </w:p>
        </w:tc>
        <w:tc>
          <w:tcPr>
            <w:tcW w:w="1100" w:type="dxa"/>
            <w:tcBorders>
              <w:top w:val="nil"/>
              <w:left w:val="nil"/>
              <w:bottom w:val="single" w:sz="4" w:space="0" w:color="auto"/>
              <w:right w:val="nil"/>
            </w:tcBorders>
            <w:shd w:val="clear" w:color="auto" w:fill="auto"/>
            <w:noWrap/>
            <w:vAlign w:val="bottom"/>
            <w:hideMark/>
          </w:tcPr>
          <w:p w14:paraId="418C4BA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(1,080)</w:t>
            </w:r>
          </w:p>
        </w:tc>
        <w:tc>
          <w:tcPr>
            <w:tcW w:w="100" w:type="dxa"/>
            <w:tcBorders>
              <w:top w:val="nil"/>
              <w:left w:val="nil"/>
              <w:bottom w:val="nil"/>
              <w:right w:val="nil"/>
            </w:tcBorders>
            <w:shd w:val="clear" w:color="auto" w:fill="auto"/>
            <w:noWrap/>
            <w:vAlign w:val="bottom"/>
            <w:hideMark/>
          </w:tcPr>
          <w:p w14:paraId="3E3FF84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72479C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(66)</w:t>
            </w:r>
          </w:p>
        </w:tc>
        <w:tc>
          <w:tcPr>
            <w:tcW w:w="86" w:type="dxa"/>
            <w:tcBorders>
              <w:top w:val="nil"/>
              <w:left w:val="nil"/>
              <w:bottom w:val="nil"/>
              <w:right w:val="nil"/>
            </w:tcBorders>
            <w:shd w:val="clear" w:color="auto" w:fill="auto"/>
            <w:noWrap/>
            <w:vAlign w:val="bottom"/>
            <w:hideMark/>
          </w:tcPr>
          <w:p w14:paraId="0D5FE9A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392C3B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(94)</w:t>
            </w:r>
          </w:p>
        </w:tc>
        <w:tc>
          <w:tcPr>
            <w:tcW w:w="100" w:type="dxa"/>
            <w:tcBorders>
              <w:top w:val="nil"/>
              <w:left w:val="nil"/>
              <w:bottom w:val="nil"/>
              <w:right w:val="nil"/>
            </w:tcBorders>
            <w:shd w:val="clear" w:color="auto" w:fill="auto"/>
            <w:noWrap/>
            <w:vAlign w:val="bottom"/>
            <w:hideMark/>
          </w:tcPr>
          <w:p w14:paraId="206C2C5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0EDB0B0"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281 </w:t>
            </w:r>
          </w:p>
        </w:tc>
      </w:tr>
      <w:tr w:rsidR="004A31B2" w:rsidRPr="004A31B2" w14:paraId="3820B874" w14:textId="77777777" w:rsidTr="004A31B2">
        <w:trPr>
          <w:trHeight w:val="300"/>
        </w:trPr>
        <w:tc>
          <w:tcPr>
            <w:tcW w:w="3560" w:type="dxa"/>
            <w:tcBorders>
              <w:top w:val="nil"/>
              <w:left w:val="nil"/>
              <w:bottom w:val="single" w:sz="4" w:space="0" w:color="auto"/>
              <w:right w:val="nil"/>
            </w:tcBorders>
            <w:shd w:val="clear" w:color="auto" w:fill="auto"/>
            <w:vAlign w:val="bottom"/>
            <w:hideMark/>
          </w:tcPr>
          <w:p w14:paraId="42FC0BC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Net cash used in investing</w:t>
            </w:r>
          </w:p>
        </w:tc>
        <w:tc>
          <w:tcPr>
            <w:tcW w:w="1100" w:type="dxa"/>
            <w:tcBorders>
              <w:top w:val="nil"/>
              <w:left w:val="nil"/>
              <w:bottom w:val="single" w:sz="4" w:space="0" w:color="auto"/>
              <w:right w:val="nil"/>
            </w:tcBorders>
            <w:shd w:val="clear" w:color="auto" w:fill="auto"/>
            <w:noWrap/>
            <w:vAlign w:val="bottom"/>
            <w:hideMark/>
          </w:tcPr>
          <w:p w14:paraId="5A5BEA0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(6,191)</w:t>
            </w:r>
          </w:p>
        </w:tc>
        <w:tc>
          <w:tcPr>
            <w:tcW w:w="100" w:type="dxa"/>
            <w:tcBorders>
              <w:top w:val="nil"/>
              <w:left w:val="nil"/>
              <w:bottom w:val="nil"/>
              <w:right w:val="nil"/>
            </w:tcBorders>
            <w:shd w:val="clear" w:color="auto" w:fill="auto"/>
            <w:noWrap/>
            <w:vAlign w:val="bottom"/>
            <w:hideMark/>
          </w:tcPr>
          <w:p w14:paraId="132E764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787D145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(5,483)</w:t>
            </w:r>
          </w:p>
        </w:tc>
        <w:tc>
          <w:tcPr>
            <w:tcW w:w="86" w:type="dxa"/>
            <w:tcBorders>
              <w:top w:val="nil"/>
              <w:left w:val="nil"/>
              <w:bottom w:val="nil"/>
              <w:right w:val="nil"/>
            </w:tcBorders>
            <w:shd w:val="clear" w:color="auto" w:fill="auto"/>
            <w:noWrap/>
            <w:vAlign w:val="bottom"/>
            <w:hideMark/>
          </w:tcPr>
          <w:p w14:paraId="7181C8B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AFEB5A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(39,412)</w:t>
            </w:r>
          </w:p>
        </w:tc>
        <w:tc>
          <w:tcPr>
            <w:tcW w:w="100" w:type="dxa"/>
            <w:tcBorders>
              <w:top w:val="nil"/>
              <w:left w:val="nil"/>
              <w:bottom w:val="nil"/>
              <w:right w:val="nil"/>
            </w:tcBorders>
            <w:shd w:val="clear" w:color="auto" w:fill="auto"/>
            <w:noWrap/>
            <w:vAlign w:val="bottom"/>
            <w:hideMark/>
          </w:tcPr>
          <w:p w14:paraId="388AB98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3CFC5A4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(13,877)</w:t>
            </w:r>
          </w:p>
        </w:tc>
      </w:tr>
      <w:tr w:rsidR="004A31B2" w:rsidRPr="004A31B2" w14:paraId="66CC7FEE" w14:textId="77777777" w:rsidTr="004A31B2">
        <w:trPr>
          <w:trHeight w:val="600"/>
        </w:trPr>
        <w:tc>
          <w:tcPr>
            <w:tcW w:w="3560" w:type="dxa"/>
            <w:tcBorders>
              <w:top w:val="nil"/>
              <w:left w:val="nil"/>
              <w:bottom w:val="single" w:sz="4" w:space="0" w:color="auto"/>
              <w:right w:val="nil"/>
            </w:tcBorders>
            <w:shd w:val="clear" w:color="auto" w:fill="auto"/>
            <w:vAlign w:val="bottom"/>
            <w:hideMark/>
          </w:tcPr>
          <w:p w14:paraId="5A50FF6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Effect of foreign exchange rates on </w:t>
            </w:r>
            <w:r w:rsidRPr="004A31B2">
              <w:rPr>
                <w:rFonts w:ascii="Segoe UI" w:eastAsia="Times New Roman" w:hAnsi="Segoe UI" w:cs="Segoe UI"/>
                <w:color w:val="666666"/>
                <w:sz w:val="20"/>
                <w:szCs w:val="20"/>
              </w:rPr>
              <w:br/>
              <w:t xml:space="preserve">   cash and cash equivalents</w:t>
            </w:r>
          </w:p>
        </w:tc>
        <w:tc>
          <w:tcPr>
            <w:tcW w:w="1100" w:type="dxa"/>
            <w:tcBorders>
              <w:top w:val="nil"/>
              <w:left w:val="nil"/>
              <w:bottom w:val="single" w:sz="4" w:space="0" w:color="auto"/>
              <w:right w:val="nil"/>
            </w:tcBorders>
            <w:shd w:val="clear" w:color="auto" w:fill="auto"/>
            <w:noWrap/>
            <w:vAlign w:val="bottom"/>
            <w:hideMark/>
          </w:tcPr>
          <w:p w14:paraId="7061D96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12 </w:t>
            </w:r>
          </w:p>
        </w:tc>
        <w:tc>
          <w:tcPr>
            <w:tcW w:w="100" w:type="dxa"/>
            <w:tcBorders>
              <w:top w:val="nil"/>
              <w:left w:val="nil"/>
              <w:bottom w:val="nil"/>
              <w:right w:val="nil"/>
            </w:tcBorders>
            <w:shd w:val="clear" w:color="auto" w:fill="auto"/>
            <w:noWrap/>
            <w:vAlign w:val="bottom"/>
            <w:hideMark/>
          </w:tcPr>
          <w:p w14:paraId="74DECC0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22458FE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 </w:t>
            </w:r>
          </w:p>
        </w:tc>
        <w:tc>
          <w:tcPr>
            <w:tcW w:w="86" w:type="dxa"/>
            <w:tcBorders>
              <w:top w:val="nil"/>
              <w:left w:val="nil"/>
              <w:bottom w:val="nil"/>
              <w:right w:val="nil"/>
            </w:tcBorders>
            <w:shd w:val="clear" w:color="auto" w:fill="auto"/>
            <w:noWrap/>
            <w:vAlign w:val="bottom"/>
            <w:hideMark/>
          </w:tcPr>
          <w:p w14:paraId="61AE00F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B679CC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4 </w:t>
            </w:r>
          </w:p>
        </w:tc>
        <w:tc>
          <w:tcPr>
            <w:tcW w:w="100" w:type="dxa"/>
            <w:tcBorders>
              <w:top w:val="nil"/>
              <w:left w:val="nil"/>
              <w:bottom w:val="nil"/>
              <w:right w:val="nil"/>
            </w:tcBorders>
            <w:shd w:val="clear" w:color="auto" w:fill="auto"/>
            <w:noWrap/>
            <w:vAlign w:val="bottom"/>
            <w:hideMark/>
          </w:tcPr>
          <w:p w14:paraId="00F58B9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66F8832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(45)</w:t>
            </w:r>
          </w:p>
        </w:tc>
      </w:tr>
      <w:tr w:rsidR="004A31B2" w:rsidRPr="004A31B2" w14:paraId="7C1BF6A0" w14:textId="77777777" w:rsidTr="004A31B2">
        <w:trPr>
          <w:trHeight w:val="600"/>
        </w:trPr>
        <w:tc>
          <w:tcPr>
            <w:tcW w:w="3560" w:type="dxa"/>
            <w:tcBorders>
              <w:top w:val="nil"/>
              <w:left w:val="nil"/>
              <w:bottom w:val="nil"/>
              <w:right w:val="nil"/>
            </w:tcBorders>
            <w:shd w:val="clear" w:color="auto" w:fill="auto"/>
            <w:vAlign w:val="bottom"/>
            <w:hideMark/>
          </w:tcPr>
          <w:p w14:paraId="4E54B01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Net change in cash and cash</w:t>
            </w:r>
            <w:r w:rsidRPr="004A31B2">
              <w:rPr>
                <w:rFonts w:ascii="Segoe UI" w:eastAsia="Times New Roman" w:hAnsi="Segoe UI" w:cs="Segoe UI"/>
                <w:color w:val="666666"/>
                <w:sz w:val="20"/>
                <w:szCs w:val="20"/>
              </w:rPr>
              <w:br/>
              <w:t xml:space="preserve">   equivalents</w:t>
            </w:r>
          </w:p>
        </w:tc>
        <w:tc>
          <w:tcPr>
            <w:tcW w:w="1100" w:type="dxa"/>
            <w:tcBorders>
              <w:top w:val="nil"/>
              <w:left w:val="nil"/>
              <w:bottom w:val="nil"/>
              <w:right w:val="nil"/>
            </w:tcBorders>
            <w:shd w:val="clear" w:color="auto" w:fill="auto"/>
            <w:noWrap/>
            <w:vAlign w:val="bottom"/>
            <w:hideMark/>
          </w:tcPr>
          <w:p w14:paraId="21F3578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(1,755)</w:t>
            </w:r>
          </w:p>
        </w:tc>
        <w:tc>
          <w:tcPr>
            <w:tcW w:w="100" w:type="dxa"/>
            <w:tcBorders>
              <w:top w:val="nil"/>
              <w:left w:val="nil"/>
              <w:bottom w:val="nil"/>
              <w:right w:val="nil"/>
            </w:tcBorders>
            <w:shd w:val="clear" w:color="auto" w:fill="auto"/>
            <w:noWrap/>
            <w:vAlign w:val="bottom"/>
            <w:hideMark/>
          </w:tcPr>
          <w:p w14:paraId="0F71268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02E04FD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(15)</w:t>
            </w:r>
          </w:p>
        </w:tc>
        <w:tc>
          <w:tcPr>
            <w:tcW w:w="86" w:type="dxa"/>
            <w:tcBorders>
              <w:top w:val="nil"/>
              <w:left w:val="nil"/>
              <w:bottom w:val="nil"/>
              <w:right w:val="nil"/>
            </w:tcBorders>
            <w:shd w:val="clear" w:color="auto" w:fill="auto"/>
            <w:noWrap/>
            <w:vAlign w:val="bottom"/>
            <w:hideMark/>
          </w:tcPr>
          <w:p w14:paraId="72634DB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6A9F75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203 </w:t>
            </w:r>
          </w:p>
        </w:tc>
        <w:tc>
          <w:tcPr>
            <w:tcW w:w="100" w:type="dxa"/>
            <w:tcBorders>
              <w:top w:val="nil"/>
              <w:left w:val="nil"/>
              <w:bottom w:val="nil"/>
              <w:right w:val="nil"/>
            </w:tcBorders>
            <w:shd w:val="clear" w:color="auto" w:fill="auto"/>
            <w:noWrap/>
            <w:vAlign w:val="bottom"/>
            <w:hideMark/>
          </w:tcPr>
          <w:p w14:paraId="2182D7D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nil"/>
              <w:right w:val="nil"/>
            </w:tcBorders>
            <w:shd w:val="clear" w:color="auto" w:fill="auto"/>
            <w:noWrap/>
            <w:vAlign w:val="bottom"/>
            <w:hideMark/>
          </w:tcPr>
          <w:p w14:paraId="339F2A0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1,575 </w:t>
            </w:r>
          </w:p>
        </w:tc>
      </w:tr>
      <w:tr w:rsidR="004A31B2" w:rsidRPr="004A31B2" w14:paraId="6F05B2FF" w14:textId="77777777" w:rsidTr="004A31B2">
        <w:trPr>
          <w:trHeight w:val="600"/>
        </w:trPr>
        <w:tc>
          <w:tcPr>
            <w:tcW w:w="3560" w:type="dxa"/>
            <w:tcBorders>
              <w:top w:val="nil"/>
              <w:left w:val="nil"/>
              <w:bottom w:val="single" w:sz="4" w:space="0" w:color="auto"/>
              <w:right w:val="nil"/>
            </w:tcBorders>
            <w:shd w:val="clear" w:color="auto" w:fill="auto"/>
            <w:vAlign w:val="bottom"/>
            <w:hideMark/>
          </w:tcPr>
          <w:p w14:paraId="57D15F2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Cash and cash equivalents,</w:t>
            </w:r>
            <w:r w:rsidRPr="004A31B2">
              <w:rPr>
                <w:rFonts w:ascii="Segoe UI" w:eastAsia="Times New Roman" w:hAnsi="Segoe UI" w:cs="Segoe UI"/>
                <w:color w:val="666666"/>
                <w:sz w:val="20"/>
                <w:szCs w:val="20"/>
              </w:rPr>
              <w:br/>
              <w:t xml:space="preserve">   beginning of period</w:t>
            </w:r>
          </w:p>
        </w:tc>
        <w:tc>
          <w:tcPr>
            <w:tcW w:w="1100" w:type="dxa"/>
            <w:tcBorders>
              <w:top w:val="nil"/>
              <w:left w:val="nil"/>
              <w:bottom w:val="single" w:sz="4" w:space="0" w:color="auto"/>
              <w:right w:val="nil"/>
            </w:tcBorders>
            <w:shd w:val="clear" w:color="auto" w:fill="auto"/>
            <w:noWrap/>
            <w:vAlign w:val="bottom"/>
            <w:hideMark/>
          </w:tcPr>
          <w:p w14:paraId="163BF49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8,468 </w:t>
            </w:r>
          </w:p>
        </w:tc>
        <w:tc>
          <w:tcPr>
            <w:tcW w:w="100" w:type="dxa"/>
            <w:tcBorders>
              <w:top w:val="nil"/>
              <w:left w:val="nil"/>
              <w:bottom w:val="nil"/>
              <w:right w:val="nil"/>
            </w:tcBorders>
            <w:shd w:val="clear" w:color="auto" w:fill="auto"/>
            <w:noWrap/>
            <w:vAlign w:val="bottom"/>
            <w:hideMark/>
          </w:tcPr>
          <w:p w14:paraId="15224E9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602EEB7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7,185 </w:t>
            </w:r>
          </w:p>
        </w:tc>
        <w:tc>
          <w:tcPr>
            <w:tcW w:w="86" w:type="dxa"/>
            <w:tcBorders>
              <w:top w:val="nil"/>
              <w:left w:val="nil"/>
              <w:bottom w:val="nil"/>
              <w:right w:val="nil"/>
            </w:tcBorders>
            <w:shd w:val="clear" w:color="auto" w:fill="auto"/>
            <w:noWrap/>
            <w:vAlign w:val="bottom"/>
            <w:hideMark/>
          </w:tcPr>
          <w:p w14:paraId="030C664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DBBE1F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6,510 </w:t>
            </w:r>
          </w:p>
        </w:tc>
        <w:tc>
          <w:tcPr>
            <w:tcW w:w="100" w:type="dxa"/>
            <w:tcBorders>
              <w:top w:val="nil"/>
              <w:left w:val="nil"/>
              <w:bottom w:val="nil"/>
              <w:right w:val="nil"/>
            </w:tcBorders>
            <w:shd w:val="clear" w:color="auto" w:fill="auto"/>
            <w:noWrap/>
            <w:vAlign w:val="bottom"/>
            <w:hideMark/>
          </w:tcPr>
          <w:p w14:paraId="7BD9BC5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4" w:space="0" w:color="auto"/>
              <w:right w:val="nil"/>
            </w:tcBorders>
            <w:shd w:val="clear" w:color="auto" w:fill="auto"/>
            <w:noWrap/>
            <w:vAlign w:val="bottom"/>
            <w:hideMark/>
          </w:tcPr>
          <w:p w14:paraId="6B1A679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5,595 </w:t>
            </w:r>
          </w:p>
        </w:tc>
      </w:tr>
      <w:tr w:rsidR="004A31B2" w:rsidRPr="004A31B2" w14:paraId="3045AFFA" w14:textId="77777777" w:rsidTr="004A31B2">
        <w:trPr>
          <w:trHeight w:val="600"/>
        </w:trPr>
        <w:tc>
          <w:tcPr>
            <w:tcW w:w="3560" w:type="dxa"/>
            <w:tcBorders>
              <w:top w:val="nil"/>
              <w:left w:val="nil"/>
              <w:bottom w:val="nil"/>
              <w:right w:val="nil"/>
            </w:tcBorders>
            <w:shd w:val="clear" w:color="auto" w:fill="auto"/>
            <w:vAlign w:val="bottom"/>
            <w:hideMark/>
          </w:tcPr>
          <w:p w14:paraId="48B0CD0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Cash and cash equivalents, end of</w:t>
            </w:r>
            <w:r w:rsidRPr="004A31B2">
              <w:rPr>
                <w:rFonts w:ascii="Segoe UI" w:eastAsia="Times New Roman" w:hAnsi="Segoe UI" w:cs="Segoe UI"/>
                <w:color w:val="666666"/>
                <w:sz w:val="20"/>
                <w:szCs w:val="20"/>
              </w:rPr>
              <w:br/>
              <w:t xml:space="preserve">   period</w:t>
            </w:r>
          </w:p>
        </w:tc>
        <w:tc>
          <w:tcPr>
            <w:tcW w:w="1100" w:type="dxa"/>
            <w:tcBorders>
              <w:top w:val="nil"/>
              <w:left w:val="nil"/>
              <w:bottom w:val="single" w:sz="8" w:space="0" w:color="auto"/>
              <w:right w:val="nil"/>
            </w:tcBorders>
            <w:shd w:val="clear" w:color="auto" w:fill="auto"/>
            <w:noWrap/>
            <w:vAlign w:val="bottom"/>
            <w:hideMark/>
          </w:tcPr>
          <w:p w14:paraId="41B78BF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$6,713 </w:t>
            </w:r>
          </w:p>
        </w:tc>
        <w:tc>
          <w:tcPr>
            <w:tcW w:w="100" w:type="dxa"/>
            <w:tcBorders>
              <w:top w:val="nil"/>
              <w:left w:val="nil"/>
              <w:bottom w:val="nil"/>
              <w:right w:val="nil"/>
            </w:tcBorders>
            <w:shd w:val="clear" w:color="auto" w:fill="auto"/>
            <w:noWrap/>
            <w:vAlign w:val="bottom"/>
            <w:hideMark/>
          </w:tcPr>
          <w:p w14:paraId="39827D6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5E124C2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$7,170 </w:t>
            </w:r>
          </w:p>
        </w:tc>
        <w:tc>
          <w:tcPr>
            <w:tcW w:w="86" w:type="dxa"/>
            <w:tcBorders>
              <w:top w:val="nil"/>
              <w:left w:val="nil"/>
              <w:bottom w:val="nil"/>
              <w:right w:val="nil"/>
            </w:tcBorders>
            <w:shd w:val="clear" w:color="auto" w:fill="auto"/>
            <w:noWrap/>
            <w:vAlign w:val="bottom"/>
            <w:hideMark/>
          </w:tcPr>
          <w:p w14:paraId="7F00960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5487D81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$6,713 </w:t>
            </w:r>
          </w:p>
        </w:tc>
        <w:tc>
          <w:tcPr>
            <w:tcW w:w="100" w:type="dxa"/>
            <w:tcBorders>
              <w:top w:val="nil"/>
              <w:left w:val="nil"/>
              <w:bottom w:val="nil"/>
              <w:right w:val="nil"/>
            </w:tcBorders>
            <w:shd w:val="clear" w:color="auto" w:fill="auto"/>
            <w:noWrap/>
            <w:vAlign w:val="bottom"/>
            <w:hideMark/>
          </w:tcPr>
          <w:p w14:paraId="7A7AC77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p>
        </w:tc>
        <w:tc>
          <w:tcPr>
            <w:tcW w:w="960" w:type="dxa"/>
            <w:tcBorders>
              <w:top w:val="nil"/>
              <w:left w:val="nil"/>
              <w:bottom w:val="single" w:sz="8" w:space="0" w:color="auto"/>
              <w:right w:val="nil"/>
            </w:tcBorders>
            <w:shd w:val="clear" w:color="auto" w:fill="auto"/>
            <w:noWrap/>
            <w:vAlign w:val="bottom"/>
            <w:hideMark/>
          </w:tcPr>
          <w:p w14:paraId="5342445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$7,170 </w:t>
            </w:r>
          </w:p>
        </w:tc>
      </w:tr>
    </w:tbl>
    <w:p w14:paraId="0BF9A1E3" w14:textId="44E0380F" w:rsidR="004A31B2" w:rsidRDefault="004A31B2" w:rsidP="00314DAE">
      <w:pPr>
        <w:pStyle w:val="NoSpacing"/>
        <w:spacing w:before="240" w:after="240" w:line="276" w:lineRule="auto"/>
        <w:rPr>
          <w:rFonts w:ascii="Segoe UI" w:hAnsi="Segoe UI" w:cs="Segoe UI"/>
          <w:color w:val="666666"/>
          <w:sz w:val="20"/>
          <w:szCs w:val="20"/>
        </w:rPr>
      </w:pPr>
    </w:p>
    <w:p w14:paraId="68D37628" w14:textId="77777777" w:rsidR="004A31B2" w:rsidRDefault="004A31B2">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020" w:type="dxa"/>
        <w:tblLook w:val="04A0" w:firstRow="1" w:lastRow="0" w:firstColumn="1" w:lastColumn="0" w:noHBand="0" w:noVBand="1"/>
      </w:tblPr>
      <w:tblGrid>
        <w:gridCol w:w="3400"/>
        <w:gridCol w:w="1100"/>
        <w:gridCol w:w="272"/>
        <w:gridCol w:w="960"/>
        <w:gridCol w:w="272"/>
        <w:gridCol w:w="1100"/>
        <w:gridCol w:w="272"/>
        <w:gridCol w:w="960"/>
      </w:tblGrid>
      <w:tr w:rsidR="004A31B2" w:rsidRPr="004A31B2" w14:paraId="731FB24E" w14:textId="77777777" w:rsidTr="004A31B2">
        <w:trPr>
          <w:trHeight w:val="300"/>
        </w:trPr>
        <w:tc>
          <w:tcPr>
            <w:tcW w:w="3400" w:type="dxa"/>
            <w:tcBorders>
              <w:top w:val="nil"/>
              <w:left w:val="nil"/>
              <w:bottom w:val="nil"/>
              <w:right w:val="nil"/>
            </w:tcBorders>
            <w:shd w:val="clear" w:color="000000" w:fill="FFFFFF"/>
            <w:noWrap/>
            <w:vAlign w:val="bottom"/>
            <w:hideMark/>
          </w:tcPr>
          <w:p w14:paraId="6B471ABD"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MICROSOFT CORPORATION</w:t>
            </w:r>
          </w:p>
        </w:tc>
        <w:tc>
          <w:tcPr>
            <w:tcW w:w="1100" w:type="dxa"/>
            <w:tcBorders>
              <w:top w:val="nil"/>
              <w:left w:val="nil"/>
              <w:bottom w:val="nil"/>
              <w:right w:val="nil"/>
            </w:tcBorders>
            <w:shd w:val="clear" w:color="000000" w:fill="FFFFFF"/>
            <w:noWrap/>
            <w:vAlign w:val="bottom"/>
            <w:hideMark/>
          </w:tcPr>
          <w:p w14:paraId="21D9ABD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36A20F3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022EFFC9"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6017821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00E6451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1CF5253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03A1D97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3E2877F0" w14:textId="77777777" w:rsidTr="004A31B2">
        <w:trPr>
          <w:trHeight w:val="300"/>
        </w:trPr>
        <w:tc>
          <w:tcPr>
            <w:tcW w:w="3400" w:type="dxa"/>
            <w:tcBorders>
              <w:top w:val="nil"/>
              <w:left w:val="nil"/>
              <w:bottom w:val="nil"/>
              <w:right w:val="nil"/>
            </w:tcBorders>
            <w:shd w:val="clear" w:color="000000" w:fill="FFFFFF"/>
            <w:noWrap/>
            <w:vAlign w:val="bottom"/>
            <w:hideMark/>
          </w:tcPr>
          <w:p w14:paraId="22085243"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nil"/>
              <w:right w:val="nil"/>
            </w:tcBorders>
            <w:shd w:val="clear" w:color="000000" w:fill="FFFFFF"/>
            <w:noWrap/>
            <w:vAlign w:val="bottom"/>
            <w:hideMark/>
          </w:tcPr>
          <w:p w14:paraId="3448903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5ED1201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17C9D0B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3459416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5F2E80A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160A730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29EB2CF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321132F9" w14:textId="77777777" w:rsidTr="004A31B2">
        <w:trPr>
          <w:trHeight w:val="300"/>
        </w:trPr>
        <w:tc>
          <w:tcPr>
            <w:tcW w:w="8020" w:type="dxa"/>
            <w:gridSpan w:val="8"/>
            <w:tcBorders>
              <w:top w:val="nil"/>
              <w:left w:val="nil"/>
              <w:bottom w:val="nil"/>
              <w:right w:val="nil"/>
            </w:tcBorders>
            <w:shd w:val="clear" w:color="000000" w:fill="FFFFFF"/>
            <w:noWrap/>
            <w:vAlign w:val="bottom"/>
            <w:hideMark/>
          </w:tcPr>
          <w:p w14:paraId="318E1039"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SEGMENT REVENUE AND OPERATING INCOME (LOSS)</w:t>
            </w:r>
          </w:p>
        </w:tc>
      </w:tr>
      <w:tr w:rsidR="004A31B2" w:rsidRPr="004A31B2" w14:paraId="3DCF7B18" w14:textId="77777777" w:rsidTr="004A31B2">
        <w:trPr>
          <w:trHeight w:val="300"/>
        </w:trPr>
        <w:tc>
          <w:tcPr>
            <w:tcW w:w="8020" w:type="dxa"/>
            <w:gridSpan w:val="8"/>
            <w:tcBorders>
              <w:top w:val="nil"/>
              <w:left w:val="nil"/>
              <w:bottom w:val="nil"/>
              <w:right w:val="nil"/>
            </w:tcBorders>
            <w:shd w:val="clear" w:color="000000" w:fill="FFFFFF"/>
            <w:noWrap/>
            <w:vAlign w:val="bottom"/>
            <w:hideMark/>
          </w:tcPr>
          <w:p w14:paraId="58DD533F"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(In </w:t>
            </w:r>
            <w:proofErr w:type="gramStart"/>
            <w:r w:rsidRPr="004A31B2">
              <w:rPr>
                <w:rFonts w:ascii="Segoe UI" w:eastAsia="Times New Roman" w:hAnsi="Segoe UI" w:cs="Segoe UI"/>
                <w:color w:val="666666"/>
                <w:sz w:val="20"/>
                <w:szCs w:val="20"/>
              </w:rPr>
              <w:t>millions)(</w:t>
            </w:r>
            <w:proofErr w:type="gramEnd"/>
            <w:r w:rsidRPr="004A31B2">
              <w:rPr>
                <w:rFonts w:ascii="Segoe UI" w:eastAsia="Times New Roman" w:hAnsi="Segoe UI" w:cs="Segoe UI"/>
                <w:color w:val="666666"/>
                <w:sz w:val="20"/>
                <w:szCs w:val="20"/>
              </w:rPr>
              <w:t>Unaudited)</w:t>
            </w:r>
          </w:p>
        </w:tc>
      </w:tr>
      <w:tr w:rsidR="004A31B2" w:rsidRPr="004A31B2" w14:paraId="22C023ED" w14:textId="77777777" w:rsidTr="004A31B2">
        <w:trPr>
          <w:trHeight w:val="300"/>
        </w:trPr>
        <w:tc>
          <w:tcPr>
            <w:tcW w:w="3400" w:type="dxa"/>
            <w:tcBorders>
              <w:top w:val="nil"/>
              <w:left w:val="nil"/>
              <w:bottom w:val="nil"/>
              <w:right w:val="nil"/>
            </w:tcBorders>
            <w:shd w:val="clear" w:color="000000" w:fill="FFFFFF"/>
            <w:noWrap/>
            <w:vAlign w:val="bottom"/>
            <w:hideMark/>
          </w:tcPr>
          <w:p w14:paraId="5BB20E13"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58D2DE3F"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2CA4ED95"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4E3B26AC"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4E478181"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284016B8"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3DB4570D"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960" w:type="dxa"/>
            <w:tcBorders>
              <w:top w:val="nil"/>
              <w:left w:val="nil"/>
              <w:bottom w:val="nil"/>
              <w:right w:val="nil"/>
            </w:tcBorders>
            <w:shd w:val="clear" w:color="000000" w:fill="FFFFFF"/>
            <w:noWrap/>
            <w:vAlign w:val="bottom"/>
            <w:hideMark/>
          </w:tcPr>
          <w:p w14:paraId="4A7C6F21" w14:textId="77777777" w:rsidR="004A31B2" w:rsidRPr="004A31B2" w:rsidRDefault="004A31B2" w:rsidP="004A31B2">
            <w:pPr>
              <w:spacing w:after="0" w:line="240" w:lineRule="auto"/>
              <w:jc w:val="center"/>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231DF4E9" w14:textId="77777777" w:rsidTr="004A31B2">
        <w:trPr>
          <w:trHeight w:val="300"/>
        </w:trPr>
        <w:tc>
          <w:tcPr>
            <w:tcW w:w="3400" w:type="dxa"/>
            <w:tcBorders>
              <w:top w:val="nil"/>
              <w:left w:val="nil"/>
              <w:bottom w:val="nil"/>
              <w:right w:val="nil"/>
            </w:tcBorders>
            <w:shd w:val="clear" w:color="000000" w:fill="FFFFFF"/>
            <w:noWrap/>
            <w:vAlign w:val="bottom"/>
            <w:hideMark/>
          </w:tcPr>
          <w:p w14:paraId="402EF3E5"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260" w:type="dxa"/>
            <w:gridSpan w:val="3"/>
            <w:vMerge w:val="restart"/>
            <w:tcBorders>
              <w:top w:val="nil"/>
              <w:left w:val="nil"/>
              <w:bottom w:val="nil"/>
              <w:right w:val="nil"/>
            </w:tcBorders>
            <w:shd w:val="clear" w:color="000000" w:fill="FFFFFF"/>
            <w:vAlign w:val="bottom"/>
            <w:hideMark/>
          </w:tcPr>
          <w:p w14:paraId="644F65E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Three Months Ended March 31,</w:t>
            </w:r>
          </w:p>
        </w:tc>
        <w:tc>
          <w:tcPr>
            <w:tcW w:w="100" w:type="dxa"/>
            <w:tcBorders>
              <w:top w:val="nil"/>
              <w:left w:val="nil"/>
              <w:bottom w:val="nil"/>
              <w:right w:val="nil"/>
            </w:tcBorders>
            <w:shd w:val="clear" w:color="000000" w:fill="FFFFFF"/>
            <w:noWrap/>
            <w:vAlign w:val="bottom"/>
            <w:hideMark/>
          </w:tcPr>
          <w:p w14:paraId="5504C38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260" w:type="dxa"/>
            <w:gridSpan w:val="3"/>
            <w:vMerge w:val="restart"/>
            <w:tcBorders>
              <w:top w:val="nil"/>
              <w:left w:val="nil"/>
              <w:bottom w:val="nil"/>
              <w:right w:val="nil"/>
            </w:tcBorders>
            <w:shd w:val="clear" w:color="000000" w:fill="FFFFFF"/>
            <w:vAlign w:val="bottom"/>
            <w:hideMark/>
          </w:tcPr>
          <w:p w14:paraId="32CDFAD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Nine Months Ended March 31,</w:t>
            </w:r>
          </w:p>
        </w:tc>
      </w:tr>
      <w:tr w:rsidR="004A31B2" w:rsidRPr="004A31B2" w14:paraId="3E36D035" w14:textId="77777777" w:rsidTr="004A31B2">
        <w:trPr>
          <w:trHeight w:val="300"/>
        </w:trPr>
        <w:tc>
          <w:tcPr>
            <w:tcW w:w="3400" w:type="dxa"/>
            <w:tcBorders>
              <w:top w:val="nil"/>
              <w:left w:val="nil"/>
              <w:bottom w:val="nil"/>
              <w:right w:val="nil"/>
            </w:tcBorders>
            <w:shd w:val="clear" w:color="000000" w:fill="FFFFFF"/>
            <w:noWrap/>
            <w:vAlign w:val="bottom"/>
            <w:hideMark/>
          </w:tcPr>
          <w:p w14:paraId="4F495573"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260" w:type="dxa"/>
            <w:gridSpan w:val="3"/>
            <w:vMerge/>
            <w:tcBorders>
              <w:top w:val="nil"/>
              <w:left w:val="nil"/>
              <w:bottom w:val="nil"/>
              <w:right w:val="nil"/>
            </w:tcBorders>
            <w:vAlign w:val="center"/>
            <w:hideMark/>
          </w:tcPr>
          <w:p w14:paraId="4B600F91"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c>
          <w:tcPr>
            <w:tcW w:w="100" w:type="dxa"/>
            <w:tcBorders>
              <w:top w:val="nil"/>
              <w:left w:val="nil"/>
              <w:bottom w:val="nil"/>
              <w:right w:val="nil"/>
            </w:tcBorders>
            <w:shd w:val="clear" w:color="000000" w:fill="FFFFFF"/>
            <w:noWrap/>
            <w:vAlign w:val="bottom"/>
            <w:hideMark/>
          </w:tcPr>
          <w:p w14:paraId="3F42120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260" w:type="dxa"/>
            <w:gridSpan w:val="3"/>
            <w:vMerge/>
            <w:tcBorders>
              <w:top w:val="nil"/>
              <w:left w:val="nil"/>
              <w:bottom w:val="nil"/>
              <w:right w:val="nil"/>
            </w:tcBorders>
            <w:vAlign w:val="center"/>
            <w:hideMark/>
          </w:tcPr>
          <w:p w14:paraId="64B99284" w14:textId="77777777" w:rsidR="004A31B2" w:rsidRPr="004A31B2" w:rsidRDefault="004A31B2" w:rsidP="004A31B2">
            <w:pPr>
              <w:spacing w:after="0" w:line="240" w:lineRule="auto"/>
              <w:rPr>
                <w:rFonts w:ascii="Segoe UI" w:eastAsia="Times New Roman" w:hAnsi="Segoe UI" w:cs="Segoe UI"/>
                <w:b/>
                <w:bCs/>
                <w:color w:val="666666"/>
                <w:sz w:val="20"/>
                <w:szCs w:val="20"/>
              </w:rPr>
            </w:pPr>
          </w:p>
        </w:tc>
      </w:tr>
      <w:tr w:rsidR="004A31B2" w:rsidRPr="004A31B2" w14:paraId="050FEDDA" w14:textId="77777777" w:rsidTr="004A31B2">
        <w:trPr>
          <w:trHeight w:val="300"/>
        </w:trPr>
        <w:tc>
          <w:tcPr>
            <w:tcW w:w="3400" w:type="dxa"/>
            <w:tcBorders>
              <w:top w:val="nil"/>
              <w:left w:val="nil"/>
              <w:bottom w:val="single" w:sz="4" w:space="0" w:color="auto"/>
              <w:right w:val="nil"/>
            </w:tcBorders>
            <w:shd w:val="clear" w:color="000000" w:fill="FFFFFF"/>
            <w:noWrap/>
            <w:vAlign w:val="bottom"/>
            <w:hideMark/>
          </w:tcPr>
          <w:p w14:paraId="57DE5D90"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single" w:sz="4" w:space="0" w:color="auto"/>
              <w:right w:val="nil"/>
            </w:tcBorders>
            <w:shd w:val="clear" w:color="000000" w:fill="FFFFFF"/>
            <w:noWrap/>
            <w:vAlign w:val="bottom"/>
            <w:hideMark/>
          </w:tcPr>
          <w:p w14:paraId="08B8552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200" w:type="dxa"/>
            <w:tcBorders>
              <w:top w:val="nil"/>
              <w:left w:val="nil"/>
              <w:bottom w:val="single" w:sz="4" w:space="0" w:color="auto"/>
              <w:right w:val="nil"/>
            </w:tcBorders>
            <w:shd w:val="clear" w:color="000000" w:fill="FFFFFF"/>
            <w:noWrap/>
            <w:vAlign w:val="bottom"/>
            <w:hideMark/>
          </w:tcPr>
          <w:p w14:paraId="22A6711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664E19C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c>
          <w:tcPr>
            <w:tcW w:w="100" w:type="dxa"/>
            <w:tcBorders>
              <w:top w:val="nil"/>
              <w:left w:val="nil"/>
              <w:bottom w:val="single" w:sz="4" w:space="0" w:color="auto"/>
              <w:right w:val="nil"/>
            </w:tcBorders>
            <w:shd w:val="clear" w:color="000000" w:fill="FFFFFF"/>
            <w:noWrap/>
            <w:vAlign w:val="bottom"/>
            <w:hideMark/>
          </w:tcPr>
          <w:p w14:paraId="5D3F1878" w14:textId="77777777" w:rsidR="004A31B2" w:rsidRPr="004A31B2" w:rsidRDefault="004A31B2" w:rsidP="004A31B2">
            <w:pPr>
              <w:spacing w:after="0" w:line="240" w:lineRule="auto"/>
              <w:jc w:val="center"/>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1100" w:type="dxa"/>
            <w:tcBorders>
              <w:top w:val="nil"/>
              <w:left w:val="nil"/>
              <w:bottom w:val="single" w:sz="4" w:space="0" w:color="auto"/>
              <w:right w:val="nil"/>
            </w:tcBorders>
            <w:shd w:val="clear" w:color="000000" w:fill="FFFFFF"/>
            <w:noWrap/>
            <w:vAlign w:val="bottom"/>
            <w:hideMark/>
          </w:tcPr>
          <w:p w14:paraId="589A8A2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2017</w:t>
            </w:r>
          </w:p>
        </w:tc>
        <w:tc>
          <w:tcPr>
            <w:tcW w:w="200" w:type="dxa"/>
            <w:tcBorders>
              <w:top w:val="nil"/>
              <w:left w:val="nil"/>
              <w:bottom w:val="single" w:sz="4" w:space="0" w:color="auto"/>
              <w:right w:val="nil"/>
            </w:tcBorders>
            <w:shd w:val="clear" w:color="000000" w:fill="FFFFFF"/>
            <w:noWrap/>
            <w:vAlign w:val="bottom"/>
            <w:hideMark/>
          </w:tcPr>
          <w:p w14:paraId="3BB232B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3E4F58D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2016</w:t>
            </w:r>
          </w:p>
        </w:tc>
      </w:tr>
      <w:tr w:rsidR="004A31B2" w:rsidRPr="004A31B2" w14:paraId="47552D7E" w14:textId="77777777" w:rsidTr="004A31B2">
        <w:trPr>
          <w:trHeight w:val="300"/>
        </w:trPr>
        <w:tc>
          <w:tcPr>
            <w:tcW w:w="3400" w:type="dxa"/>
            <w:tcBorders>
              <w:top w:val="nil"/>
              <w:left w:val="nil"/>
              <w:bottom w:val="nil"/>
              <w:right w:val="nil"/>
            </w:tcBorders>
            <w:shd w:val="clear" w:color="000000" w:fill="FFFFFF"/>
            <w:noWrap/>
            <w:vAlign w:val="bottom"/>
            <w:hideMark/>
          </w:tcPr>
          <w:p w14:paraId="4F246B15"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Revenue</w:t>
            </w:r>
          </w:p>
        </w:tc>
        <w:tc>
          <w:tcPr>
            <w:tcW w:w="1100" w:type="dxa"/>
            <w:tcBorders>
              <w:top w:val="nil"/>
              <w:left w:val="nil"/>
              <w:bottom w:val="nil"/>
              <w:right w:val="nil"/>
            </w:tcBorders>
            <w:shd w:val="clear" w:color="000000" w:fill="FFFFFF"/>
            <w:noWrap/>
            <w:vAlign w:val="bottom"/>
            <w:hideMark/>
          </w:tcPr>
          <w:p w14:paraId="432CE8E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2CEF014A"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68114FE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7B32E020"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69CD26F4"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7E5C5E3D"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3898572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293288E0" w14:textId="77777777" w:rsidTr="004A31B2">
        <w:trPr>
          <w:trHeight w:val="312"/>
        </w:trPr>
        <w:tc>
          <w:tcPr>
            <w:tcW w:w="3400" w:type="dxa"/>
            <w:tcBorders>
              <w:top w:val="nil"/>
              <w:left w:val="nil"/>
              <w:bottom w:val="nil"/>
              <w:right w:val="nil"/>
            </w:tcBorders>
            <w:shd w:val="clear" w:color="000000" w:fill="FFFFFF"/>
            <w:noWrap/>
            <w:vAlign w:val="bottom"/>
            <w:hideMark/>
          </w:tcPr>
          <w:p w14:paraId="29BF13F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Productivity and Business Processes</w:t>
            </w:r>
          </w:p>
        </w:tc>
        <w:tc>
          <w:tcPr>
            <w:tcW w:w="1100" w:type="dxa"/>
            <w:tcBorders>
              <w:top w:val="nil"/>
              <w:left w:val="nil"/>
              <w:bottom w:val="nil"/>
              <w:right w:val="nil"/>
            </w:tcBorders>
            <w:shd w:val="clear" w:color="000000" w:fill="FFFFFF"/>
            <w:noWrap/>
            <w:vAlign w:val="bottom"/>
            <w:hideMark/>
          </w:tcPr>
          <w:p w14:paraId="226CBDE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$7,958 </w:t>
            </w:r>
          </w:p>
        </w:tc>
        <w:tc>
          <w:tcPr>
            <w:tcW w:w="200" w:type="dxa"/>
            <w:tcBorders>
              <w:top w:val="nil"/>
              <w:left w:val="nil"/>
              <w:bottom w:val="nil"/>
              <w:right w:val="nil"/>
            </w:tcBorders>
            <w:shd w:val="clear" w:color="000000" w:fill="FFFFFF"/>
            <w:noWrap/>
            <w:vAlign w:val="bottom"/>
            <w:hideMark/>
          </w:tcPr>
          <w:p w14:paraId="40BCEC2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2ABB78D8"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$6,521 </w:t>
            </w:r>
          </w:p>
        </w:tc>
        <w:tc>
          <w:tcPr>
            <w:tcW w:w="100" w:type="dxa"/>
            <w:tcBorders>
              <w:top w:val="nil"/>
              <w:left w:val="nil"/>
              <w:bottom w:val="nil"/>
              <w:right w:val="nil"/>
            </w:tcBorders>
            <w:shd w:val="clear" w:color="000000" w:fill="FFFFFF"/>
            <w:noWrap/>
            <w:vAlign w:val="bottom"/>
            <w:hideMark/>
          </w:tcPr>
          <w:p w14:paraId="7517BB8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2A82FC3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$21,998 </w:t>
            </w:r>
          </w:p>
        </w:tc>
        <w:tc>
          <w:tcPr>
            <w:tcW w:w="200" w:type="dxa"/>
            <w:tcBorders>
              <w:top w:val="nil"/>
              <w:left w:val="nil"/>
              <w:bottom w:val="nil"/>
              <w:right w:val="nil"/>
            </w:tcBorders>
            <w:shd w:val="clear" w:color="000000" w:fill="FFFFFF"/>
            <w:noWrap/>
            <w:vAlign w:val="bottom"/>
            <w:hideMark/>
          </w:tcPr>
          <w:p w14:paraId="7E11DA4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0DEF1CD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$19,517 </w:t>
            </w:r>
          </w:p>
        </w:tc>
      </w:tr>
      <w:tr w:rsidR="004A31B2" w:rsidRPr="004A31B2" w14:paraId="33EAFF40" w14:textId="77777777" w:rsidTr="004A31B2">
        <w:trPr>
          <w:trHeight w:val="300"/>
        </w:trPr>
        <w:tc>
          <w:tcPr>
            <w:tcW w:w="3400" w:type="dxa"/>
            <w:tcBorders>
              <w:top w:val="nil"/>
              <w:left w:val="nil"/>
              <w:bottom w:val="nil"/>
              <w:right w:val="nil"/>
            </w:tcBorders>
            <w:shd w:val="clear" w:color="000000" w:fill="FFFFFF"/>
            <w:vAlign w:val="bottom"/>
            <w:hideMark/>
          </w:tcPr>
          <w:p w14:paraId="12B9BD43"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Intelligent Cloud</w:t>
            </w:r>
          </w:p>
        </w:tc>
        <w:tc>
          <w:tcPr>
            <w:tcW w:w="1100" w:type="dxa"/>
            <w:tcBorders>
              <w:top w:val="nil"/>
              <w:left w:val="nil"/>
              <w:bottom w:val="nil"/>
              <w:right w:val="nil"/>
            </w:tcBorders>
            <w:shd w:val="clear" w:color="000000" w:fill="FFFFFF"/>
            <w:noWrap/>
            <w:vAlign w:val="bottom"/>
            <w:hideMark/>
          </w:tcPr>
          <w:p w14:paraId="7A9E7C8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6,763 </w:t>
            </w:r>
          </w:p>
        </w:tc>
        <w:tc>
          <w:tcPr>
            <w:tcW w:w="200" w:type="dxa"/>
            <w:tcBorders>
              <w:top w:val="nil"/>
              <w:left w:val="nil"/>
              <w:bottom w:val="nil"/>
              <w:right w:val="nil"/>
            </w:tcBorders>
            <w:shd w:val="clear" w:color="000000" w:fill="FFFFFF"/>
            <w:noWrap/>
            <w:vAlign w:val="bottom"/>
            <w:hideMark/>
          </w:tcPr>
          <w:p w14:paraId="2D1CCC1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44CE884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6,096 </w:t>
            </w:r>
          </w:p>
        </w:tc>
        <w:tc>
          <w:tcPr>
            <w:tcW w:w="100" w:type="dxa"/>
            <w:tcBorders>
              <w:top w:val="nil"/>
              <w:left w:val="nil"/>
              <w:bottom w:val="nil"/>
              <w:right w:val="nil"/>
            </w:tcBorders>
            <w:shd w:val="clear" w:color="000000" w:fill="FFFFFF"/>
            <w:noWrap/>
            <w:vAlign w:val="bottom"/>
            <w:hideMark/>
          </w:tcPr>
          <w:p w14:paraId="424E607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53D84F56"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20,006 </w:t>
            </w:r>
          </w:p>
        </w:tc>
        <w:tc>
          <w:tcPr>
            <w:tcW w:w="200" w:type="dxa"/>
            <w:tcBorders>
              <w:top w:val="nil"/>
              <w:left w:val="nil"/>
              <w:bottom w:val="nil"/>
              <w:right w:val="nil"/>
            </w:tcBorders>
            <w:shd w:val="clear" w:color="000000" w:fill="FFFFFF"/>
            <w:noWrap/>
            <w:vAlign w:val="bottom"/>
            <w:hideMark/>
          </w:tcPr>
          <w:p w14:paraId="2C686B5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3CEB8F7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18,331 </w:t>
            </w:r>
          </w:p>
        </w:tc>
      </w:tr>
      <w:tr w:rsidR="004A31B2" w:rsidRPr="004A31B2" w14:paraId="15F96246" w14:textId="77777777" w:rsidTr="004A31B2">
        <w:trPr>
          <w:trHeight w:val="300"/>
        </w:trPr>
        <w:tc>
          <w:tcPr>
            <w:tcW w:w="3400" w:type="dxa"/>
            <w:tcBorders>
              <w:top w:val="nil"/>
              <w:left w:val="nil"/>
              <w:bottom w:val="nil"/>
              <w:right w:val="nil"/>
            </w:tcBorders>
            <w:shd w:val="clear" w:color="000000" w:fill="FFFFFF"/>
            <w:noWrap/>
            <w:vAlign w:val="bottom"/>
            <w:hideMark/>
          </w:tcPr>
          <w:p w14:paraId="594F173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More Personal Computing</w:t>
            </w:r>
          </w:p>
        </w:tc>
        <w:tc>
          <w:tcPr>
            <w:tcW w:w="1100" w:type="dxa"/>
            <w:tcBorders>
              <w:top w:val="nil"/>
              <w:left w:val="nil"/>
              <w:bottom w:val="nil"/>
              <w:right w:val="nil"/>
            </w:tcBorders>
            <w:shd w:val="clear" w:color="000000" w:fill="FFFFFF"/>
            <w:noWrap/>
            <w:vAlign w:val="bottom"/>
            <w:hideMark/>
          </w:tcPr>
          <w:p w14:paraId="4A3B4298"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8,836 </w:t>
            </w:r>
          </w:p>
        </w:tc>
        <w:tc>
          <w:tcPr>
            <w:tcW w:w="200" w:type="dxa"/>
            <w:tcBorders>
              <w:top w:val="nil"/>
              <w:left w:val="nil"/>
              <w:bottom w:val="nil"/>
              <w:right w:val="nil"/>
            </w:tcBorders>
            <w:shd w:val="clear" w:color="000000" w:fill="FFFFFF"/>
            <w:noWrap/>
            <w:vAlign w:val="bottom"/>
            <w:hideMark/>
          </w:tcPr>
          <w:p w14:paraId="5E76AD5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09E4C09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9,539 </w:t>
            </w:r>
          </w:p>
        </w:tc>
        <w:tc>
          <w:tcPr>
            <w:tcW w:w="100" w:type="dxa"/>
            <w:tcBorders>
              <w:top w:val="nil"/>
              <w:left w:val="nil"/>
              <w:bottom w:val="nil"/>
              <w:right w:val="nil"/>
            </w:tcBorders>
            <w:shd w:val="clear" w:color="000000" w:fill="FFFFFF"/>
            <w:noWrap/>
            <w:vAlign w:val="bottom"/>
            <w:hideMark/>
          </w:tcPr>
          <w:p w14:paraId="27BC4BFA"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7DBB6C5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29,953 </w:t>
            </w:r>
          </w:p>
        </w:tc>
        <w:tc>
          <w:tcPr>
            <w:tcW w:w="200" w:type="dxa"/>
            <w:tcBorders>
              <w:top w:val="nil"/>
              <w:left w:val="nil"/>
              <w:bottom w:val="nil"/>
              <w:right w:val="nil"/>
            </w:tcBorders>
            <w:shd w:val="clear" w:color="000000" w:fill="FFFFFF"/>
            <w:noWrap/>
            <w:vAlign w:val="bottom"/>
            <w:hideMark/>
          </w:tcPr>
          <w:p w14:paraId="1A3934F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1FB24B24"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31,474 </w:t>
            </w:r>
          </w:p>
        </w:tc>
      </w:tr>
      <w:tr w:rsidR="004A31B2" w:rsidRPr="004A31B2" w14:paraId="083B9D00" w14:textId="77777777" w:rsidTr="004A31B2">
        <w:trPr>
          <w:trHeight w:val="300"/>
        </w:trPr>
        <w:tc>
          <w:tcPr>
            <w:tcW w:w="3400" w:type="dxa"/>
            <w:tcBorders>
              <w:top w:val="nil"/>
              <w:left w:val="nil"/>
              <w:bottom w:val="single" w:sz="4" w:space="0" w:color="auto"/>
              <w:right w:val="nil"/>
            </w:tcBorders>
            <w:shd w:val="clear" w:color="000000" w:fill="FFFFFF"/>
            <w:noWrap/>
            <w:vAlign w:val="bottom"/>
            <w:hideMark/>
          </w:tcPr>
          <w:p w14:paraId="1B3BC1C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Corporate and Other</w:t>
            </w:r>
          </w:p>
        </w:tc>
        <w:tc>
          <w:tcPr>
            <w:tcW w:w="1100" w:type="dxa"/>
            <w:tcBorders>
              <w:top w:val="nil"/>
              <w:left w:val="nil"/>
              <w:bottom w:val="single" w:sz="4" w:space="0" w:color="auto"/>
              <w:right w:val="nil"/>
            </w:tcBorders>
            <w:shd w:val="clear" w:color="000000" w:fill="FFFFFF"/>
            <w:noWrap/>
            <w:vAlign w:val="bottom"/>
            <w:hideMark/>
          </w:tcPr>
          <w:p w14:paraId="5E8547B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(1,467)</w:t>
            </w:r>
          </w:p>
        </w:tc>
        <w:tc>
          <w:tcPr>
            <w:tcW w:w="200" w:type="dxa"/>
            <w:tcBorders>
              <w:top w:val="nil"/>
              <w:left w:val="nil"/>
              <w:bottom w:val="nil"/>
              <w:right w:val="nil"/>
            </w:tcBorders>
            <w:shd w:val="clear" w:color="000000" w:fill="FFFFFF"/>
            <w:noWrap/>
            <w:vAlign w:val="bottom"/>
            <w:hideMark/>
          </w:tcPr>
          <w:p w14:paraId="3A1DAE5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1FB7396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(1,625)</w:t>
            </w:r>
          </w:p>
        </w:tc>
        <w:tc>
          <w:tcPr>
            <w:tcW w:w="100" w:type="dxa"/>
            <w:tcBorders>
              <w:top w:val="nil"/>
              <w:left w:val="nil"/>
              <w:bottom w:val="nil"/>
              <w:right w:val="nil"/>
            </w:tcBorders>
            <w:shd w:val="clear" w:color="000000" w:fill="FFFFFF"/>
            <w:noWrap/>
            <w:vAlign w:val="bottom"/>
            <w:hideMark/>
          </w:tcPr>
          <w:p w14:paraId="5321AB1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single" w:sz="4" w:space="0" w:color="auto"/>
              <w:right w:val="nil"/>
            </w:tcBorders>
            <w:shd w:val="clear" w:color="000000" w:fill="FFFFFF"/>
            <w:noWrap/>
            <w:vAlign w:val="bottom"/>
            <w:hideMark/>
          </w:tcPr>
          <w:p w14:paraId="4DAD4B33"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(5,324)</w:t>
            </w:r>
          </w:p>
        </w:tc>
        <w:tc>
          <w:tcPr>
            <w:tcW w:w="200" w:type="dxa"/>
            <w:tcBorders>
              <w:top w:val="nil"/>
              <w:left w:val="nil"/>
              <w:bottom w:val="nil"/>
              <w:right w:val="nil"/>
            </w:tcBorders>
            <w:shd w:val="clear" w:color="000000" w:fill="FFFFFF"/>
            <w:noWrap/>
            <w:vAlign w:val="bottom"/>
            <w:hideMark/>
          </w:tcPr>
          <w:p w14:paraId="0C2AC61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5FFD01D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(4,616)</w:t>
            </w:r>
          </w:p>
        </w:tc>
      </w:tr>
      <w:tr w:rsidR="004A31B2" w:rsidRPr="004A31B2" w14:paraId="391D27CD" w14:textId="77777777" w:rsidTr="004A31B2">
        <w:trPr>
          <w:trHeight w:val="312"/>
        </w:trPr>
        <w:tc>
          <w:tcPr>
            <w:tcW w:w="3400" w:type="dxa"/>
            <w:tcBorders>
              <w:top w:val="nil"/>
              <w:left w:val="nil"/>
              <w:bottom w:val="nil"/>
              <w:right w:val="nil"/>
            </w:tcBorders>
            <w:shd w:val="clear" w:color="000000" w:fill="FFFFFF"/>
            <w:noWrap/>
            <w:vAlign w:val="bottom"/>
            <w:hideMark/>
          </w:tcPr>
          <w:p w14:paraId="7202B5F4"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revenue</w:t>
            </w:r>
          </w:p>
        </w:tc>
        <w:tc>
          <w:tcPr>
            <w:tcW w:w="1100" w:type="dxa"/>
            <w:tcBorders>
              <w:top w:val="nil"/>
              <w:left w:val="nil"/>
              <w:bottom w:val="single" w:sz="8" w:space="0" w:color="auto"/>
              <w:right w:val="nil"/>
            </w:tcBorders>
            <w:shd w:val="clear" w:color="000000" w:fill="FFFFFF"/>
            <w:noWrap/>
            <w:vAlign w:val="bottom"/>
            <w:hideMark/>
          </w:tcPr>
          <w:p w14:paraId="6D0B513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$22,090 </w:t>
            </w:r>
          </w:p>
        </w:tc>
        <w:tc>
          <w:tcPr>
            <w:tcW w:w="200" w:type="dxa"/>
            <w:tcBorders>
              <w:top w:val="nil"/>
              <w:left w:val="nil"/>
              <w:bottom w:val="nil"/>
              <w:right w:val="nil"/>
            </w:tcBorders>
            <w:shd w:val="clear" w:color="000000" w:fill="FFFFFF"/>
            <w:noWrap/>
            <w:vAlign w:val="bottom"/>
            <w:hideMark/>
          </w:tcPr>
          <w:p w14:paraId="66389E40"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8" w:space="0" w:color="auto"/>
              <w:right w:val="nil"/>
            </w:tcBorders>
            <w:shd w:val="clear" w:color="000000" w:fill="FFFFFF"/>
            <w:noWrap/>
            <w:vAlign w:val="bottom"/>
            <w:hideMark/>
          </w:tcPr>
          <w:p w14:paraId="251BD84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$20,531 </w:t>
            </w:r>
          </w:p>
        </w:tc>
        <w:tc>
          <w:tcPr>
            <w:tcW w:w="100" w:type="dxa"/>
            <w:tcBorders>
              <w:top w:val="nil"/>
              <w:left w:val="nil"/>
              <w:bottom w:val="nil"/>
              <w:right w:val="nil"/>
            </w:tcBorders>
            <w:shd w:val="clear" w:color="000000" w:fill="FFFFFF"/>
            <w:noWrap/>
            <w:vAlign w:val="bottom"/>
            <w:hideMark/>
          </w:tcPr>
          <w:p w14:paraId="38455CF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single" w:sz="8" w:space="0" w:color="auto"/>
              <w:right w:val="nil"/>
            </w:tcBorders>
            <w:shd w:val="clear" w:color="000000" w:fill="FFFFFF"/>
            <w:noWrap/>
            <w:vAlign w:val="bottom"/>
            <w:hideMark/>
          </w:tcPr>
          <w:p w14:paraId="580C072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$66,633 </w:t>
            </w:r>
          </w:p>
        </w:tc>
        <w:tc>
          <w:tcPr>
            <w:tcW w:w="200" w:type="dxa"/>
            <w:tcBorders>
              <w:top w:val="nil"/>
              <w:left w:val="nil"/>
              <w:bottom w:val="nil"/>
              <w:right w:val="nil"/>
            </w:tcBorders>
            <w:shd w:val="clear" w:color="000000" w:fill="FFFFFF"/>
            <w:noWrap/>
            <w:vAlign w:val="bottom"/>
            <w:hideMark/>
          </w:tcPr>
          <w:p w14:paraId="607C6A4B"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8" w:space="0" w:color="auto"/>
              <w:right w:val="nil"/>
            </w:tcBorders>
            <w:shd w:val="clear" w:color="000000" w:fill="FFFFFF"/>
            <w:noWrap/>
            <w:vAlign w:val="bottom"/>
            <w:hideMark/>
          </w:tcPr>
          <w:p w14:paraId="20069F6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$64,706 </w:t>
            </w:r>
          </w:p>
        </w:tc>
      </w:tr>
      <w:tr w:rsidR="004A31B2" w:rsidRPr="004A31B2" w14:paraId="3E912B60" w14:textId="77777777" w:rsidTr="004A31B2">
        <w:trPr>
          <w:trHeight w:val="300"/>
        </w:trPr>
        <w:tc>
          <w:tcPr>
            <w:tcW w:w="3400" w:type="dxa"/>
            <w:tcBorders>
              <w:top w:val="nil"/>
              <w:left w:val="nil"/>
              <w:bottom w:val="nil"/>
              <w:right w:val="nil"/>
            </w:tcBorders>
            <w:shd w:val="clear" w:color="000000" w:fill="FFFFFF"/>
            <w:noWrap/>
            <w:vAlign w:val="bottom"/>
            <w:hideMark/>
          </w:tcPr>
          <w:p w14:paraId="2E8CBBF7"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6813BA0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57D5CEA7"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4065CA83"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1C16E85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35DD43C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047D0248"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4ACD3C5A"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549854DD" w14:textId="77777777" w:rsidTr="004A31B2">
        <w:trPr>
          <w:trHeight w:val="300"/>
        </w:trPr>
        <w:tc>
          <w:tcPr>
            <w:tcW w:w="3400" w:type="dxa"/>
            <w:tcBorders>
              <w:top w:val="nil"/>
              <w:left w:val="nil"/>
              <w:bottom w:val="nil"/>
              <w:right w:val="nil"/>
            </w:tcBorders>
            <w:shd w:val="clear" w:color="000000" w:fill="FFFFFF"/>
            <w:noWrap/>
            <w:vAlign w:val="bottom"/>
            <w:hideMark/>
          </w:tcPr>
          <w:p w14:paraId="6239E42E"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Operating income (loss)</w:t>
            </w:r>
          </w:p>
        </w:tc>
        <w:tc>
          <w:tcPr>
            <w:tcW w:w="1100" w:type="dxa"/>
            <w:tcBorders>
              <w:top w:val="nil"/>
              <w:left w:val="nil"/>
              <w:bottom w:val="nil"/>
              <w:right w:val="nil"/>
            </w:tcBorders>
            <w:shd w:val="clear" w:color="000000" w:fill="FFFFFF"/>
            <w:noWrap/>
            <w:vAlign w:val="bottom"/>
            <w:hideMark/>
          </w:tcPr>
          <w:p w14:paraId="61F39E8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5A15E833"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1579E517"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00" w:type="dxa"/>
            <w:tcBorders>
              <w:top w:val="nil"/>
              <w:left w:val="nil"/>
              <w:bottom w:val="nil"/>
              <w:right w:val="nil"/>
            </w:tcBorders>
            <w:shd w:val="clear" w:color="000000" w:fill="FFFFFF"/>
            <w:noWrap/>
            <w:vAlign w:val="bottom"/>
            <w:hideMark/>
          </w:tcPr>
          <w:p w14:paraId="005660C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0CCC49DB"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1439FE93"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0FE80F1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r>
      <w:tr w:rsidR="004A31B2" w:rsidRPr="004A31B2" w14:paraId="011A0097" w14:textId="77777777" w:rsidTr="004A31B2">
        <w:trPr>
          <w:trHeight w:val="300"/>
        </w:trPr>
        <w:tc>
          <w:tcPr>
            <w:tcW w:w="3400" w:type="dxa"/>
            <w:tcBorders>
              <w:top w:val="nil"/>
              <w:left w:val="nil"/>
              <w:bottom w:val="nil"/>
              <w:right w:val="nil"/>
            </w:tcBorders>
            <w:shd w:val="clear" w:color="000000" w:fill="FFFFFF"/>
            <w:noWrap/>
            <w:vAlign w:val="bottom"/>
            <w:hideMark/>
          </w:tcPr>
          <w:p w14:paraId="72FC8081"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Productivity and Business Processes</w:t>
            </w:r>
          </w:p>
        </w:tc>
        <w:tc>
          <w:tcPr>
            <w:tcW w:w="1100" w:type="dxa"/>
            <w:tcBorders>
              <w:top w:val="nil"/>
              <w:left w:val="nil"/>
              <w:bottom w:val="nil"/>
              <w:right w:val="nil"/>
            </w:tcBorders>
            <w:shd w:val="clear" w:color="000000" w:fill="FFFFFF"/>
            <w:noWrap/>
            <w:vAlign w:val="bottom"/>
            <w:hideMark/>
          </w:tcPr>
          <w:p w14:paraId="5BDAD1B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$2,783 </w:t>
            </w:r>
          </w:p>
        </w:tc>
        <w:tc>
          <w:tcPr>
            <w:tcW w:w="200" w:type="dxa"/>
            <w:tcBorders>
              <w:top w:val="nil"/>
              <w:left w:val="nil"/>
              <w:bottom w:val="nil"/>
              <w:right w:val="nil"/>
            </w:tcBorders>
            <w:shd w:val="clear" w:color="000000" w:fill="FFFFFF"/>
            <w:noWrap/>
            <w:vAlign w:val="bottom"/>
            <w:hideMark/>
          </w:tcPr>
          <w:p w14:paraId="74AB64D0"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6E4786E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$2,981 </w:t>
            </w:r>
          </w:p>
        </w:tc>
        <w:tc>
          <w:tcPr>
            <w:tcW w:w="100" w:type="dxa"/>
            <w:tcBorders>
              <w:top w:val="nil"/>
              <w:left w:val="nil"/>
              <w:bottom w:val="nil"/>
              <w:right w:val="nil"/>
            </w:tcBorders>
            <w:shd w:val="clear" w:color="000000" w:fill="FFFFFF"/>
            <w:noWrap/>
            <w:vAlign w:val="bottom"/>
            <w:hideMark/>
          </w:tcPr>
          <w:p w14:paraId="490E67BD"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48AE9D3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$9,159 </w:t>
            </w:r>
          </w:p>
        </w:tc>
        <w:tc>
          <w:tcPr>
            <w:tcW w:w="200" w:type="dxa"/>
            <w:tcBorders>
              <w:top w:val="nil"/>
              <w:left w:val="nil"/>
              <w:bottom w:val="nil"/>
              <w:right w:val="nil"/>
            </w:tcBorders>
            <w:shd w:val="clear" w:color="000000" w:fill="FFFFFF"/>
            <w:noWrap/>
            <w:vAlign w:val="bottom"/>
            <w:hideMark/>
          </w:tcPr>
          <w:p w14:paraId="6DD15157"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nil"/>
              <w:right w:val="nil"/>
            </w:tcBorders>
            <w:shd w:val="clear" w:color="000000" w:fill="FFFFFF"/>
            <w:noWrap/>
            <w:vAlign w:val="bottom"/>
            <w:hideMark/>
          </w:tcPr>
          <w:p w14:paraId="122A7011"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$9,429 </w:t>
            </w:r>
          </w:p>
        </w:tc>
      </w:tr>
      <w:tr w:rsidR="004A31B2" w:rsidRPr="004A31B2" w14:paraId="0DF1DC4C" w14:textId="77777777" w:rsidTr="004A31B2">
        <w:trPr>
          <w:trHeight w:val="312"/>
        </w:trPr>
        <w:tc>
          <w:tcPr>
            <w:tcW w:w="3400" w:type="dxa"/>
            <w:tcBorders>
              <w:top w:val="nil"/>
              <w:left w:val="nil"/>
              <w:bottom w:val="nil"/>
              <w:right w:val="nil"/>
            </w:tcBorders>
            <w:shd w:val="clear" w:color="000000" w:fill="FFFFFF"/>
            <w:noWrap/>
            <w:vAlign w:val="bottom"/>
            <w:hideMark/>
          </w:tcPr>
          <w:p w14:paraId="5D954E1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Intelligent Cloud</w:t>
            </w:r>
          </w:p>
        </w:tc>
        <w:tc>
          <w:tcPr>
            <w:tcW w:w="1100" w:type="dxa"/>
            <w:tcBorders>
              <w:top w:val="nil"/>
              <w:left w:val="nil"/>
              <w:bottom w:val="nil"/>
              <w:right w:val="nil"/>
            </w:tcBorders>
            <w:shd w:val="clear" w:color="000000" w:fill="FFFFFF"/>
            <w:noWrap/>
            <w:vAlign w:val="bottom"/>
            <w:hideMark/>
          </w:tcPr>
          <w:p w14:paraId="43E27D49"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2,181 </w:t>
            </w:r>
          </w:p>
        </w:tc>
        <w:tc>
          <w:tcPr>
            <w:tcW w:w="200" w:type="dxa"/>
            <w:tcBorders>
              <w:top w:val="nil"/>
              <w:left w:val="nil"/>
              <w:bottom w:val="nil"/>
              <w:right w:val="nil"/>
            </w:tcBorders>
            <w:shd w:val="clear" w:color="000000" w:fill="FFFFFF"/>
            <w:noWrap/>
            <w:vAlign w:val="bottom"/>
            <w:hideMark/>
          </w:tcPr>
          <w:p w14:paraId="62ED3B26"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420314A5"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2,176 </w:t>
            </w:r>
          </w:p>
        </w:tc>
        <w:tc>
          <w:tcPr>
            <w:tcW w:w="100" w:type="dxa"/>
            <w:tcBorders>
              <w:top w:val="nil"/>
              <w:left w:val="nil"/>
              <w:bottom w:val="nil"/>
              <w:right w:val="nil"/>
            </w:tcBorders>
            <w:shd w:val="clear" w:color="000000" w:fill="FFFFFF"/>
            <w:noWrap/>
            <w:vAlign w:val="bottom"/>
            <w:hideMark/>
          </w:tcPr>
          <w:p w14:paraId="0B3BD0B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10C3B17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6,637 </w:t>
            </w:r>
          </w:p>
        </w:tc>
        <w:tc>
          <w:tcPr>
            <w:tcW w:w="200" w:type="dxa"/>
            <w:tcBorders>
              <w:top w:val="nil"/>
              <w:left w:val="nil"/>
              <w:bottom w:val="nil"/>
              <w:right w:val="nil"/>
            </w:tcBorders>
            <w:shd w:val="clear" w:color="000000" w:fill="FFFFFF"/>
            <w:noWrap/>
            <w:vAlign w:val="bottom"/>
            <w:hideMark/>
          </w:tcPr>
          <w:p w14:paraId="3E7CBF2F"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52BF3F72"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7,135 </w:t>
            </w:r>
          </w:p>
        </w:tc>
      </w:tr>
      <w:tr w:rsidR="004A31B2" w:rsidRPr="004A31B2" w14:paraId="09A65DF0" w14:textId="77777777" w:rsidTr="004A31B2">
        <w:trPr>
          <w:trHeight w:val="312"/>
        </w:trPr>
        <w:tc>
          <w:tcPr>
            <w:tcW w:w="3400" w:type="dxa"/>
            <w:tcBorders>
              <w:top w:val="nil"/>
              <w:left w:val="nil"/>
              <w:bottom w:val="nil"/>
              <w:right w:val="nil"/>
            </w:tcBorders>
            <w:shd w:val="clear" w:color="000000" w:fill="FFFFFF"/>
            <w:noWrap/>
            <w:vAlign w:val="bottom"/>
            <w:hideMark/>
          </w:tcPr>
          <w:p w14:paraId="129D07F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More Personal Computing</w:t>
            </w:r>
          </w:p>
        </w:tc>
        <w:tc>
          <w:tcPr>
            <w:tcW w:w="1100" w:type="dxa"/>
            <w:tcBorders>
              <w:top w:val="nil"/>
              <w:left w:val="nil"/>
              <w:bottom w:val="nil"/>
              <w:right w:val="nil"/>
            </w:tcBorders>
            <w:shd w:val="clear" w:color="000000" w:fill="FFFFFF"/>
            <w:noWrap/>
            <w:vAlign w:val="bottom"/>
            <w:hideMark/>
          </w:tcPr>
          <w:p w14:paraId="2D470C4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2,097 </w:t>
            </w:r>
          </w:p>
        </w:tc>
        <w:tc>
          <w:tcPr>
            <w:tcW w:w="200" w:type="dxa"/>
            <w:tcBorders>
              <w:top w:val="nil"/>
              <w:left w:val="nil"/>
              <w:bottom w:val="nil"/>
              <w:right w:val="nil"/>
            </w:tcBorders>
            <w:shd w:val="clear" w:color="000000" w:fill="FFFFFF"/>
            <w:noWrap/>
            <w:vAlign w:val="bottom"/>
            <w:hideMark/>
          </w:tcPr>
          <w:p w14:paraId="19AE1A0B"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4729D83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1,751 </w:t>
            </w:r>
          </w:p>
        </w:tc>
        <w:tc>
          <w:tcPr>
            <w:tcW w:w="100" w:type="dxa"/>
            <w:tcBorders>
              <w:top w:val="nil"/>
              <w:left w:val="nil"/>
              <w:bottom w:val="nil"/>
              <w:right w:val="nil"/>
            </w:tcBorders>
            <w:shd w:val="clear" w:color="000000" w:fill="FFFFFF"/>
            <w:noWrap/>
            <w:vAlign w:val="bottom"/>
            <w:hideMark/>
          </w:tcPr>
          <w:p w14:paraId="2B585CA5"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nil"/>
              <w:right w:val="nil"/>
            </w:tcBorders>
            <w:shd w:val="clear" w:color="000000" w:fill="FFFFFF"/>
            <w:noWrap/>
            <w:vAlign w:val="bottom"/>
            <w:hideMark/>
          </w:tcPr>
          <w:p w14:paraId="77E6F54A"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6,524 </w:t>
            </w:r>
          </w:p>
        </w:tc>
        <w:tc>
          <w:tcPr>
            <w:tcW w:w="200" w:type="dxa"/>
            <w:tcBorders>
              <w:top w:val="nil"/>
              <w:left w:val="nil"/>
              <w:bottom w:val="nil"/>
              <w:right w:val="nil"/>
            </w:tcBorders>
            <w:shd w:val="clear" w:color="000000" w:fill="FFFFFF"/>
            <w:noWrap/>
            <w:vAlign w:val="bottom"/>
            <w:hideMark/>
          </w:tcPr>
          <w:p w14:paraId="725CFF6E"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vertAlign w:val="superscript"/>
              </w:rPr>
              <w:t> </w:t>
            </w:r>
          </w:p>
        </w:tc>
        <w:tc>
          <w:tcPr>
            <w:tcW w:w="960" w:type="dxa"/>
            <w:tcBorders>
              <w:top w:val="nil"/>
              <w:left w:val="nil"/>
              <w:bottom w:val="nil"/>
              <w:right w:val="nil"/>
            </w:tcBorders>
            <w:shd w:val="clear" w:color="000000" w:fill="FFFFFF"/>
            <w:noWrap/>
            <w:vAlign w:val="bottom"/>
            <w:hideMark/>
          </w:tcPr>
          <w:p w14:paraId="74C0205C"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5,154 </w:t>
            </w:r>
          </w:p>
        </w:tc>
      </w:tr>
      <w:tr w:rsidR="004A31B2" w:rsidRPr="004A31B2" w14:paraId="28BE7262" w14:textId="77777777" w:rsidTr="004A31B2">
        <w:trPr>
          <w:trHeight w:val="300"/>
        </w:trPr>
        <w:tc>
          <w:tcPr>
            <w:tcW w:w="3400" w:type="dxa"/>
            <w:tcBorders>
              <w:top w:val="nil"/>
              <w:left w:val="nil"/>
              <w:bottom w:val="single" w:sz="4" w:space="0" w:color="auto"/>
              <w:right w:val="nil"/>
            </w:tcBorders>
            <w:shd w:val="clear" w:color="000000" w:fill="FFFFFF"/>
            <w:noWrap/>
            <w:vAlign w:val="bottom"/>
            <w:hideMark/>
          </w:tcPr>
          <w:p w14:paraId="4E6E850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Corporate and Other</w:t>
            </w:r>
          </w:p>
        </w:tc>
        <w:tc>
          <w:tcPr>
            <w:tcW w:w="1100" w:type="dxa"/>
            <w:tcBorders>
              <w:top w:val="nil"/>
              <w:left w:val="nil"/>
              <w:bottom w:val="single" w:sz="4" w:space="0" w:color="auto"/>
              <w:right w:val="nil"/>
            </w:tcBorders>
            <w:shd w:val="clear" w:color="000000" w:fill="FFFFFF"/>
            <w:noWrap/>
            <w:vAlign w:val="bottom"/>
            <w:hideMark/>
          </w:tcPr>
          <w:p w14:paraId="00F2F46E"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(1,467)</w:t>
            </w:r>
          </w:p>
        </w:tc>
        <w:tc>
          <w:tcPr>
            <w:tcW w:w="200" w:type="dxa"/>
            <w:tcBorders>
              <w:top w:val="nil"/>
              <w:left w:val="nil"/>
              <w:bottom w:val="nil"/>
              <w:right w:val="nil"/>
            </w:tcBorders>
            <w:shd w:val="clear" w:color="000000" w:fill="FFFFFF"/>
            <w:noWrap/>
            <w:vAlign w:val="bottom"/>
            <w:hideMark/>
          </w:tcPr>
          <w:p w14:paraId="0397D5FD"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72F8FCF6"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(1,625)</w:t>
            </w:r>
          </w:p>
        </w:tc>
        <w:tc>
          <w:tcPr>
            <w:tcW w:w="100" w:type="dxa"/>
            <w:tcBorders>
              <w:top w:val="nil"/>
              <w:left w:val="nil"/>
              <w:bottom w:val="nil"/>
              <w:right w:val="nil"/>
            </w:tcBorders>
            <w:shd w:val="clear" w:color="000000" w:fill="FFFFFF"/>
            <w:noWrap/>
            <w:vAlign w:val="bottom"/>
            <w:hideMark/>
          </w:tcPr>
          <w:p w14:paraId="550D5B97"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single" w:sz="4" w:space="0" w:color="auto"/>
              <w:right w:val="nil"/>
            </w:tcBorders>
            <w:shd w:val="clear" w:color="000000" w:fill="FFFFFF"/>
            <w:noWrap/>
            <w:vAlign w:val="bottom"/>
            <w:hideMark/>
          </w:tcPr>
          <w:p w14:paraId="7C7F91EF"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(5,324)</w:t>
            </w:r>
          </w:p>
        </w:tc>
        <w:tc>
          <w:tcPr>
            <w:tcW w:w="200" w:type="dxa"/>
            <w:tcBorders>
              <w:top w:val="nil"/>
              <w:left w:val="nil"/>
              <w:bottom w:val="nil"/>
              <w:right w:val="nil"/>
            </w:tcBorders>
            <w:shd w:val="clear" w:color="000000" w:fill="FFFFFF"/>
            <w:noWrap/>
            <w:vAlign w:val="bottom"/>
            <w:hideMark/>
          </w:tcPr>
          <w:p w14:paraId="450E751C"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4" w:space="0" w:color="auto"/>
              <w:right w:val="nil"/>
            </w:tcBorders>
            <w:shd w:val="clear" w:color="000000" w:fill="FFFFFF"/>
            <w:noWrap/>
            <w:vAlign w:val="bottom"/>
            <w:hideMark/>
          </w:tcPr>
          <w:p w14:paraId="56AF939B"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(4,616)</w:t>
            </w:r>
          </w:p>
        </w:tc>
      </w:tr>
      <w:tr w:rsidR="004A31B2" w:rsidRPr="004A31B2" w14:paraId="65EF727A" w14:textId="77777777" w:rsidTr="004A31B2">
        <w:trPr>
          <w:trHeight w:val="312"/>
        </w:trPr>
        <w:tc>
          <w:tcPr>
            <w:tcW w:w="3400" w:type="dxa"/>
            <w:tcBorders>
              <w:top w:val="nil"/>
              <w:left w:val="nil"/>
              <w:bottom w:val="nil"/>
              <w:right w:val="nil"/>
            </w:tcBorders>
            <w:shd w:val="clear" w:color="000000" w:fill="FFFFFF"/>
            <w:noWrap/>
            <w:vAlign w:val="bottom"/>
            <w:hideMark/>
          </w:tcPr>
          <w:p w14:paraId="2D36E19C"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Total operating income</w:t>
            </w:r>
          </w:p>
        </w:tc>
        <w:tc>
          <w:tcPr>
            <w:tcW w:w="1100" w:type="dxa"/>
            <w:tcBorders>
              <w:top w:val="nil"/>
              <w:left w:val="nil"/>
              <w:bottom w:val="single" w:sz="8" w:space="0" w:color="auto"/>
              <w:right w:val="nil"/>
            </w:tcBorders>
            <w:shd w:val="clear" w:color="000000" w:fill="FFFFFF"/>
            <w:noWrap/>
            <w:vAlign w:val="bottom"/>
            <w:hideMark/>
          </w:tcPr>
          <w:p w14:paraId="2D79E681"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$5,594 </w:t>
            </w:r>
          </w:p>
        </w:tc>
        <w:tc>
          <w:tcPr>
            <w:tcW w:w="200" w:type="dxa"/>
            <w:tcBorders>
              <w:top w:val="nil"/>
              <w:left w:val="nil"/>
              <w:bottom w:val="nil"/>
              <w:right w:val="nil"/>
            </w:tcBorders>
            <w:shd w:val="clear" w:color="000000" w:fill="FFFFFF"/>
            <w:noWrap/>
            <w:vAlign w:val="bottom"/>
            <w:hideMark/>
          </w:tcPr>
          <w:p w14:paraId="388CAB9F"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8" w:space="0" w:color="auto"/>
              <w:right w:val="nil"/>
            </w:tcBorders>
            <w:shd w:val="clear" w:color="000000" w:fill="FFFFFF"/>
            <w:noWrap/>
            <w:vAlign w:val="bottom"/>
            <w:hideMark/>
          </w:tcPr>
          <w:p w14:paraId="07A0B48D"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$5,283 </w:t>
            </w:r>
          </w:p>
        </w:tc>
        <w:tc>
          <w:tcPr>
            <w:tcW w:w="100" w:type="dxa"/>
            <w:tcBorders>
              <w:top w:val="nil"/>
              <w:left w:val="nil"/>
              <w:bottom w:val="nil"/>
              <w:right w:val="nil"/>
            </w:tcBorders>
            <w:shd w:val="clear" w:color="000000" w:fill="FFFFFF"/>
            <w:noWrap/>
            <w:vAlign w:val="bottom"/>
            <w:hideMark/>
          </w:tcPr>
          <w:p w14:paraId="3B3B4B22" w14:textId="77777777" w:rsidR="004A31B2" w:rsidRPr="004A31B2" w:rsidRDefault="004A31B2" w:rsidP="004A31B2">
            <w:pPr>
              <w:spacing w:after="0" w:line="240" w:lineRule="auto"/>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w:t>
            </w:r>
          </w:p>
        </w:tc>
        <w:tc>
          <w:tcPr>
            <w:tcW w:w="1100" w:type="dxa"/>
            <w:tcBorders>
              <w:top w:val="nil"/>
              <w:left w:val="nil"/>
              <w:bottom w:val="single" w:sz="8" w:space="0" w:color="auto"/>
              <w:right w:val="nil"/>
            </w:tcBorders>
            <w:shd w:val="clear" w:color="000000" w:fill="FFFFFF"/>
            <w:noWrap/>
            <w:vAlign w:val="bottom"/>
            <w:hideMark/>
          </w:tcPr>
          <w:p w14:paraId="6CBE1CE2" w14:textId="77777777" w:rsidR="004A31B2" w:rsidRPr="004A31B2" w:rsidRDefault="004A31B2" w:rsidP="004A31B2">
            <w:pPr>
              <w:spacing w:after="0" w:line="240" w:lineRule="auto"/>
              <w:jc w:val="right"/>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xml:space="preserve"> $16,996 </w:t>
            </w:r>
          </w:p>
        </w:tc>
        <w:tc>
          <w:tcPr>
            <w:tcW w:w="200" w:type="dxa"/>
            <w:tcBorders>
              <w:top w:val="nil"/>
              <w:left w:val="nil"/>
              <w:bottom w:val="nil"/>
              <w:right w:val="nil"/>
            </w:tcBorders>
            <w:shd w:val="clear" w:color="000000" w:fill="FFFFFF"/>
            <w:noWrap/>
            <w:vAlign w:val="bottom"/>
            <w:hideMark/>
          </w:tcPr>
          <w:p w14:paraId="5466F985" w14:textId="77777777" w:rsidR="004A31B2" w:rsidRPr="004A31B2" w:rsidRDefault="004A31B2" w:rsidP="004A31B2">
            <w:pPr>
              <w:spacing w:after="0" w:line="240" w:lineRule="auto"/>
              <w:rPr>
                <w:rFonts w:ascii="Segoe UI" w:eastAsia="Times New Roman" w:hAnsi="Segoe UI" w:cs="Segoe UI"/>
                <w:b/>
                <w:bCs/>
                <w:color w:val="666666"/>
                <w:sz w:val="20"/>
                <w:szCs w:val="20"/>
              </w:rPr>
            </w:pPr>
            <w:r w:rsidRPr="004A31B2">
              <w:rPr>
                <w:rFonts w:ascii="Segoe UI" w:eastAsia="Times New Roman" w:hAnsi="Segoe UI" w:cs="Segoe UI"/>
                <w:b/>
                <w:bCs/>
                <w:color w:val="666666"/>
                <w:sz w:val="20"/>
                <w:szCs w:val="20"/>
              </w:rPr>
              <w:t> </w:t>
            </w:r>
          </w:p>
        </w:tc>
        <w:tc>
          <w:tcPr>
            <w:tcW w:w="960" w:type="dxa"/>
            <w:tcBorders>
              <w:top w:val="nil"/>
              <w:left w:val="nil"/>
              <w:bottom w:val="single" w:sz="8" w:space="0" w:color="auto"/>
              <w:right w:val="nil"/>
            </w:tcBorders>
            <w:shd w:val="clear" w:color="000000" w:fill="FFFFFF"/>
            <w:noWrap/>
            <w:vAlign w:val="bottom"/>
            <w:hideMark/>
          </w:tcPr>
          <w:p w14:paraId="0D7F410E" w14:textId="77777777" w:rsidR="004A31B2" w:rsidRPr="004A31B2" w:rsidRDefault="004A31B2" w:rsidP="004A31B2">
            <w:pPr>
              <w:spacing w:after="0" w:line="240" w:lineRule="auto"/>
              <w:jc w:val="right"/>
              <w:rPr>
                <w:rFonts w:ascii="Segoe UI" w:eastAsia="Times New Roman" w:hAnsi="Segoe UI" w:cs="Segoe UI"/>
                <w:color w:val="666666"/>
                <w:sz w:val="20"/>
                <w:szCs w:val="20"/>
              </w:rPr>
            </w:pPr>
            <w:r w:rsidRPr="004A31B2">
              <w:rPr>
                <w:rFonts w:ascii="Segoe UI" w:eastAsia="Times New Roman" w:hAnsi="Segoe UI" w:cs="Segoe UI"/>
                <w:color w:val="666666"/>
                <w:sz w:val="20"/>
                <w:szCs w:val="20"/>
              </w:rPr>
              <w:t xml:space="preserve"> $17,102 </w:t>
            </w:r>
          </w:p>
        </w:tc>
      </w:tr>
    </w:tbl>
    <w:p w14:paraId="5D594606" w14:textId="77777777" w:rsidR="004A31B2" w:rsidRPr="00314DAE" w:rsidRDefault="004A31B2" w:rsidP="00314DAE">
      <w:pPr>
        <w:pStyle w:val="NoSpacing"/>
        <w:spacing w:before="240" w:after="240" w:line="276" w:lineRule="auto"/>
        <w:rPr>
          <w:rFonts w:ascii="Segoe UI" w:hAnsi="Segoe UI" w:cs="Segoe UI"/>
          <w:color w:val="666666"/>
          <w:sz w:val="20"/>
          <w:szCs w:val="20"/>
        </w:rPr>
      </w:pPr>
    </w:p>
    <w:sectPr w:rsidR="004A31B2" w:rsidRPr="00314DAE" w:rsidSect="00D51EA0">
      <w:headerReference w:type="even" r:id="rId12"/>
      <w:headerReference w:type="default" r:id="rId13"/>
      <w:footerReference w:type="even" r:id="rId14"/>
      <w:footerReference w:type="default" r:id="rId15"/>
      <w:headerReference w:type="first" r:id="rId16"/>
      <w:footerReference w:type="first" r:id="rId17"/>
      <w:pgSz w:w="12240" w:h="15840" w:code="1"/>
      <w:pgMar w:top="475"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2A030" w14:textId="77777777" w:rsidR="00D51EA0" w:rsidRDefault="00D51EA0" w:rsidP="00D51EA0">
      <w:pPr>
        <w:spacing w:after="0" w:line="240" w:lineRule="auto"/>
      </w:pPr>
      <w:r>
        <w:separator/>
      </w:r>
    </w:p>
  </w:endnote>
  <w:endnote w:type="continuationSeparator" w:id="0">
    <w:p w14:paraId="35EDF64F" w14:textId="77777777" w:rsidR="00D51EA0" w:rsidRDefault="00D51EA0" w:rsidP="00D5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B5434" w14:textId="77777777" w:rsidR="00D51EA0" w:rsidRDefault="00D51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70245" w14:textId="77777777" w:rsidR="00D51EA0" w:rsidRDefault="00D51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8F333" w14:textId="77777777" w:rsidR="00D51EA0" w:rsidRDefault="00D51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A10FA" w14:textId="77777777" w:rsidR="00D51EA0" w:rsidRDefault="00D51EA0" w:rsidP="00D51EA0">
      <w:pPr>
        <w:spacing w:after="0" w:line="240" w:lineRule="auto"/>
      </w:pPr>
      <w:r>
        <w:separator/>
      </w:r>
    </w:p>
  </w:footnote>
  <w:footnote w:type="continuationSeparator" w:id="0">
    <w:p w14:paraId="02B8E7D3" w14:textId="77777777" w:rsidR="00D51EA0" w:rsidRDefault="00D51EA0" w:rsidP="00D5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508" w14:textId="77777777" w:rsidR="00D51EA0" w:rsidRDefault="00D5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C3583" w14:textId="77777777" w:rsidR="00D51EA0" w:rsidRDefault="00D51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F28EA" w14:textId="77777777" w:rsidR="00D51EA0" w:rsidRDefault="00D51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DC3"/>
    <w:multiLevelType w:val="hybridMultilevel"/>
    <w:tmpl w:val="E47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E7A0D"/>
    <w:multiLevelType w:val="hybridMultilevel"/>
    <w:tmpl w:val="298C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DE"/>
    <w:rsid w:val="00002640"/>
    <w:rsid w:val="000214A7"/>
    <w:rsid w:val="00026EFD"/>
    <w:rsid w:val="00034088"/>
    <w:rsid w:val="000415F8"/>
    <w:rsid w:val="00046C21"/>
    <w:rsid w:val="000470BA"/>
    <w:rsid w:val="00047151"/>
    <w:rsid w:val="00073A0E"/>
    <w:rsid w:val="000777D3"/>
    <w:rsid w:val="00086924"/>
    <w:rsid w:val="00090AB3"/>
    <w:rsid w:val="000A3510"/>
    <w:rsid w:val="000A738A"/>
    <w:rsid w:val="000A7660"/>
    <w:rsid w:val="000B0438"/>
    <w:rsid w:val="000C16E7"/>
    <w:rsid w:val="000C453E"/>
    <w:rsid w:val="000D0D76"/>
    <w:rsid w:val="000D2FA2"/>
    <w:rsid w:val="000D6F45"/>
    <w:rsid w:val="000E30A2"/>
    <w:rsid w:val="000F1AC0"/>
    <w:rsid w:val="00123F1B"/>
    <w:rsid w:val="00137300"/>
    <w:rsid w:val="00163125"/>
    <w:rsid w:val="0017267D"/>
    <w:rsid w:val="00182D73"/>
    <w:rsid w:val="001A1BBE"/>
    <w:rsid w:val="001A246B"/>
    <w:rsid w:val="001A7750"/>
    <w:rsid w:val="001C297F"/>
    <w:rsid w:val="001C393C"/>
    <w:rsid w:val="001C4CD8"/>
    <w:rsid w:val="001F6A11"/>
    <w:rsid w:val="00201872"/>
    <w:rsid w:val="0020396F"/>
    <w:rsid w:val="00207B8E"/>
    <w:rsid w:val="00216AD7"/>
    <w:rsid w:val="00274DEB"/>
    <w:rsid w:val="002908C6"/>
    <w:rsid w:val="0029681C"/>
    <w:rsid w:val="002A022B"/>
    <w:rsid w:val="002A1554"/>
    <w:rsid w:val="002A3AEA"/>
    <w:rsid w:val="002A4503"/>
    <w:rsid w:val="002A4BC9"/>
    <w:rsid w:val="002C4991"/>
    <w:rsid w:val="002C601B"/>
    <w:rsid w:val="002D00C1"/>
    <w:rsid w:val="002D02CB"/>
    <w:rsid w:val="002D6BB0"/>
    <w:rsid w:val="002E1196"/>
    <w:rsid w:val="002E3BD2"/>
    <w:rsid w:val="002F2680"/>
    <w:rsid w:val="002F77C3"/>
    <w:rsid w:val="00311074"/>
    <w:rsid w:val="00314DAE"/>
    <w:rsid w:val="00350A3E"/>
    <w:rsid w:val="00351EB9"/>
    <w:rsid w:val="00373983"/>
    <w:rsid w:val="00391BDF"/>
    <w:rsid w:val="003950F9"/>
    <w:rsid w:val="00397BAE"/>
    <w:rsid w:val="003A0FCC"/>
    <w:rsid w:val="003A5652"/>
    <w:rsid w:val="003C0E25"/>
    <w:rsid w:val="003E01A9"/>
    <w:rsid w:val="003E07C1"/>
    <w:rsid w:val="003F380A"/>
    <w:rsid w:val="004025B7"/>
    <w:rsid w:val="004220BE"/>
    <w:rsid w:val="0042339F"/>
    <w:rsid w:val="0046492B"/>
    <w:rsid w:val="00472C50"/>
    <w:rsid w:val="0048217B"/>
    <w:rsid w:val="0048450B"/>
    <w:rsid w:val="00485ED7"/>
    <w:rsid w:val="004A106C"/>
    <w:rsid w:val="004A31B2"/>
    <w:rsid w:val="004C3DAB"/>
    <w:rsid w:val="004E0347"/>
    <w:rsid w:val="004E6F95"/>
    <w:rsid w:val="004E722E"/>
    <w:rsid w:val="004E77D2"/>
    <w:rsid w:val="004F7F09"/>
    <w:rsid w:val="005447C7"/>
    <w:rsid w:val="00546B62"/>
    <w:rsid w:val="00567115"/>
    <w:rsid w:val="0057330B"/>
    <w:rsid w:val="0058650E"/>
    <w:rsid w:val="005934AA"/>
    <w:rsid w:val="005954ED"/>
    <w:rsid w:val="005C31F7"/>
    <w:rsid w:val="005D5F3C"/>
    <w:rsid w:val="005E4F61"/>
    <w:rsid w:val="005E62A1"/>
    <w:rsid w:val="00602E64"/>
    <w:rsid w:val="00612580"/>
    <w:rsid w:val="00621125"/>
    <w:rsid w:val="006421F0"/>
    <w:rsid w:val="006451F1"/>
    <w:rsid w:val="006459C9"/>
    <w:rsid w:val="00650676"/>
    <w:rsid w:val="00652DD4"/>
    <w:rsid w:val="00654418"/>
    <w:rsid w:val="006577A3"/>
    <w:rsid w:val="00657C94"/>
    <w:rsid w:val="00672307"/>
    <w:rsid w:val="006777B4"/>
    <w:rsid w:val="0068377D"/>
    <w:rsid w:val="00686B48"/>
    <w:rsid w:val="006A481F"/>
    <w:rsid w:val="006B0EA0"/>
    <w:rsid w:val="006B36FF"/>
    <w:rsid w:val="006B58CC"/>
    <w:rsid w:val="006B7087"/>
    <w:rsid w:val="006D0BE0"/>
    <w:rsid w:val="006D3CF7"/>
    <w:rsid w:val="006E3D80"/>
    <w:rsid w:val="006F3D37"/>
    <w:rsid w:val="00704C1A"/>
    <w:rsid w:val="0070758C"/>
    <w:rsid w:val="00721BF6"/>
    <w:rsid w:val="0072611E"/>
    <w:rsid w:val="00737D3E"/>
    <w:rsid w:val="00754476"/>
    <w:rsid w:val="00755D12"/>
    <w:rsid w:val="00762604"/>
    <w:rsid w:val="007847DB"/>
    <w:rsid w:val="00794664"/>
    <w:rsid w:val="007C10B9"/>
    <w:rsid w:val="007C1AD3"/>
    <w:rsid w:val="007D40CD"/>
    <w:rsid w:val="007D45D2"/>
    <w:rsid w:val="007F113E"/>
    <w:rsid w:val="007F6995"/>
    <w:rsid w:val="007F7D01"/>
    <w:rsid w:val="00802BC8"/>
    <w:rsid w:val="00824B44"/>
    <w:rsid w:val="00856E0A"/>
    <w:rsid w:val="00871B2E"/>
    <w:rsid w:val="008824FA"/>
    <w:rsid w:val="008848B8"/>
    <w:rsid w:val="00896825"/>
    <w:rsid w:val="008A4947"/>
    <w:rsid w:val="008B17A0"/>
    <w:rsid w:val="008C164F"/>
    <w:rsid w:val="008C6F4E"/>
    <w:rsid w:val="008C7994"/>
    <w:rsid w:val="008D754A"/>
    <w:rsid w:val="008D79E7"/>
    <w:rsid w:val="008F3619"/>
    <w:rsid w:val="008F6ADD"/>
    <w:rsid w:val="00907108"/>
    <w:rsid w:val="0091462B"/>
    <w:rsid w:val="00914631"/>
    <w:rsid w:val="009332E0"/>
    <w:rsid w:val="00940DAD"/>
    <w:rsid w:val="009519F7"/>
    <w:rsid w:val="009571AA"/>
    <w:rsid w:val="0096183D"/>
    <w:rsid w:val="00970509"/>
    <w:rsid w:val="0098182B"/>
    <w:rsid w:val="00984860"/>
    <w:rsid w:val="00986B85"/>
    <w:rsid w:val="00994932"/>
    <w:rsid w:val="009952A1"/>
    <w:rsid w:val="00995EA7"/>
    <w:rsid w:val="009A2236"/>
    <w:rsid w:val="009A6232"/>
    <w:rsid w:val="009B1FBB"/>
    <w:rsid w:val="009C497A"/>
    <w:rsid w:val="009C4A7C"/>
    <w:rsid w:val="009E20E5"/>
    <w:rsid w:val="009E3E37"/>
    <w:rsid w:val="009F24F5"/>
    <w:rsid w:val="00A06BEA"/>
    <w:rsid w:val="00A12B25"/>
    <w:rsid w:val="00A51A80"/>
    <w:rsid w:val="00A53708"/>
    <w:rsid w:val="00A60043"/>
    <w:rsid w:val="00A663A9"/>
    <w:rsid w:val="00A66C7E"/>
    <w:rsid w:val="00A7290C"/>
    <w:rsid w:val="00A851E1"/>
    <w:rsid w:val="00A904AA"/>
    <w:rsid w:val="00A93219"/>
    <w:rsid w:val="00A9657F"/>
    <w:rsid w:val="00A96EC1"/>
    <w:rsid w:val="00AA0539"/>
    <w:rsid w:val="00AB0A8A"/>
    <w:rsid w:val="00AB29E6"/>
    <w:rsid w:val="00AB7796"/>
    <w:rsid w:val="00AC03D9"/>
    <w:rsid w:val="00AC34BE"/>
    <w:rsid w:val="00AD482F"/>
    <w:rsid w:val="00AD4CEC"/>
    <w:rsid w:val="00AD6769"/>
    <w:rsid w:val="00AE3939"/>
    <w:rsid w:val="00AE3CE3"/>
    <w:rsid w:val="00B272B3"/>
    <w:rsid w:val="00B4246B"/>
    <w:rsid w:val="00B729CE"/>
    <w:rsid w:val="00B74889"/>
    <w:rsid w:val="00B86436"/>
    <w:rsid w:val="00B90EBF"/>
    <w:rsid w:val="00B929A3"/>
    <w:rsid w:val="00BC742F"/>
    <w:rsid w:val="00BD2BC2"/>
    <w:rsid w:val="00BE6650"/>
    <w:rsid w:val="00BF0D5C"/>
    <w:rsid w:val="00BF7E1C"/>
    <w:rsid w:val="00C01E44"/>
    <w:rsid w:val="00C053A9"/>
    <w:rsid w:val="00C131CE"/>
    <w:rsid w:val="00C446A3"/>
    <w:rsid w:val="00C613B0"/>
    <w:rsid w:val="00C647CD"/>
    <w:rsid w:val="00C65553"/>
    <w:rsid w:val="00C86FAF"/>
    <w:rsid w:val="00C962C9"/>
    <w:rsid w:val="00C96BEC"/>
    <w:rsid w:val="00CA55B9"/>
    <w:rsid w:val="00CB6F63"/>
    <w:rsid w:val="00CC5F54"/>
    <w:rsid w:val="00CD5AF2"/>
    <w:rsid w:val="00D12CBE"/>
    <w:rsid w:val="00D24E20"/>
    <w:rsid w:val="00D30775"/>
    <w:rsid w:val="00D32B85"/>
    <w:rsid w:val="00D4069E"/>
    <w:rsid w:val="00D501F9"/>
    <w:rsid w:val="00D51EA0"/>
    <w:rsid w:val="00D6132D"/>
    <w:rsid w:val="00D71589"/>
    <w:rsid w:val="00D94688"/>
    <w:rsid w:val="00DA7796"/>
    <w:rsid w:val="00DC24DB"/>
    <w:rsid w:val="00DE0BF7"/>
    <w:rsid w:val="00DE0C37"/>
    <w:rsid w:val="00DE0C5A"/>
    <w:rsid w:val="00DF3A9B"/>
    <w:rsid w:val="00E01372"/>
    <w:rsid w:val="00E0306A"/>
    <w:rsid w:val="00E07C79"/>
    <w:rsid w:val="00E12219"/>
    <w:rsid w:val="00E31868"/>
    <w:rsid w:val="00E36A69"/>
    <w:rsid w:val="00E4141E"/>
    <w:rsid w:val="00E4147E"/>
    <w:rsid w:val="00E4700F"/>
    <w:rsid w:val="00E50CCE"/>
    <w:rsid w:val="00E50CD0"/>
    <w:rsid w:val="00E604DB"/>
    <w:rsid w:val="00E668E5"/>
    <w:rsid w:val="00E66E03"/>
    <w:rsid w:val="00E85996"/>
    <w:rsid w:val="00E9116C"/>
    <w:rsid w:val="00E9365A"/>
    <w:rsid w:val="00E9700D"/>
    <w:rsid w:val="00EA690A"/>
    <w:rsid w:val="00EB0E32"/>
    <w:rsid w:val="00EB2C15"/>
    <w:rsid w:val="00EE3689"/>
    <w:rsid w:val="00F055AF"/>
    <w:rsid w:val="00F06B1B"/>
    <w:rsid w:val="00F0700C"/>
    <w:rsid w:val="00F30488"/>
    <w:rsid w:val="00F32B62"/>
    <w:rsid w:val="00F441A5"/>
    <w:rsid w:val="00F50618"/>
    <w:rsid w:val="00F76A5E"/>
    <w:rsid w:val="00FA156D"/>
    <w:rsid w:val="00FA3DB9"/>
    <w:rsid w:val="00FA507B"/>
    <w:rsid w:val="00FB03D8"/>
    <w:rsid w:val="00FB6AEC"/>
    <w:rsid w:val="00FE64CA"/>
    <w:rsid w:val="00FF12DE"/>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0A76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4DA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AE"/>
    <w:pPr>
      <w:ind w:left="720"/>
      <w:contextualSpacing/>
    </w:pPr>
    <w:rPr>
      <w:rFonts w:ascii="Times New Roman" w:hAnsi="Times New Roman"/>
      <w:sz w:val="24"/>
    </w:rPr>
  </w:style>
  <w:style w:type="paragraph" w:styleId="NoSpacing">
    <w:name w:val="No Spacing"/>
    <w:uiPriority w:val="1"/>
    <w:qFormat/>
    <w:rsid w:val="00314DAE"/>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314DAE"/>
    <w:rPr>
      <w:color w:val="0563C1" w:themeColor="hyperlink"/>
      <w:u w:val="single"/>
    </w:rPr>
  </w:style>
  <w:style w:type="character" w:styleId="CommentReference">
    <w:name w:val="annotation reference"/>
    <w:basedOn w:val="DefaultParagraphFont"/>
    <w:uiPriority w:val="99"/>
    <w:semiHidden/>
    <w:unhideWhenUsed/>
    <w:rsid w:val="00940DAD"/>
    <w:rPr>
      <w:sz w:val="16"/>
      <w:szCs w:val="16"/>
    </w:rPr>
  </w:style>
  <w:style w:type="paragraph" w:styleId="CommentText">
    <w:name w:val="annotation text"/>
    <w:basedOn w:val="Normal"/>
    <w:link w:val="CommentTextChar"/>
    <w:uiPriority w:val="99"/>
    <w:semiHidden/>
    <w:unhideWhenUsed/>
    <w:rsid w:val="00940DAD"/>
    <w:pPr>
      <w:spacing w:line="240" w:lineRule="auto"/>
    </w:pPr>
    <w:rPr>
      <w:sz w:val="20"/>
      <w:szCs w:val="20"/>
    </w:rPr>
  </w:style>
  <w:style w:type="character" w:customStyle="1" w:styleId="CommentTextChar">
    <w:name w:val="Comment Text Char"/>
    <w:basedOn w:val="DefaultParagraphFont"/>
    <w:link w:val="CommentText"/>
    <w:uiPriority w:val="99"/>
    <w:semiHidden/>
    <w:rsid w:val="00940DA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40DAD"/>
    <w:rPr>
      <w:b/>
      <w:bCs/>
    </w:rPr>
  </w:style>
  <w:style w:type="character" w:customStyle="1" w:styleId="CommentSubjectChar">
    <w:name w:val="Comment Subject Char"/>
    <w:basedOn w:val="CommentTextChar"/>
    <w:link w:val="CommentSubject"/>
    <w:uiPriority w:val="99"/>
    <w:semiHidden/>
    <w:rsid w:val="00940DA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40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DAD"/>
    <w:rPr>
      <w:rFonts w:ascii="Segoe UI" w:eastAsia="Calibri" w:hAnsi="Segoe UI" w:cs="Segoe UI"/>
      <w:sz w:val="18"/>
      <w:szCs w:val="18"/>
    </w:rPr>
  </w:style>
  <w:style w:type="paragraph" w:styleId="Header">
    <w:name w:val="header"/>
    <w:basedOn w:val="Normal"/>
    <w:link w:val="HeaderChar"/>
    <w:uiPriority w:val="99"/>
    <w:unhideWhenUsed/>
    <w:rsid w:val="00D51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A0"/>
    <w:rPr>
      <w:rFonts w:ascii="Calibri" w:eastAsia="Calibri" w:hAnsi="Calibri" w:cs="Times New Roman"/>
    </w:rPr>
  </w:style>
  <w:style w:type="paragraph" w:styleId="Footer">
    <w:name w:val="footer"/>
    <w:basedOn w:val="Normal"/>
    <w:link w:val="FooterChar"/>
    <w:uiPriority w:val="99"/>
    <w:unhideWhenUsed/>
    <w:rsid w:val="00D51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A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9902">
      <w:bodyDiv w:val="1"/>
      <w:marLeft w:val="0"/>
      <w:marRight w:val="0"/>
      <w:marTop w:val="0"/>
      <w:marBottom w:val="0"/>
      <w:divBdr>
        <w:top w:val="none" w:sz="0" w:space="0" w:color="auto"/>
        <w:left w:val="none" w:sz="0" w:space="0" w:color="auto"/>
        <w:bottom w:val="none" w:sz="0" w:space="0" w:color="auto"/>
        <w:right w:val="none" w:sz="0" w:space="0" w:color="auto"/>
      </w:divBdr>
    </w:div>
    <w:div w:id="638846396">
      <w:bodyDiv w:val="1"/>
      <w:marLeft w:val="0"/>
      <w:marRight w:val="0"/>
      <w:marTop w:val="0"/>
      <w:marBottom w:val="0"/>
      <w:divBdr>
        <w:top w:val="none" w:sz="0" w:space="0" w:color="auto"/>
        <w:left w:val="none" w:sz="0" w:space="0" w:color="auto"/>
        <w:bottom w:val="none" w:sz="0" w:space="0" w:color="auto"/>
        <w:right w:val="none" w:sz="0" w:space="0" w:color="auto"/>
      </w:divBdr>
    </w:div>
    <w:div w:id="1393432401">
      <w:bodyDiv w:val="1"/>
      <w:marLeft w:val="0"/>
      <w:marRight w:val="0"/>
      <w:marTop w:val="0"/>
      <w:marBottom w:val="0"/>
      <w:divBdr>
        <w:top w:val="none" w:sz="0" w:space="0" w:color="auto"/>
        <w:left w:val="none" w:sz="0" w:space="0" w:color="auto"/>
        <w:bottom w:val="none" w:sz="0" w:space="0" w:color="auto"/>
        <w:right w:val="none" w:sz="0" w:space="0" w:color="auto"/>
      </w:divBdr>
    </w:div>
    <w:div w:id="1478454290">
      <w:bodyDiv w:val="1"/>
      <w:marLeft w:val="0"/>
      <w:marRight w:val="0"/>
      <w:marTop w:val="0"/>
      <w:marBottom w:val="0"/>
      <w:divBdr>
        <w:top w:val="none" w:sz="0" w:space="0" w:color="auto"/>
        <w:left w:val="none" w:sz="0" w:space="0" w:color="auto"/>
        <w:bottom w:val="none" w:sz="0" w:space="0" w:color="auto"/>
        <w:right w:val="none" w:sz="0" w:space="0" w:color="auto"/>
      </w:divBdr>
    </w:div>
    <w:div w:id="19957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n-us/investo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investo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icrosoft.com/n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rt@waggeneredstrom.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2017-04-27T02:00:00Z</dcterms:created>
  <dcterms:modified xsi:type="dcterms:W3CDTF">2017-04-27T02:01:00Z</dcterms:modified>
</cp:coreProperties>
</file>