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CF39A0" w14:textId="0AFAB469" w:rsidR="00671EF4" w:rsidRPr="00243400" w:rsidRDefault="00671EF4" w:rsidP="3A42354A">
      <w:pPr>
        <w:spacing w:after="0"/>
        <w:rPr>
          <w:rFonts w:ascii="Segoe UI" w:hAnsi="Segoe UI" w:cs="Segoe UI"/>
          <w:color w:val="666666"/>
          <w:sz w:val="26"/>
          <w:szCs w:val="26"/>
        </w:rPr>
      </w:pPr>
      <w:r w:rsidRPr="00671EF4">
        <w:rPr>
          <w:rFonts w:ascii="Segoe UI" w:hAnsi="Segoe UI" w:cs="Segoe UI"/>
          <w:color w:val="666666"/>
          <w:sz w:val="26"/>
          <w:szCs w:val="26"/>
        </w:rPr>
        <w:t>Microsoft Cloud Continues to Grow, Powers First Quarter Results</w:t>
      </w:r>
    </w:p>
    <w:p w14:paraId="19BE56BE" w14:textId="6D70702F" w:rsidR="000856AD" w:rsidRPr="00243400" w:rsidRDefault="00294864" w:rsidP="3A42354A">
      <w:pPr>
        <w:spacing w:after="240"/>
        <w:rPr>
          <w:rFonts w:ascii="Segoe UI" w:eastAsiaTheme="minorEastAsia" w:hAnsi="Segoe UI" w:cs="Segoe UI"/>
          <w:i/>
          <w:iCs/>
          <w:color w:val="666666"/>
          <w:sz w:val="18"/>
          <w:szCs w:val="18"/>
        </w:rPr>
      </w:pPr>
      <w:r>
        <w:rPr>
          <w:rFonts w:ascii="Segoe UI" w:eastAsiaTheme="minorEastAsia" w:hAnsi="Segoe UI" w:cs="Segoe UI"/>
          <w:i/>
          <w:iCs/>
          <w:color w:val="666666"/>
          <w:sz w:val="18"/>
          <w:szCs w:val="18"/>
        </w:rPr>
        <w:t>C</w:t>
      </w:r>
      <w:r w:rsidR="3A42354A" w:rsidRPr="3A42354A">
        <w:rPr>
          <w:rFonts w:ascii="Segoe UI" w:eastAsiaTheme="minorEastAsia" w:hAnsi="Segoe UI" w:cs="Segoe UI"/>
          <w:i/>
          <w:iCs/>
          <w:color w:val="666666"/>
          <w:sz w:val="18"/>
          <w:szCs w:val="18"/>
        </w:rPr>
        <w:t xml:space="preserve">ommercial cloud annualized revenue run rate </w:t>
      </w:r>
      <w:r w:rsidR="002B4F9E">
        <w:rPr>
          <w:rFonts w:ascii="Segoe UI" w:eastAsiaTheme="minorEastAsia" w:hAnsi="Segoe UI" w:cs="Segoe UI"/>
          <w:i/>
          <w:iCs/>
          <w:color w:val="666666"/>
          <w:sz w:val="18"/>
          <w:szCs w:val="18"/>
        </w:rPr>
        <w:t>reaches</w:t>
      </w:r>
      <w:r>
        <w:rPr>
          <w:rFonts w:ascii="Segoe UI" w:eastAsiaTheme="minorEastAsia" w:hAnsi="Segoe UI" w:cs="Segoe UI"/>
          <w:i/>
          <w:iCs/>
          <w:color w:val="666666"/>
          <w:sz w:val="18"/>
          <w:szCs w:val="18"/>
        </w:rPr>
        <w:t xml:space="preserve"> $20.4 billion</w:t>
      </w:r>
    </w:p>
    <w:p w14:paraId="361282ED" w14:textId="7CC15804" w:rsidR="000856AD" w:rsidRDefault="3A42354A" w:rsidP="3A42354A">
      <w:pPr>
        <w:spacing w:before="240" w:after="240"/>
        <w:rPr>
          <w:rFonts w:ascii="Segoe UI" w:hAnsi="Segoe UI" w:cs="Segoe UI"/>
          <w:color w:val="666666"/>
          <w:sz w:val="20"/>
          <w:szCs w:val="20"/>
        </w:rPr>
      </w:pPr>
      <w:r w:rsidRPr="3A42354A">
        <w:rPr>
          <w:rFonts w:ascii="Segoe UI" w:hAnsi="Segoe UI" w:cs="Segoe UI"/>
          <w:b/>
          <w:bCs/>
          <w:color w:val="666666"/>
          <w:sz w:val="20"/>
          <w:szCs w:val="20"/>
        </w:rPr>
        <w:t xml:space="preserve">REDMOND, Wash. — October 26, 2017 — </w:t>
      </w:r>
      <w:r w:rsidRPr="3A42354A">
        <w:rPr>
          <w:rFonts w:ascii="Segoe UI" w:hAnsi="Segoe UI" w:cs="Segoe UI"/>
          <w:color w:val="666666"/>
          <w:sz w:val="20"/>
          <w:szCs w:val="20"/>
        </w:rPr>
        <w:t>Microsoft Corp. today announced the following results for the quarter ended September 30, 2017:</w:t>
      </w:r>
    </w:p>
    <w:p w14:paraId="49699589" w14:textId="26392231" w:rsidR="00B573E3" w:rsidRPr="00243400" w:rsidRDefault="3A42354A" w:rsidP="3A42354A">
      <w:pPr>
        <w:pStyle w:val="ListParagraph"/>
        <w:numPr>
          <w:ilvl w:val="0"/>
          <w:numId w:val="4"/>
        </w:numPr>
        <w:spacing w:before="240" w:after="240"/>
        <w:rPr>
          <w:rFonts w:ascii="Segoe UI" w:hAnsi="Segoe UI" w:cs="Segoe UI"/>
          <w:color w:val="666666"/>
          <w:sz w:val="20"/>
          <w:szCs w:val="20"/>
        </w:rPr>
      </w:pPr>
      <w:r w:rsidRPr="3A42354A">
        <w:rPr>
          <w:rFonts w:ascii="Segoe UI" w:hAnsi="Segoe UI" w:cs="Segoe UI"/>
          <w:color w:val="666666"/>
          <w:sz w:val="20"/>
          <w:szCs w:val="20"/>
        </w:rPr>
        <w:t xml:space="preserve">Revenue was $24.5 billion and increased 12% </w:t>
      </w:r>
    </w:p>
    <w:p w14:paraId="729A96B0" w14:textId="3562ABE1" w:rsidR="00B573E3" w:rsidRPr="00243400" w:rsidRDefault="3A42354A" w:rsidP="3A42354A">
      <w:pPr>
        <w:pStyle w:val="ListParagraph"/>
        <w:numPr>
          <w:ilvl w:val="0"/>
          <w:numId w:val="4"/>
        </w:numPr>
        <w:spacing w:before="240" w:after="240"/>
        <w:rPr>
          <w:rFonts w:ascii="Segoe UI" w:hAnsi="Segoe UI" w:cs="Segoe UI"/>
          <w:color w:val="666666"/>
          <w:sz w:val="20"/>
          <w:szCs w:val="20"/>
        </w:rPr>
      </w:pPr>
      <w:r w:rsidRPr="3A42354A">
        <w:rPr>
          <w:rFonts w:ascii="Segoe UI" w:hAnsi="Segoe UI" w:cs="Segoe UI"/>
          <w:color w:val="666666"/>
          <w:sz w:val="20"/>
          <w:szCs w:val="20"/>
        </w:rPr>
        <w:t xml:space="preserve">Operating income was $7.7 billion and increased 15% </w:t>
      </w:r>
    </w:p>
    <w:p w14:paraId="47936CC7" w14:textId="66AB6001" w:rsidR="00B573E3" w:rsidRDefault="3A42354A" w:rsidP="3A42354A">
      <w:pPr>
        <w:pStyle w:val="ListParagraph"/>
        <w:numPr>
          <w:ilvl w:val="0"/>
          <w:numId w:val="4"/>
        </w:numPr>
        <w:spacing w:before="240" w:after="240"/>
        <w:rPr>
          <w:rFonts w:ascii="Segoe UI" w:hAnsi="Segoe UI" w:cs="Segoe UI"/>
          <w:color w:val="666666"/>
          <w:sz w:val="20"/>
          <w:szCs w:val="20"/>
        </w:rPr>
      </w:pPr>
      <w:r w:rsidRPr="3A42354A">
        <w:rPr>
          <w:rFonts w:ascii="Segoe UI" w:hAnsi="Segoe UI" w:cs="Segoe UI"/>
          <w:color w:val="666666"/>
          <w:sz w:val="20"/>
          <w:szCs w:val="20"/>
        </w:rPr>
        <w:t xml:space="preserve">Net income was $6.6 billion and increased 16% </w:t>
      </w:r>
    </w:p>
    <w:p w14:paraId="62FE1B48" w14:textId="161FDD69" w:rsidR="00B573E3" w:rsidRPr="00B573E3" w:rsidRDefault="3A42354A" w:rsidP="3A42354A">
      <w:pPr>
        <w:pStyle w:val="ListParagraph"/>
        <w:numPr>
          <w:ilvl w:val="0"/>
          <w:numId w:val="4"/>
        </w:numPr>
        <w:spacing w:before="240" w:after="240"/>
        <w:rPr>
          <w:rFonts w:ascii="Segoe UI" w:hAnsi="Segoe UI" w:cs="Segoe UI"/>
          <w:color w:val="666666"/>
          <w:sz w:val="20"/>
          <w:szCs w:val="20"/>
        </w:rPr>
      </w:pPr>
      <w:r w:rsidRPr="3A42354A">
        <w:rPr>
          <w:rFonts w:ascii="Segoe UI" w:hAnsi="Segoe UI" w:cs="Segoe UI"/>
          <w:color w:val="666666"/>
          <w:sz w:val="20"/>
          <w:szCs w:val="20"/>
        </w:rPr>
        <w:t xml:space="preserve">Diluted earnings per share was $0.84 and increased 17% </w:t>
      </w:r>
    </w:p>
    <w:p w14:paraId="761E2AE4" w14:textId="119D9DB0" w:rsidR="0089043B" w:rsidRPr="0089043B" w:rsidRDefault="3A42354A" w:rsidP="3A42354A">
      <w:pPr>
        <w:rPr>
          <w:rFonts w:ascii="Segoe UI" w:hAnsi="Segoe UI" w:cs="Segoe UI"/>
          <w:color w:val="666666"/>
          <w:sz w:val="20"/>
          <w:szCs w:val="20"/>
        </w:rPr>
      </w:pPr>
      <w:r w:rsidRPr="3A42354A">
        <w:rPr>
          <w:rFonts w:ascii="Segoe UI" w:hAnsi="Segoe UI" w:cs="Segoe UI"/>
          <w:color w:val="666666"/>
          <w:sz w:val="20"/>
          <w:szCs w:val="20"/>
        </w:rPr>
        <w:t>“</w:t>
      </w:r>
      <w:r w:rsidR="003F672C" w:rsidRPr="003F672C">
        <w:rPr>
          <w:rFonts w:ascii="Segoe UI" w:hAnsi="Segoe UI" w:cs="Segoe UI"/>
          <w:color w:val="666666"/>
          <w:sz w:val="20"/>
          <w:szCs w:val="20"/>
        </w:rPr>
        <w:t>This quarter we exceeded $20 billion in commercial cloud ARR, outpacing the goal we set just over two years ago,” said Satya Nadella, chief executive officer at Microsoft. “Our results reflect accelerating innovation and increased usage and engagement across our businesses as customers continue to choose Microsoft to help them transform</w:t>
      </w:r>
      <w:r w:rsidR="00164C00">
        <w:rPr>
          <w:rFonts w:ascii="Segoe UI" w:hAnsi="Segoe UI" w:cs="Segoe UI"/>
          <w:color w:val="666666"/>
          <w:sz w:val="20"/>
          <w:szCs w:val="20"/>
        </w:rPr>
        <w:t>.</w:t>
      </w:r>
      <w:r w:rsidRPr="3A42354A">
        <w:rPr>
          <w:rFonts w:ascii="Segoe UI" w:hAnsi="Segoe UI" w:cs="Segoe UI"/>
          <w:color w:val="666666"/>
          <w:sz w:val="20"/>
          <w:szCs w:val="20"/>
        </w:rPr>
        <w:t xml:space="preserve">” </w:t>
      </w:r>
    </w:p>
    <w:p w14:paraId="64CE8D7E" w14:textId="4014F017" w:rsidR="003B4F4D" w:rsidRDefault="3A42354A" w:rsidP="3A42354A">
      <w:pPr>
        <w:spacing w:after="160"/>
        <w:rPr>
          <w:rFonts w:ascii="Segoe UI" w:hAnsi="Segoe UI" w:cs="Segoe UI"/>
          <w:color w:val="666666"/>
          <w:sz w:val="20"/>
          <w:szCs w:val="20"/>
        </w:rPr>
      </w:pPr>
      <w:r w:rsidRPr="3A42354A">
        <w:rPr>
          <w:rFonts w:ascii="Segoe UI" w:hAnsi="Segoe UI" w:cs="Segoe UI"/>
          <w:color w:val="666666"/>
          <w:sz w:val="20"/>
          <w:szCs w:val="20"/>
        </w:rPr>
        <w:t>Microsoft returned $4.8 billion to shareholders in the form of share repurchases and dividends in the first quarter of fiscal year 2018. During the quarter, the company announced a</w:t>
      </w:r>
      <w:r w:rsidR="0078043A">
        <w:rPr>
          <w:rFonts w:ascii="Segoe UI" w:hAnsi="Segoe UI" w:cs="Segoe UI"/>
          <w:color w:val="666666"/>
          <w:sz w:val="20"/>
          <w:szCs w:val="20"/>
        </w:rPr>
        <w:t>n</w:t>
      </w:r>
      <w:r w:rsidRPr="3A42354A">
        <w:rPr>
          <w:rFonts w:ascii="Segoe UI" w:hAnsi="Segoe UI" w:cs="Segoe UI"/>
          <w:color w:val="666666"/>
          <w:sz w:val="20"/>
          <w:szCs w:val="20"/>
        </w:rPr>
        <w:t xml:space="preserve"> </w:t>
      </w:r>
      <w:r w:rsidR="0078043A">
        <w:rPr>
          <w:rFonts w:ascii="Segoe UI" w:hAnsi="Segoe UI" w:cs="Segoe UI"/>
          <w:color w:val="666666"/>
          <w:sz w:val="20"/>
          <w:szCs w:val="20"/>
        </w:rPr>
        <w:t>8</w:t>
      </w:r>
      <w:r w:rsidRPr="3A42354A">
        <w:rPr>
          <w:rFonts w:ascii="Segoe UI" w:hAnsi="Segoe UI" w:cs="Segoe UI"/>
          <w:color w:val="666666"/>
          <w:sz w:val="20"/>
          <w:szCs w:val="20"/>
        </w:rPr>
        <w:t>% increase in its quarterly dividend to $0.42 per share.</w:t>
      </w:r>
    </w:p>
    <w:p w14:paraId="63170060" w14:textId="2047BFF8" w:rsidR="00086222" w:rsidRPr="00086222" w:rsidRDefault="3A42354A" w:rsidP="3A42354A">
      <w:pPr>
        <w:rPr>
          <w:rFonts w:ascii="Segoe UI" w:hAnsi="Segoe UI" w:cs="Segoe UI"/>
          <w:color w:val="666666"/>
          <w:sz w:val="20"/>
          <w:szCs w:val="20"/>
        </w:rPr>
      </w:pPr>
      <w:r w:rsidRPr="3A42354A">
        <w:rPr>
          <w:rFonts w:ascii="Segoe UI" w:hAnsi="Segoe UI" w:cs="Segoe UI"/>
          <w:color w:val="666666"/>
          <w:sz w:val="20"/>
          <w:szCs w:val="20"/>
        </w:rPr>
        <w:t>“</w:t>
      </w:r>
      <w:r w:rsidR="00BB7F6F" w:rsidRPr="00BB7F6F">
        <w:rPr>
          <w:rFonts w:ascii="Segoe UI" w:hAnsi="Segoe UI" w:cs="Segoe UI"/>
          <w:color w:val="666666"/>
          <w:sz w:val="20"/>
          <w:szCs w:val="20"/>
        </w:rPr>
        <w:t>Our strong start to the fiscal year reflects the impact of our continued investment in product innovation and sales capacity to capture expanding market opportunities</w:t>
      </w:r>
      <w:r w:rsidR="00C81BA7">
        <w:rPr>
          <w:rFonts w:ascii="Segoe UI" w:hAnsi="Segoe UI" w:cs="Segoe UI"/>
          <w:color w:val="666666"/>
          <w:sz w:val="20"/>
          <w:szCs w:val="20"/>
        </w:rPr>
        <w:t>,</w:t>
      </w:r>
      <w:r w:rsidRPr="3A42354A">
        <w:rPr>
          <w:rFonts w:ascii="Segoe UI" w:hAnsi="Segoe UI" w:cs="Segoe UI"/>
          <w:color w:val="666666"/>
          <w:sz w:val="20"/>
          <w:szCs w:val="20"/>
        </w:rPr>
        <w:t xml:space="preserve">” said Amy Hood, executive vice president and chief financial officer at Microsoft. </w:t>
      </w:r>
    </w:p>
    <w:p w14:paraId="04764868" w14:textId="788F7DA5" w:rsidR="000856AD" w:rsidRPr="00243400" w:rsidRDefault="3A42354A" w:rsidP="3A42354A">
      <w:pPr>
        <w:spacing w:before="240" w:after="240"/>
        <w:rPr>
          <w:rFonts w:ascii="Segoe UI" w:hAnsi="Segoe UI" w:cs="Segoe UI"/>
          <w:color w:val="666666"/>
          <w:sz w:val="20"/>
          <w:szCs w:val="20"/>
        </w:rPr>
      </w:pPr>
      <w:r w:rsidRPr="3A42354A">
        <w:rPr>
          <w:rFonts w:ascii="Segoe UI" w:hAnsi="Segoe UI" w:cs="Segoe UI"/>
          <w:color w:val="666666"/>
          <w:sz w:val="20"/>
          <w:szCs w:val="20"/>
        </w:rPr>
        <w:t>Revenue in Productivity and Business Processes was $8.2 billion and increased 28% (up 28% in constant currency), with the following business highlights:</w:t>
      </w:r>
    </w:p>
    <w:p w14:paraId="48C475FA" w14:textId="668E7293" w:rsidR="000856AD" w:rsidRPr="00243400" w:rsidRDefault="3A42354A" w:rsidP="3A42354A">
      <w:pPr>
        <w:pStyle w:val="ListParagraph"/>
        <w:numPr>
          <w:ilvl w:val="0"/>
          <w:numId w:val="2"/>
        </w:numPr>
        <w:spacing w:before="240" w:after="240"/>
        <w:rPr>
          <w:rFonts w:ascii="Segoe UI" w:hAnsi="Segoe UI" w:cs="Segoe UI"/>
          <w:color w:val="666666"/>
          <w:sz w:val="20"/>
          <w:szCs w:val="20"/>
        </w:rPr>
      </w:pPr>
      <w:r w:rsidRPr="3A42354A">
        <w:rPr>
          <w:rFonts w:ascii="Segoe UI" w:hAnsi="Segoe UI" w:cs="Segoe UI"/>
          <w:color w:val="666666"/>
          <w:sz w:val="20"/>
          <w:szCs w:val="20"/>
        </w:rPr>
        <w:t>Office commercial products and cloud services revenue increased 10% (up 10% in constant currency) driven by Office 365 commercial revenue growth of 42% (up 42% in constant currency)</w:t>
      </w:r>
    </w:p>
    <w:p w14:paraId="33EEDA80" w14:textId="46265A53" w:rsidR="000856AD" w:rsidRPr="00243400" w:rsidRDefault="3A42354A" w:rsidP="3A42354A">
      <w:pPr>
        <w:pStyle w:val="ListParagraph"/>
        <w:numPr>
          <w:ilvl w:val="0"/>
          <w:numId w:val="2"/>
        </w:numPr>
        <w:spacing w:before="240" w:after="240"/>
        <w:rPr>
          <w:rFonts w:ascii="Segoe UI" w:hAnsi="Segoe UI" w:cs="Segoe UI"/>
          <w:color w:val="666666"/>
          <w:sz w:val="20"/>
          <w:szCs w:val="20"/>
        </w:rPr>
      </w:pPr>
      <w:r w:rsidRPr="3A42354A">
        <w:rPr>
          <w:rFonts w:ascii="Segoe UI" w:hAnsi="Segoe UI" w:cs="Segoe UI"/>
          <w:color w:val="666666"/>
          <w:sz w:val="20"/>
          <w:szCs w:val="20"/>
        </w:rPr>
        <w:t>Office consumer products and cloud services revenue increased 12% (up 10% in constant currency) and Office 365 consumer subscribers increased to 28.0 million</w:t>
      </w:r>
    </w:p>
    <w:p w14:paraId="6D4142CE" w14:textId="54BA9D42" w:rsidR="000856AD" w:rsidRPr="00243400" w:rsidRDefault="3A42354A" w:rsidP="3A42354A">
      <w:pPr>
        <w:pStyle w:val="ListParagraph"/>
        <w:numPr>
          <w:ilvl w:val="0"/>
          <w:numId w:val="2"/>
        </w:numPr>
        <w:spacing w:before="240" w:after="240"/>
        <w:rPr>
          <w:rFonts w:ascii="Segoe UI" w:hAnsi="Segoe UI" w:cs="Segoe UI"/>
          <w:color w:val="666666"/>
          <w:sz w:val="20"/>
          <w:szCs w:val="20"/>
        </w:rPr>
      </w:pPr>
      <w:r w:rsidRPr="3A42354A">
        <w:rPr>
          <w:rFonts w:ascii="Segoe UI" w:hAnsi="Segoe UI" w:cs="Segoe UI"/>
          <w:color w:val="666666"/>
          <w:sz w:val="20"/>
          <w:szCs w:val="20"/>
        </w:rPr>
        <w:t>Dynamics products and cloud services revenue increased 13% (up 12% in constant currency) driven by Dynamics 365 revenue growth of 69% (up 69% in constant currency)</w:t>
      </w:r>
    </w:p>
    <w:p w14:paraId="7BACBEA9" w14:textId="2CC4AE14" w:rsidR="004D48A3" w:rsidRPr="00243400" w:rsidRDefault="3A42354A" w:rsidP="3A42354A">
      <w:pPr>
        <w:pStyle w:val="ListParagraph"/>
        <w:numPr>
          <w:ilvl w:val="0"/>
          <w:numId w:val="2"/>
        </w:numPr>
        <w:spacing w:before="240" w:after="240"/>
        <w:rPr>
          <w:rFonts w:ascii="Segoe UI" w:hAnsi="Segoe UI" w:cs="Segoe UI"/>
          <w:color w:val="666666"/>
          <w:sz w:val="20"/>
          <w:szCs w:val="20"/>
        </w:rPr>
      </w:pPr>
      <w:r w:rsidRPr="3A42354A">
        <w:rPr>
          <w:rFonts w:ascii="Segoe UI" w:hAnsi="Segoe UI" w:cs="Segoe UI"/>
          <w:color w:val="666666"/>
          <w:sz w:val="20"/>
          <w:szCs w:val="20"/>
        </w:rPr>
        <w:t>LinkedIn contributed revenue of $1.1 billion during the quarter</w:t>
      </w:r>
    </w:p>
    <w:p w14:paraId="2D1B53E7" w14:textId="1467AD6B" w:rsidR="000856AD" w:rsidRPr="00D60058" w:rsidRDefault="3A42354A" w:rsidP="3A42354A">
      <w:pPr>
        <w:spacing w:before="240" w:after="240"/>
        <w:rPr>
          <w:rFonts w:ascii="Segoe UI" w:hAnsi="Segoe UI" w:cs="Segoe UI"/>
          <w:color w:val="666666"/>
          <w:sz w:val="20"/>
          <w:szCs w:val="20"/>
        </w:rPr>
      </w:pPr>
      <w:r w:rsidRPr="3A42354A">
        <w:rPr>
          <w:rFonts w:ascii="Segoe UI" w:hAnsi="Segoe UI" w:cs="Segoe UI"/>
          <w:color w:val="666666"/>
          <w:sz w:val="20"/>
          <w:szCs w:val="20"/>
        </w:rPr>
        <w:t>Revenue in Intelligent Cloud was $6.9 billion and increased 14% (up 13% in constant currency), with the following business highlights:</w:t>
      </w:r>
    </w:p>
    <w:p w14:paraId="0C6E9E29" w14:textId="4D6270B1" w:rsidR="000856AD" w:rsidRPr="00243400" w:rsidRDefault="3A42354A" w:rsidP="3A42354A">
      <w:pPr>
        <w:pStyle w:val="ListParagraph"/>
        <w:numPr>
          <w:ilvl w:val="0"/>
          <w:numId w:val="3"/>
        </w:numPr>
        <w:spacing w:before="240" w:after="240"/>
        <w:rPr>
          <w:rFonts w:ascii="Segoe UI" w:hAnsi="Segoe UI" w:cs="Segoe UI"/>
          <w:color w:val="666666"/>
          <w:sz w:val="20"/>
          <w:szCs w:val="20"/>
        </w:rPr>
      </w:pPr>
      <w:r w:rsidRPr="3A42354A">
        <w:rPr>
          <w:rFonts w:ascii="Segoe UI" w:hAnsi="Segoe UI" w:cs="Segoe UI"/>
          <w:color w:val="666666"/>
          <w:sz w:val="20"/>
          <w:szCs w:val="20"/>
        </w:rPr>
        <w:t>Server products and cloud services revenue increased 17% (up 17% in constant currency) driven by Azure revenue growth of 90% (up 89% in constant currency)</w:t>
      </w:r>
    </w:p>
    <w:p w14:paraId="0AB64B30" w14:textId="3D2F45AD" w:rsidR="000856AD" w:rsidRPr="00243400" w:rsidRDefault="3A42354A" w:rsidP="3A42354A">
      <w:pPr>
        <w:pStyle w:val="ListParagraph"/>
        <w:numPr>
          <w:ilvl w:val="0"/>
          <w:numId w:val="3"/>
        </w:numPr>
        <w:spacing w:before="240" w:after="240"/>
        <w:rPr>
          <w:rFonts w:ascii="Segoe UI" w:hAnsi="Segoe UI" w:cs="Segoe UI"/>
          <w:color w:val="666666"/>
          <w:sz w:val="20"/>
          <w:szCs w:val="20"/>
        </w:rPr>
      </w:pPr>
      <w:r w:rsidRPr="3A42354A">
        <w:rPr>
          <w:rFonts w:ascii="Segoe UI" w:hAnsi="Segoe UI" w:cs="Segoe UI"/>
          <w:color w:val="666666"/>
          <w:sz w:val="20"/>
          <w:szCs w:val="20"/>
        </w:rPr>
        <w:t>Enterprise Services revenue increased 1% (</w:t>
      </w:r>
      <w:r w:rsidR="00FC027E">
        <w:rPr>
          <w:rFonts w:ascii="Segoe UI" w:hAnsi="Segoe UI" w:cs="Segoe UI"/>
          <w:color w:val="666666"/>
          <w:sz w:val="20"/>
          <w:szCs w:val="20"/>
        </w:rPr>
        <w:t>0%</w:t>
      </w:r>
      <w:r w:rsidRPr="3A42354A">
        <w:rPr>
          <w:rFonts w:ascii="Segoe UI" w:hAnsi="Segoe UI" w:cs="Segoe UI"/>
          <w:color w:val="666666"/>
          <w:sz w:val="20"/>
          <w:szCs w:val="20"/>
        </w:rPr>
        <w:t xml:space="preserve"> in constant currency) with growth in Premier Support Services offset by declines in custom support agreements</w:t>
      </w:r>
    </w:p>
    <w:p w14:paraId="0E6F1E12" w14:textId="0B316F0E" w:rsidR="000856AD" w:rsidRPr="00243400" w:rsidRDefault="3A42354A" w:rsidP="3A42354A">
      <w:pPr>
        <w:spacing w:before="240" w:after="240"/>
        <w:rPr>
          <w:rFonts w:ascii="Segoe UI" w:hAnsi="Segoe UI" w:cs="Segoe UI"/>
          <w:color w:val="666666"/>
          <w:sz w:val="20"/>
          <w:szCs w:val="20"/>
        </w:rPr>
      </w:pPr>
      <w:r w:rsidRPr="3A42354A">
        <w:rPr>
          <w:rFonts w:ascii="Segoe UI" w:hAnsi="Segoe UI" w:cs="Segoe UI"/>
          <w:color w:val="666666"/>
          <w:sz w:val="20"/>
          <w:szCs w:val="20"/>
        </w:rPr>
        <w:t xml:space="preserve">Revenue in More Personal Computing was $9.4 billion and </w:t>
      </w:r>
      <w:r w:rsidR="00117E34">
        <w:rPr>
          <w:rFonts w:ascii="Segoe UI" w:hAnsi="Segoe UI" w:cs="Segoe UI"/>
          <w:color w:val="666666"/>
          <w:sz w:val="20"/>
          <w:szCs w:val="20"/>
        </w:rPr>
        <w:t>relatively unchanged</w:t>
      </w:r>
      <w:r w:rsidRPr="3A42354A">
        <w:rPr>
          <w:rFonts w:ascii="Segoe UI" w:hAnsi="Segoe UI" w:cs="Segoe UI"/>
          <w:color w:val="666666"/>
          <w:sz w:val="20"/>
          <w:szCs w:val="20"/>
        </w:rPr>
        <w:t xml:space="preserve"> (down 1% in constant currency), with the following business highlights:</w:t>
      </w:r>
    </w:p>
    <w:p w14:paraId="57E163C4" w14:textId="3059E3D8" w:rsidR="000856AD" w:rsidRPr="00D60058" w:rsidRDefault="3A42354A" w:rsidP="3A42354A">
      <w:pPr>
        <w:pStyle w:val="ListParagraph"/>
        <w:numPr>
          <w:ilvl w:val="0"/>
          <w:numId w:val="3"/>
        </w:numPr>
        <w:spacing w:before="240" w:after="240"/>
        <w:rPr>
          <w:rFonts w:ascii="Segoe UI" w:hAnsi="Segoe UI" w:cs="Segoe UI"/>
          <w:color w:val="666666"/>
          <w:sz w:val="20"/>
          <w:szCs w:val="20"/>
        </w:rPr>
      </w:pPr>
      <w:r w:rsidRPr="3A42354A">
        <w:rPr>
          <w:rFonts w:ascii="Segoe UI" w:hAnsi="Segoe UI" w:cs="Segoe UI"/>
          <w:color w:val="666666"/>
          <w:sz w:val="20"/>
          <w:szCs w:val="20"/>
        </w:rPr>
        <w:t>Windows OEM revenue increased 4% (up 4% in constant currency), ahead of the overall PC market</w:t>
      </w:r>
    </w:p>
    <w:p w14:paraId="7CBD3E20" w14:textId="19ED9CD1" w:rsidR="000856AD" w:rsidRPr="00D60058" w:rsidRDefault="3A42354A" w:rsidP="3A42354A">
      <w:pPr>
        <w:pStyle w:val="ListParagraph"/>
        <w:numPr>
          <w:ilvl w:val="0"/>
          <w:numId w:val="3"/>
        </w:numPr>
        <w:spacing w:before="240" w:after="240"/>
        <w:rPr>
          <w:rFonts w:ascii="Segoe UI" w:hAnsi="Segoe UI" w:cs="Segoe UI"/>
          <w:color w:val="666666"/>
          <w:sz w:val="20"/>
          <w:szCs w:val="20"/>
        </w:rPr>
      </w:pPr>
      <w:r w:rsidRPr="3A42354A">
        <w:rPr>
          <w:rFonts w:ascii="Segoe UI" w:hAnsi="Segoe UI" w:cs="Segoe UI"/>
          <w:color w:val="666666"/>
          <w:sz w:val="20"/>
          <w:szCs w:val="20"/>
        </w:rPr>
        <w:t>Windows commercial products and cloud services revenue increased 7% (up 6% in constant currency) driven by annuity revenue growth</w:t>
      </w:r>
    </w:p>
    <w:p w14:paraId="129D3AF9" w14:textId="77777777" w:rsidR="00DB3A0E" w:rsidRPr="00D60058" w:rsidRDefault="00DB3A0E" w:rsidP="00DB3A0E">
      <w:pPr>
        <w:pStyle w:val="ListParagraph"/>
        <w:numPr>
          <w:ilvl w:val="0"/>
          <w:numId w:val="3"/>
        </w:numPr>
        <w:spacing w:before="240" w:after="240"/>
        <w:rPr>
          <w:rFonts w:ascii="Segoe UI" w:hAnsi="Segoe UI" w:cs="Segoe UI"/>
          <w:color w:val="666666"/>
          <w:sz w:val="20"/>
          <w:szCs w:val="20"/>
        </w:rPr>
      </w:pPr>
      <w:r w:rsidRPr="3A42354A">
        <w:rPr>
          <w:rFonts w:ascii="Segoe UI" w:hAnsi="Segoe UI" w:cs="Segoe UI"/>
          <w:color w:val="666666"/>
          <w:sz w:val="20"/>
          <w:szCs w:val="20"/>
        </w:rPr>
        <w:t>Search advertising revenue excluding traffic acquisition costs increased 15% (up 15% in constant currency) driven by higher revenue per search and search volume</w:t>
      </w:r>
    </w:p>
    <w:p w14:paraId="03054F5C" w14:textId="535F1D15" w:rsidR="001237F2" w:rsidRPr="000764AC" w:rsidRDefault="3A42354A" w:rsidP="000764AC">
      <w:pPr>
        <w:pStyle w:val="ListParagraph"/>
        <w:numPr>
          <w:ilvl w:val="0"/>
          <w:numId w:val="3"/>
        </w:numPr>
        <w:spacing w:before="240" w:after="240"/>
        <w:rPr>
          <w:rFonts w:ascii="Segoe UI" w:hAnsi="Segoe UI" w:cs="Segoe UI"/>
          <w:color w:val="666666"/>
          <w:sz w:val="20"/>
          <w:szCs w:val="20"/>
        </w:rPr>
      </w:pPr>
      <w:r w:rsidRPr="3A42354A">
        <w:rPr>
          <w:rFonts w:ascii="Segoe UI" w:hAnsi="Segoe UI" w:cs="Segoe UI"/>
          <w:color w:val="666666"/>
          <w:sz w:val="20"/>
          <w:szCs w:val="20"/>
        </w:rPr>
        <w:lastRenderedPageBreak/>
        <w:t xml:space="preserve">Surface revenue increased 12% (up 11% in constant currency) </w:t>
      </w:r>
      <w:r w:rsidR="00336EA8" w:rsidRPr="000764AC">
        <w:rPr>
          <w:rFonts w:ascii="Segoe UI" w:hAnsi="Segoe UI" w:cs="Segoe UI"/>
          <w:color w:val="666666"/>
          <w:sz w:val="20"/>
          <w:szCs w:val="20"/>
        </w:rPr>
        <w:t xml:space="preserve">driven </w:t>
      </w:r>
      <w:r w:rsidR="00B119A6">
        <w:rPr>
          <w:rFonts w:ascii="Segoe UI" w:hAnsi="Segoe UI" w:cs="Segoe UI"/>
          <w:color w:val="666666"/>
          <w:sz w:val="20"/>
          <w:szCs w:val="20"/>
        </w:rPr>
        <w:t xml:space="preserve">by </w:t>
      </w:r>
      <w:r w:rsidR="009E7E89">
        <w:rPr>
          <w:rFonts w:ascii="Segoe UI" w:hAnsi="Segoe UI" w:cs="Segoe UI"/>
          <w:color w:val="666666"/>
          <w:sz w:val="20"/>
          <w:szCs w:val="20"/>
        </w:rPr>
        <w:t>sales</w:t>
      </w:r>
      <w:r w:rsidR="00336EA8" w:rsidRPr="000764AC">
        <w:rPr>
          <w:rFonts w:ascii="Segoe UI" w:hAnsi="Segoe UI" w:cs="Segoe UI"/>
          <w:color w:val="666666"/>
          <w:sz w:val="20"/>
          <w:szCs w:val="20"/>
        </w:rPr>
        <w:t xml:space="preserve"> of</w:t>
      </w:r>
      <w:r w:rsidR="009E7E89">
        <w:rPr>
          <w:rFonts w:ascii="Segoe UI" w:hAnsi="Segoe UI" w:cs="Segoe UI"/>
          <w:color w:val="666666"/>
          <w:sz w:val="20"/>
          <w:szCs w:val="20"/>
        </w:rPr>
        <w:t xml:space="preserve"> the</w:t>
      </w:r>
      <w:r w:rsidR="00DE69A8">
        <w:rPr>
          <w:rFonts w:ascii="Segoe UI" w:hAnsi="Segoe UI" w:cs="Segoe UI"/>
          <w:color w:val="666666"/>
          <w:sz w:val="20"/>
          <w:szCs w:val="20"/>
        </w:rPr>
        <w:t xml:space="preserve"> new Surface</w:t>
      </w:r>
      <w:r w:rsidR="00336EA8" w:rsidRPr="000764AC">
        <w:rPr>
          <w:rFonts w:ascii="Segoe UI" w:hAnsi="Segoe UI" w:cs="Segoe UI"/>
          <w:color w:val="666666"/>
          <w:sz w:val="20"/>
          <w:szCs w:val="20"/>
        </w:rPr>
        <w:t xml:space="preserve"> Laptop</w:t>
      </w:r>
    </w:p>
    <w:p w14:paraId="1C8969AE" w14:textId="5C3E6BF4" w:rsidR="00FB505F" w:rsidRPr="00D60058" w:rsidRDefault="3A42354A" w:rsidP="3A42354A">
      <w:pPr>
        <w:pStyle w:val="ListParagraph"/>
        <w:numPr>
          <w:ilvl w:val="0"/>
          <w:numId w:val="3"/>
        </w:numPr>
        <w:spacing w:before="240" w:after="240"/>
        <w:rPr>
          <w:rFonts w:ascii="Segoe UI" w:hAnsi="Segoe UI" w:cs="Segoe UI"/>
          <w:color w:val="666666"/>
          <w:sz w:val="20"/>
          <w:szCs w:val="20"/>
        </w:rPr>
      </w:pPr>
      <w:r w:rsidRPr="3A42354A">
        <w:rPr>
          <w:rFonts w:ascii="Segoe UI" w:hAnsi="Segoe UI" w:cs="Segoe UI"/>
          <w:color w:val="666666"/>
          <w:sz w:val="20"/>
          <w:szCs w:val="20"/>
        </w:rPr>
        <w:t>Gaming revenue increased 1% (</w:t>
      </w:r>
      <w:r w:rsidR="00BC4848">
        <w:rPr>
          <w:rFonts w:ascii="Segoe UI" w:hAnsi="Segoe UI" w:cs="Segoe UI"/>
          <w:color w:val="666666"/>
          <w:sz w:val="20"/>
          <w:szCs w:val="20"/>
        </w:rPr>
        <w:t>0%</w:t>
      </w:r>
      <w:r w:rsidRPr="3A42354A">
        <w:rPr>
          <w:rFonts w:ascii="Segoe UI" w:hAnsi="Segoe UI" w:cs="Segoe UI"/>
          <w:color w:val="666666"/>
          <w:sz w:val="20"/>
          <w:szCs w:val="20"/>
        </w:rPr>
        <w:t xml:space="preserve"> in constant currency) </w:t>
      </w:r>
      <w:r w:rsidR="00E7796C">
        <w:rPr>
          <w:rFonts w:ascii="Segoe UI" w:hAnsi="Segoe UI" w:cs="Segoe UI"/>
          <w:color w:val="666666"/>
          <w:sz w:val="20"/>
          <w:szCs w:val="20"/>
        </w:rPr>
        <w:t xml:space="preserve">with </w:t>
      </w:r>
      <w:r w:rsidRPr="3A42354A">
        <w:rPr>
          <w:rFonts w:ascii="Segoe UI" w:hAnsi="Segoe UI" w:cs="Segoe UI"/>
          <w:color w:val="666666"/>
          <w:sz w:val="20"/>
          <w:szCs w:val="20"/>
        </w:rPr>
        <w:t xml:space="preserve">Xbox software and services </w:t>
      </w:r>
      <w:r w:rsidR="00E7796C">
        <w:rPr>
          <w:rFonts w:ascii="Segoe UI" w:hAnsi="Segoe UI" w:cs="Segoe UI"/>
          <w:color w:val="666666"/>
          <w:sz w:val="20"/>
          <w:szCs w:val="20"/>
        </w:rPr>
        <w:t xml:space="preserve">revenue growth of </w:t>
      </w:r>
      <w:r w:rsidR="007568E8">
        <w:rPr>
          <w:rFonts w:ascii="Segoe UI" w:hAnsi="Segoe UI" w:cs="Segoe UI"/>
          <w:color w:val="666666"/>
          <w:sz w:val="20"/>
          <w:szCs w:val="20"/>
        </w:rPr>
        <w:t>21</w:t>
      </w:r>
      <w:r w:rsidR="00E7796C">
        <w:rPr>
          <w:rFonts w:ascii="Segoe UI" w:hAnsi="Segoe UI" w:cs="Segoe UI"/>
          <w:color w:val="666666"/>
          <w:sz w:val="20"/>
          <w:szCs w:val="20"/>
        </w:rPr>
        <w:t xml:space="preserve">% (up </w:t>
      </w:r>
      <w:r w:rsidR="007568E8">
        <w:rPr>
          <w:rFonts w:ascii="Segoe UI" w:hAnsi="Segoe UI" w:cs="Segoe UI"/>
          <w:color w:val="666666"/>
          <w:sz w:val="20"/>
          <w:szCs w:val="20"/>
        </w:rPr>
        <w:t>20</w:t>
      </w:r>
      <w:r w:rsidR="00E7796C">
        <w:rPr>
          <w:rFonts w:ascii="Segoe UI" w:hAnsi="Segoe UI" w:cs="Segoe UI"/>
          <w:color w:val="666666"/>
          <w:sz w:val="20"/>
          <w:szCs w:val="20"/>
        </w:rPr>
        <w:t xml:space="preserve">% in constant currency) </w:t>
      </w:r>
      <w:r w:rsidR="00EA7626">
        <w:rPr>
          <w:rFonts w:ascii="Segoe UI" w:hAnsi="Segoe UI" w:cs="Segoe UI"/>
          <w:color w:val="666666"/>
          <w:sz w:val="20"/>
          <w:szCs w:val="20"/>
        </w:rPr>
        <w:t xml:space="preserve">offset by </w:t>
      </w:r>
      <w:r w:rsidRPr="3A42354A">
        <w:rPr>
          <w:rFonts w:ascii="Segoe UI" w:hAnsi="Segoe UI" w:cs="Segoe UI"/>
          <w:color w:val="666666"/>
          <w:sz w:val="20"/>
          <w:szCs w:val="20"/>
        </w:rPr>
        <w:t>lower hardware revenue</w:t>
      </w:r>
    </w:p>
    <w:p w14:paraId="4F03A35E" w14:textId="77777777" w:rsidR="00B5626E" w:rsidRPr="0058118C" w:rsidRDefault="3A42354A" w:rsidP="3A42354A">
      <w:pPr>
        <w:spacing w:before="240" w:after="240"/>
        <w:rPr>
          <w:rFonts w:ascii="Segoe UI" w:hAnsi="Segoe UI" w:cs="Segoe UI"/>
          <w:b/>
          <w:bCs/>
          <w:color w:val="666666"/>
          <w:sz w:val="20"/>
          <w:szCs w:val="20"/>
        </w:rPr>
      </w:pPr>
      <w:bookmarkStart w:id="0" w:name="_MailEndCompose"/>
      <w:bookmarkStart w:id="1" w:name="RANGE!A1:H31"/>
      <w:bookmarkStart w:id="2" w:name="RANGE!A1:D29"/>
      <w:bookmarkStart w:id="3" w:name="RANGE!A1:D47"/>
      <w:bookmarkStart w:id="4" w:name="RANGE!A1:D15"/>
      <w:bookmarkStart w:id="5" w:name="RANGE!A1:H49"/>
      <w:bookmarkStart w:id="6" w:name="RANGE!A1:D48"/>
      <w:bookmarkStart w:id="7" w:name="RANGE!A1:D49"/>
      <w:bookmarkStart w:id="8" w:name="RANGE!A1:H28"/>
      <w:bookmarkStart w:id="9" w:name="RANGE!A1:D25"/>
      <w:bookmarkEnd w:id="0"/>
      <w:bookmarkEnd w:id="1"/>
      <w:bookmarkEnd w:id="2"/>
      <w:bookmarkEnd w:id="3"/>
      <w:bookmarkEnd w:id="4"/>
      <w:bookmarkEnd w:id="5"/>
      <w:bookmarkEnd w:id="6"/>
      <w:bookmarkEnd w:id="7"/>
      <w:bookmarkEnd w:id="8"/>
      <w:bookmarkEnd w:id="9"/>
      <w:r w:rsidRPr="3A42354A">
        <w:rPr>
          <w:rFonts w:ascii="Segoe UI" w:hAnsi="Segoe UI" w:cs="Segoe UI"/>
          <w:b/>
          <w:bCs/>
          <w:color w:val="666666"/>
          <w:sz w:val="20"/>
          <w:szCs w:val="20"/>
        </w:rPr>
        <w:t>Business Outlook</w:t>
      </w:r>
    </w:p>
    <w:p w14:paraId="599F3CDE" w14:textId="77777777" w:rsidR="00B5626E" w:rsidRPr="00243400" w:rsidRDefault="3A42354A" w:rsidP="3A42354A">
      <w:pPr>
        <w:spacing w:before="240" w:after="240"/>
        <w:rPr>
          <w:rFonts w:ascii="Segoe UI" w:hAnsi="Segoe UI" w:cs="Segoe UI"/>
          <w:color w:val="666666"/>
          <w:sz w:val="20"/>
          <w:szCs w:val="20"/>
        </w:rPr>
      </w:pPr>
      <w:r w:rsidRPr="3A42354A">
        <w:rPr>
          <w:rFonts w:ascii="Segoe UI" w:hAnsi="Segoe UI" w:cs="Segoe UI"/>
          <w:color w:val="666666"/>
          <w:sz w:val="20"/>
          <w:szCs w:val="20"/>
        </w:rPr>
        <w:t xml:space="preserve">Microsoft will provide forward-looking guidance </w:t>
      </w:r>
      <w:proofErr w:type="gramStart"/>
      <w:r w:rsidRPr="3A42354A">
        <w:rPr>
          <w:rFonts w:ascii="Segoe UI" w:hAnsi="Segoe UI" w:cs="Segoe UI"/>
          <w:color w:val="666666"/>
          <w:sz w:val="20"/>
          <w:szCs w:val="20"/>
        </w:rPr>
        <w:t>in connection with</w:t>
      </w:r>
      <w:proofErr w:type="gramEnd"/>
      <w:r w:rsidRPr="3A42354A">
        <w:rPr>
          <w:rFonts w:ascii="Segoe UI" w:hAnsi="Segoe UI" w:cs="Segoe UI"/>
          <w:color w:val="666666"/>
          <w:sz w:val="20"/>
          <w:szCs w:val="20"/>
        </w:rPr>
        <w:t xml:space="preserve"> this quarterly earnings announcement on its earnings conference call and webcast.</w:t>
      </w:r>
    </w:p>
    <w:p w14:paraId="4CEEE3D2" w14:textId="77777777" w:rsidR="00B5626E" w:rsidRPr="00A138B1" w:rsidRDefault="3A42354A" w:rsidP="3A42354A">
      <w:pPr>
        <w:spacing w:before="240" w:after="240"/>
        <w:rPr>
          <w:rFonts w:ascii="Segoe UI" w:hAnsi="Segoe UI" w:cs="Segoe UI"/>
          <w:b/>
          <w:bCs/>
          <w:color w:val="666666"/>
          <w:sz w:val="20"/>
          <w:szCs w:val="20"/>
        </w:rPr>
      </w:pPr>
      <w:bookmarkStart w:id="10" w:name="RANGE!A1:D14"/>
      <w:bookmarkEnd w:id="10"/>
      <w:r w:rsidRPr="3A42354A">
        <w:rPr>
          <w:rFonts w:ascii="Segoe UI" w:hAnsi="Segoe UI" w:cs="Segoe UI"/>
          <w:b/>
          <w:bCs/>
          <w:color w:val="666666"/>
          <w:sz w:val="20"/>
          <w:szCs w:val="20"/>
        </w:rPr>
        <w:t>Webcast Details</w:t>
      </w:r>
    </w:p>
    <w:p w14:paraId="03A6BA99" w14:textId="08FD44DC" w:rsidR="00B5626E" w:rsidRPr="00243400" w:rsidRDefault="3A42354A" w:rsidP="3A42354A">
      <w:pPr>
        <w:spacing w:before="240" w:after="240"/>
        <w:rPr>
          <w:rFonts w:ascii="Segoe UI" w:hAnsi="Segoe UI" w:cs="Segoe UI"/>
          <w:color w:val="666666"/>
          <w:sz w:val="20"/>
          <w:szCs w:val="20"/>
        </w:rPr>
      </w:pPr>
      <w:r w:rsidRPr="3A42354A">
        <w:rPr>
          <w:rFonts w:ascii="Segoe UI" w:hAnsi="Segoe UI" w:cs="Segoe UI"/>
          <w:color w:val="666666"/>
          <w:sz w:val="20"/>
          <w:szCs w:val="20"/>
        </w:rPr>
        <w:t xml:space="preserve">Satya Nadella, chief executive officer, Amy Hood, executive vice president and chief financial officer, Frank Brod, chief accounting officer, John Seethoff, deputy general counsel and corporate secretary, and Chris Suh, general manager of Investor Relations, will host a conference call and webcast at 2:30 p.m. Pacific time (5:30 p.m. Eastern time) today to discuss details of the company’s performance for the quarter and certain forward-looking information. The session may be accessed at </w:t>
      </w:r>
      <w:hyperlink r:id="rId9">
        <w:r w:rsidRPr="3A42354A">
          <w:rPr>
            <w:rStyle w:val="Hyperlink"/>
            <w:color w:val="666666"/>
          </w:rPr>
          <w:t>http://www.microsoft.com/en-us/investor</w:t>
        </w:r>
      </w:hyperlink>
      <w:r w:rsidRPr="3A42354A">
        <w:rPr>
          <w:rFonts w:ascii="Segoe UI" w:hAnsi="Segoe UI" w:cs="Segoe UI"/>
          <w:color w:val="666666"/>
          <w:sz w:val="20"/>
          <w:szCs w:val="20"/>
        </w:rPr>
        <w:t>. The webcast will be available for replay through the close of business on October 26, 2018.</w:t>
      </w:r>
    </w:p>
    <w:p w14:paraId="6A6A61C7" w14:textId="13A53823" w:rsidR="00E6557D" w:rsidRDefault="3A42354A" w:rsidP="3A42354A">
      <w:pPr>
        <w:spacing w:before="240" w:after="240"/>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t>New Accounting Standards</w:t>
      </w:r>
    </w:p>
    <w:p w14:paraId="44675727" w14:textId="17568A63" w:rsidR="006244F0" w:rsidRPr="007F7D9E" w:rsidRDefault="3A42354A" w:rsidP="3A42354A">
      <w:pPr>
        <w:spacing w:before="240" w:after="240"/>
        <w:rPr>
          <w:rFonts w:ascii="Segoe UI" w:eastAsia="Times New Roman" w:hAnsi="Segoe UI" w:cs="Segoe UI"/>
          <w:color w:val="666666"/>
          <w:sz w:val="20"/>
          <w:szCs w:val="20"/>
        </w:rPr>
      </w:pPr>
      <w:r w:rsidRPr="3A42354A">
        <w:rPr>
          <w:rFonts w:ascii="Segoe UI" w:eastAsia="Times New Roman" w:hAnsi="Segoe UI" w:cs="Segoe UI"/>
          <w:color w:val="666666"/>
          <w:sz w:val="20"/>
          <w:szCs w:val="20"/>
        </w:rPr>
        <w:t>We adopted new accounting standards related to revenue recognition and leases effective July 1, 2017.</w:t>
      </w:r>
      <w:r w:rsidR="006210BA">
        <w:rPr>
          <w:rFonts w:ascii="Segoe UI" w:eastAsia="Times New Roman" w:hAnsi="Segoe UI" w:cs="Segoe UI"/>
          <w:color w:val="666666"/>
          <w:sz w:val="20"/>
          <w:szCs w:val="20"/>
        </w:rPr>
        <w:t xml:space="preserve"> </w:t>
      </w:r>
      <w:r w:rsidRPr="3A42354A">
        <w:rPr>
          <w:rFonts w:ascii="Segoe UI" w:eastAsia="Times New Roman" w:hAnsi="Segoe UI" w:cs="Segoe UI"/>
          <w:color w:val="666666"/>
          <w:sz w:val="20"/>
          <w:szCs w:val="20"/>
        </w:rPr>
        <w:t>The prior periods presented here have been restated to reflect adoption of these new standards.</w:t>
      </w:r>
    </w:p>
    <w:p w14:paraId="72C1BBD6" w14:textId="77777777" w:rsidR="00B5626E" w:rsidRPr="00243400" w:rsidRDefault="3A42354A" w:rsidP="3A42354A">
      <w:pPr>
        <w:spacing w:before="240" w:after="240"/>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t>Constant Currency</w:t>
      </w:r>
    </w:p>
    <w:p w14:paraId="5D145DFB" w14:textId="77777777" w:rsidR="00CF6323" w:rsidRPr="00243400" w:rsidRDefault="3A42354A" w:rsidP="00CF6323">
      <w:pPr>
        <w:spacing w:before="240" w:after="240"/>
        <w:rPr>
          <w:rFonts w:ascii="Segoe UI" w:eastAsiaTheme="minorEastAsia" w:hAnsi="Segoe UI" w:cs="Segoe UI"/>
          <w:color w:val="666666"/>
          <w:sz w:val="20"/>
          <w:szCs w:val="20"/>
        </w:rPr>
      </w:pPr>
      <w:r w:rsidRPr="3A42354A">
        <w:rPr>
          <w:rFonts w:ascii="Segoe UI" w:hAnsi="Segoe UI" w:cs="Segoe UI"/>
          <w:color w:val="666666"/>
          <w:sz w:val="20"/>
          <w:szCs w:val="20"/>
        </w:rPr>
        <w:t>Microsoft presents constant currency information to provide a framework for assessing how our underlying businesses performed excluding the effect of foreign currency rate fluctuations. To present this information, current and comparative prior period results for entities reporting in currencies other than United States dollars are converted into United States dollars using the average exchange rates from the comparative period rather than the actual exchange rates in effect during the respective periods. All growth comparisons relate to the corresponding period in the last fiscal year.</w:t>
      </w:r>
      <w:r w:rsidR="00CF6323">
        <w:rPr>
          <w:rFonts w:ascii="Segoe UI" w:hAnsi="Segoe UI" w:cs="Segoe UI"/>
          <w:color w:val="666666"/>
          <w:sz w:val="20"/>
          <w:szCs w:val="20"/>
        </w:rPr>
        <w:t xml:space="preserve"> </w:t>
      </w:r>
      <w:r w:rsidR="00CF6323" w:rsidRPr="45064EBB">
        <w:rPr>
          <w:rFonts w:ascii="Segoe UI" w:hAnsi="Segoe UI" w:cs="Segoe UI"/>
          <w:color w:val="666666"/>
          <w:sz w:val="20"/>
          <w:szCs w:val="20"/>
        </w:rPr>
        <w:t xml:space="preserve">Microsoft has provided this non-GAAP financial information to aid investors in better understanding the company’s performance. The non-GAAP financial measures presented </w:t>
      </w:r>
      <w:r w:rsidR="00CF6323">
        <w:rPr>
          <w:rFonts w:ascii="Segoe UI" w:hAnsi="Segoe UI" w:cs="Segoe UI"/>
          <w:color w:val="666666"/>
          <w:sz w:val="20"/>
          <w:szCs w:val="20"/>
        </w:rPr>
        <w:t>in this release</w:t>
      </w:r>
      <w:r w:rsidR="00CF6323" w:rsidRPr="45064EBB">
        <w:rPr>
          <w:rFonts w:ascii="Segoe UI" w:hAnsi="Segoe UI" w:cs="Segoe UI"/>
          <w:color w:val="666666"/>
          <w:sz w:val="20"/>
          <w:szCs w:val="20"/>
        </w:rPr>
        <w:t xml:space="preserve"> should not be considered as a substitute for, or superior to, the measures of financial performance prepared in accordance with GAAP. </w:t>
      </w:r>
    </w:p>
    <w:p w14:paraId="0D500358" w14:textId="7AEC7A14" w:rsidR="00B5626E" w:rsidRPr="00243400" w:rsidRDefault="45064EBB" w:rsidP="3A42354A">
      <w:pPr>
        <w:spacing w:before="240" w:after="240"/>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br w:type="page"/>
      </w:r>
    </w:p>
    <w:p w14:paraId="519D1186" w14:textId="77777777" w:rsidR="00B5626E" w:rsidRPr="00243400" w:rsidRDefault="3A42354A" w:rsidP="3A42354A">
      <w:pPr>
        <w:spacing w:before="240" w:after="240"/>
        <w:ind w:left="720"/>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lastRenderedPageBreak/>
        <w:t>Financial Performance Constant Currency Reconciliation</w:t>
      </w:r>
    </w:p>
    <w:tbl>
      <w:tblPr>
        <w:tblW w:w="5078" w:type="pct"/>
        <w:tblLayout w:type="fixed"/>
        <w:tblLook w:val="04A0" w:firstRow="1" w:lastRow="0" w:firstColumn="1" w:lastColumn="0" w:noHBand="0" w:noVBand="1"/>
      </w:tblPr>
      <w:tblGrid>
        <w:gridCol w:w="5474"/>
        <w:gridCol w:w="1008"/>
        <w:gridCol w:w="1008"/>
        <w:gridCol w:w="1008"/>
        <w:gridCol w:w="1008"/>
      </w:tblGrid>
      <w:tr w:rsidR="00B5626E" w:rsidRPr="00243400" w14:paraId="4DADAE47" w14:textId="77777777" w:rsidTr="3A42354A">
        <w:trPr>
          <w:trHeight w:val="340"/>
        </w:trPr>
        <w:tc>
          <w:tcPr>
            <w:tcW w:w="5474" w:type="dxa"/>
            <w:tcBorders>
              <w:top w:val="nil"/>
              <w:left w:val="nil"/>
              <w:bottom w:val="single" w:sz="8" w:space="0" w:color="auto"/>
              <w:right w:val="nil"/>
            </w:tcBorders>
          </w:tcPr>
          <w:p w14:paraId="11B61142" w14:textId="77777777" w:rsidR="00B5626E" w:rsidRPr="00243400" w:rsidRDefault="00B5626E" w:rsidP="00307B2D">
            <w:pPr>
              <w:spacing w:after="0"/>
              <w:rPr>
                <w:rFonts w:ascii="Segoe UI" w:eastAsia="Times New Roman" w:hAnsi="Segoe UI" w:cs="Segoe UI"/>
                <w:color w:val="666666"/>
                <w:sz w:val="16"/>
                <w:szCs w:val="16"/>
              </w:rPr>
            </w:pPr>
          </w:p>
        </w:tc>
        <w:tc>
          <w:tcPr>
            <w:tcW w:w="4032" w:type="dxa"/>
            <w:gridSpan w:val="4"/>
            <w:tcBorders>
              <w:top w:val="nil"/>
              <w:left w:val="nil"/>
              <w:bottom w:val="single" w:sz="8" w:space="0" w:color="auto"/>
            </w:tcBorders>
          </w:tcPr>
          <w:p w14:paraId="10C0C0B6" w14:textId="08C376D5" w:rsidR="00B5626E" w:rsidRPr="00243400" w:rsidRDefault="3A42354A" w:rsidP="3A42354A">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Three Months Ended September 30,</w:t>
            </w:r>
          </w:p>
        </w:tc>
      </w:tr>
      <w:tr w:rsidR="00B5626E" w:rsidRPr="00243400" w14:paraId="4996BAA8" w14:textId="77777777" w:rsidTr="3A42354A">
        <w:trPr>
          <w:trHeight w:val="365"/>
        </w:trPr>
        <w:tc>
          <w:tcPr>
            <w:tcW w:w="5474" w:type="dxa"/>
            <w:tcBorders>
              <w:top w:val="single" w:sz="8" w:space="0" w:color="666666"/>
              <w:left w:val="nil"/>
              <w:bottom w:val="single" w:sz="8" w:space="0" w:color="666666"/>
              <w:right w:val="nil"/>
            </w:tcBorders>
            <w:vAlign w:val="bottom"/>
            <w:hideMark/>
          </w:tcPr>
          <w:p w14:paraId="1B03C16C" w14:textId="77777777" w:rsidR="00B5626E" w:rsidRPr="00243400" w:rsidRDefault="3A42354A" w:rsidP="3A42354A">
            <w:pPr>
              <w:spacing w:after="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 except per share amounts)</w:t>
            </w:r>
          </w:p>
        </w:tc>
        <w:tc>
          <w:tcPr>
            <w:tcW w:w="1008" w:type="dxa"/>
            <w:tcBorders>
              <w:top w:val="single" w:sz="8" w:space="0" w:color="666666"/>
              <w:left w:val="nil"/>
              <w:bottom w:val="single" w:sz="8" w:space="0" w:color="666666"/>
              <w:right w:val="nil"/>
            </w:tcBorders>
            <w:vAlign w:val="bottom"/>
          </w:tcPr>
          <w:p w14:paraId="7A2007B9" w14:textId="77777777" w:rsidR="00B5626E" w:rsidRPr="00243400" w:rsidRDefault="3A42354A" w:rsidP="3A42354A">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Revenue</w:t>
            </w:r>
          </w:p>
        </w:tc>
        <w:tc>
          <w:tcPr>
            <w:tcW w:w="1008" w:type="dxa"/>
            <w:tcBorders>
              <w:top w:val="single" w:sz="8" w:space="0" w:color="666666"/>
              <w:left w:val="nil"/>
              <w:bottom w:val="single" w:sz="8" w:space="0" w:color="666666"/>
              <w:right w:val="nil"/>
            </w:tcBorders>
            <w:vAlign w:val="bottom"/>
          </w:tcPr>
          <w:p w14:paraId="39D54CF4" w14:textId="77777777" w:rsidR="00B5626E" w:rsidRPr="00243400" w:rsidRDefault="3A42354A" w:rsidP="3A42354A">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Operating Income </w:t>
            </w:r>
          </w:p>
        </w:tc>
        <w:tc>
          <w:tcPr>
            <w:tcW w:w="1008" w:type="dxa"/>
            <w:tcBorders>
              <w:top w:val="single" w:sz="8" w:space="0" w:color="666666"/>
              <w:left w:val="nil"/>
              <w:bottom w:val="single" w:sz="8" w:space="0" w:color="666666"/>
              <w:right w:val="nil"/>
            </w:tcBorders>
            <w:vAlign w:val="bottom"/>
          </w:tcPr>
          <w:p w14:paraId="46F5F326" w14:textId="77777777" w:rsidR="00B5626E" w:rsidRPr="00243400" w:rsidRDefault="3A42354A" w:rsidP="3A42354A">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Net Income </w:t>
            </w:r>
          </w:p>
        </w:tc>
        <w:tc>
          <w:tcPr>
            <w:tcW w:w="1008" w:type="dxa"/>
            <w:tcBorders>
              <w:top w:val="single" w:sz="8" w:space="0" w:color="666666"/>
              <w:left w:val="nil"/>
              <w:bottom w:val="single" w:sz="8" w:space="0" w:color="666666"/>
              <w:right w:val="nil"/>
            </w:tcBorders>
            <w:vAlign w:val="bottom"/>
          </w:tcPr>
          <w:p w14:paraId="647DCFB8" w14:textId="77777777" w:rsidR="00B5626E" w:rsidRPr="00243400" w:rsidRDefault="3A42354A" w:rsidP="3A42354A">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Diluted Earnings per Share</w:t>
            </w:r>
          </w:p>
        </w:tc>
      </w:tr>
      <w:tr w:rsidR="00850D50" w:rsidRPr="00243400" w14:paraId="3C6007F1" w14:textId="77777777" w:rsidTr="3A42354A">
        <w:trPr>
          <w:trHeight w:val="288"/>
        </w:trPr>
        <w:tc>
          <w:tcPr>
            <w:tcW w:w="5474" w:type="dxa"/>
            <w:tcBorders>
              <w:top w:val="single" w:sz="8" w:space="0" w:color="666666"/>
              <w:left w:val="nil"/>
              <w:bottom w:val="single" w:sz="4" w:space="0" w:color="auto"/>
              <w:right w:val="nil"/>
            </w:tcBorders>
            <w:noWrap/>
            <w:vAlign w:val="center"/>
          </w:tcPr>
          <w:p w14:paraId="36839FB1" w14:textId="7994C4BA" w:rsidR="00850D50" w:rsidRPr="00243400" w:rsidRDefault="3A42354A" w:rsidP="3A42354A">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2016 As Reported </w:t>
            </w:r>
          </w:p>
        </w:tc>
        <w:tc>
          <w:tcPr>
            <w:tcW w:w="1008" w:type="dxa"/>
            <w:tcBorders>
              <w:top w:val="single" w:sz="8" w:space="0" w:color="666666"/>
              <w:left w:val="nil"/>
              <w:bottom w:val="single" w:sz="4" w:space="0" w:color="auto"/>
              <w:right w:val="nil"/>
            </w:tcBorders>
            <w:vAlign w:val="center"/>
          </w:tcPr>
          <w:p w14:paraId="729208EA" w14:textId="2122F22F" w:rsidR="00850D50" w:rsidRPr="00243400" w:rsidRDefault="3A42354A" w:rsidP="3A42354A">
            <w:pPr>
              <w:spacing w:after="0"/>
              <w:ind w:firstLine="82"/>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$21,928</w:t>
            </w:r>
          </w:p>
        </w:tc>
        <w:tc>
          <w:tcPr>
            <w:tcW w:w="1008" w:type="dxa"/>
            <w:tcBorders>
              <w:top w:val="single" w:sz="8" w:space="0" w:color="666666"/>
              <w:left w:val="nil"/>
              <w:bottom w:val="single" w:sz="4" w:space="0" w:color="auto"/>
              <w:right w:val="nil"/>
            </w:tcBorders>
            <w:vAlign w:val="center"/>
          </w:tcPr>
          <w:p w14:paraId="676CDB03" w14:textId="422E11C5" w:rsidR="00850D50" w:rsidRPr="00243400" w:rsidRDefault="3A42354A" w:rsidP="3A42354A">
            <w:pPr>
              <w:spacing w:after="0"/>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$6,715</w:t>
            </w:r>
          </w:p>
        </w:tc>
        <w:tc>
          <w:tcPr>
            <w:tcW w:w="1008" w:type="dxa"/>
            <w:tcBorders>
              <w:top w:val="single" w:sz="8" w:space="0" w:color="666666"/>
              <w:left w:val="nil"/>
              <w:bottom w:val="single" w:sz="4" w:space="0" w:color="auto"/>
              <w:right w:val="nil"/>
            </w:tcBorders>
            <w:vAlign w:val="center"/>
          </w:tcPr>
          <w:p w14:paraId="561AF268" w14:textId="6A564ED5" w:rsidR="00850D50" w:rsidRPr="00243400" w:rsidRDefault="3A42354A" w:rsidP="3A42354A">
            <w:pPr>
              <w:spacing w:after="0"/>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$5,667</w:t>
            </w:r>
          </w:p>
        </w:tc>
        <w:tc>
          <w:tcPr>
            <w:tcW w:w="1008" w:type="dxa"/>
            <w:tcBorders>
              <w:top w:val="single" w:sz="8" w:space="0" w:color="666666"/>
              <w:left w:val="nil"/>
              <w:bottom w:val="single" w:sz="4" w:space="0" w:color="auto"/>
              <w:right w:val="nil"/>
            </w:tcBorders>
            <w:vAlign w:val="center"/>
          </w:tcPr>
          <w:p w14:paraId="62D26455" w14:textId="097F6788" w:rsidR="00850D50" w:rsidRPr="00243400" w:rsidRDefault="3A42354A" w:rsidP="3A42354A">
            <w:pPr>
              <w:spacing w:after="0"/>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$0.72</w:t>
            </w:r>
          </w:p>
        </w:tc>
      </w:tr>
      <w:tr w:rsidR="009240F6" w:rsidRPr="00243400" w14:paraId="6B7E6C34" w14:textId="77777777" w:rsidTr="3A42354A">
        <w:trPr>
          <w:trHeight w:val="288"/>
        </w:trPr>
        <w:tc>
          <w:tcPr>
            <w:tcW w:w="5474" w:type="dxa"/>
            <w:tcBorders>
              <w:top w:val="single" w:sz="4" w:space="0" w:color="auto"/>
              <w:left w:val="nil"/>
              <w:bottom w:val="single" w:sz="4" w:space="0" w:color="auto"/>
              <w:right w:val="nil"/>
            </w:tcBorders>
            <w:noWrap/>
            <w:vAlign w:val="center"/>
          </w:tcPr>
          <w:p w14:paraId="151EA683" w14:textId="0DFCCAF8" w:rsidR="009240F6" w:rsidRPr="00243400" w:rsidRDefault="3A42354A" w:rsidP="3A42354A">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2017 As Reported </w:t>
            </w:r>
          </w:p>
        </w:tc>
        <w:tc>
          <w:tcPr>
            <w:tcW w:w="1008" w:type="dxa"/>
            <w:tcBorders>
              <w:top w:val="single" w:sz="4" w:space="0" w:color="auto"/>
              <w:left w:val="nil"/>
              <w:bottom w:val="single" w:sz="4" w:space="0" w:color="auto"/>
              <w:right w:val="nil"/>
            </w:tcBorders>
            <w:vAlign w:val="center"/>
          </w:tcPr>
          <w:p w14:paraId="53E6B74C" w14:textId="0F5D943F" w:rsidR="009240F6" w:rsidRPr="009240F6" w:rsidRDefault="3A42354A" w:rsidP="3A42354A">
            <w:pPr>
              <w:spacing w:after="0"/>
              <w:ind w:firstLine="82"/>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$24,538</w:t>
            </w:r>
          </w:p>
        </w:tc>
        <w:tc>
          <w:tcPr>
            <w:tcW w:w="1008" w:type="dxa"/>
            <w:tcBorders>
              <w:top w:val="single" w:sz="4" w:space="0" w:color="auto"/>
              <w:left w:val="nil"/>
              <w:bottom w:val="single" w:sz="4" w:space="0" w:color="auto"/>
              <w:right w:val="nil"/>
            </w:tcBorders>
            <w:vAlign w:val="center"/>
          </w:tcPr>
          <w:p w14:paraId="5512B1EE" w14:textId="57ED29C5" w:rsidR="009240F6" w:rsidRPr="009240F6" w:rsidRDefault="3A42354A" w:rsidP="3A42354A">
            <w:pPr>
              <w:spacing w:after="0"/>
              <w:ind w:firstLine="82"/>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$7,708</w:t>
            </w:r>
          </w:p>
        </w:tc>
        <w:tc>
          <w:tcPr>
            <w:tcW w:w="1008" w:type="dxa"/>
            <w:tcBorders>
              <w:top w:val="single" w:sz="4" w:space="0" w:color="auto"/>
              <w:left w:val="nil"/>
              <w:bottom w:val="single" w:sz="4" w:space="0" w:color="auto"/>
              <w:right w:val="nil"/>
            </w:tcBorders>
            <w:vAlign w:val="center"/>
          </w:tcPr>
          <w:p w14:paraId="4940D0B3" w14:textId="0DA5B840" w:rsidR="009240F6" w:rsidRPr="009240F6" w:rsidRDefault="3A42354A" w:rsidP="3A42354A">
            <w:pPr>
              <w:spacing w:after="0"/>
              <w:ind w:firstLine="82"/>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$6,576</w:t>
            </w:r>
          </w:p>
        </w:tc>
        <w:tc>
          <w:tcPr>
            <w:tcW w:w="1008" w:type="dxa"/>
            <w:tcBorders>
              <w:top w:val="single" w:sz="4" w:space="0" w:color="auto"/>
              <w:left w:val="nil"/>
              <w:bottom w:val="single" w:sz="4" w:space="0" w:color="auto"/>
              <w:right w:val="nil"/>
            </w:tcBorders>
            <w:vAlign w:val="center"/>
          </w:tcPr>
          <w:p w14:paraId="569349AE" w14:textId="1596E332" w:rsidR="009240F6" w:rsidRPr="009240F6" w:rsidRDefault="3A42354A" w:rsidP="3A42354A">
            <w:pPr>
              <w:spacing w:after="0"/>
              <w:ind w:firstLine="82"/>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$0.84</w:t>
            </w:r>
          </w:p>
        </w:tc>
      </w:tr>
      <w:tr w:rsidR="00FE4C46" w:rsidRPr="00243400" w14:paraId="2761DDD6" w14:textId="77777777" w:rsidTr="3A42354A">
        <w:trPr>
          <w:trHeight w:val="288"/>
        </w:trPr>
        <w:tc>
          <w:tcPr>
            <w:tcW w:w="5474" w:type="dxa"/>
            <w:tcBorders>
              <w:top w:val="single" w:sz="4" w:space="0" w:color="666666"/>
              <w:left w:val="nil"/>
              <w:right w:val="nil"/>
            </w:tcBorders>
            <w:noWrap/>
            <w:vAlign w:val="center"/>
          </w:tcPr>
          <w:p w14:paraId="73DBB2D6" w14:textId="79CCFE72" w:rsidR="00FE4C46" w:rsidRPr="00243400" w:rsidRDefault="3A42354A" w:rsidP="3A42354A">
            <w:pPr>
              <w:spacing w:after="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Percentage Change Y/Y </w:t>
            </w:r>
          </w:p>
        </w:tc>
        <w:tc>
          <w:tcPr>
            <w:tcW w:w="1008" w:type="dxa"/>
            <w:tcBorders>
              <w:top w:val="single" w:sz="4" w:space="0" w:color="666666"/>
              <w:left w:val="nil"/>
              <w:right w:val="nil"/>
            </w:tcBorders>
            <w:vAlign w:val="center"/>
          </w:tcPr>
          <w:p w14:paraId="4E68B546" w14:textId="27640192" w:rsidR="00FE4C46" w:rsidRPr="00243400" w:rsidRDefault="3A42354A" w:rsidP="3A42354A">
            <w:pPr>
              <w:spacing w:after="0"/>
              <w:jc w:val="right"/>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12%</w:t>
            </w:r>
          </w:p>
        </w:tc>
        <w:tc>
          <w:tcPr>
            <w:tcW w:w="1008" w:type="dxa"/>
            <w:tcBorders>
              <w:top w:val="single" w:sz="4" w:space="0" w:color="666666"/>
              <w:left w:val="nil"/>
              <w:right w:val="nil"/>
            </w:tcBorders>
            <w:vAlign w:val="center"/>
          </w:tcPr>
          <w:p w14:paraId="21FF303F" w14:textId="05A2D6FE" w:rsidR="00FE4C46" w:rsidRPr="00243400" w:rsidRDefault="3A42354A" w:rsidP="3A42354A">
            <w:pPr>
              <w:spacing w:after="0"/>
              <w:jc w:val="right"/>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15%</w:t>
            </w:r>
          </w:p>
        </w:tc>
        <w:tc>
          <w:tcPr>
            <w:tcW w:w="1008" w:type="dxa"/>
            <w:tcBorders>
              <w:top w:val="single" w:sz="4" w:space="0" w:color="666666"/>
              <w:left w:val="nil"/>
              <w:right w:val="nil"/>
            </w:tcBorders>
            <w:vAlign w:val="center"/>
          </w:tcPr>
          <w:p w14:paraId="55EAB75A" w14:textId="4E9520BF" w:rsidR="00FE4C46" w:rsidRPr="00243400" w:rsidRDefault="3A42354A" w:rsidP="3A42354A">
            <w:pPr>
              <w:spacing w:after="0"/>
              <w:jc w:val="right"/>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16%</w:t>
            </w:r>
          </w:p>
        </w:tc>
        <w:tc>
          <w:tcPr>
            <w:tcW w:w="1008" w:type="dxa"/>
            <w:tcBorders>
              <w:top w:val="single" w:sz="4" w:space="0" w:color="666666"/>
              <w:left w:val="nil"/>
              <w:right w:val="nil"/>
            </w:tcBorders>
            <w:vAlign w:val="center"/>
          </w:tcPr>
          <w:p w14:paraId="2888E910" w14:textId="3C7FFC00" w:rsidR="00FE4C46" w:rsidRPr="00243400" w:rsidRDefault="3A42354A" w:rsidP="3A42354A">
            <w:pPr>
              <w:spacing w:after="0"/>
              <w:jc w:val="right"/>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17%</w:t>
            </w:r>
          </w:p>
        </w:tc>
      </w:tr>
      <w:tr w:rsidR="0015334C" w:rsidRPr="00243400" w14:paraId="38361047" w14:textId="77777777" w:rsidTr="3A42354A">
        <w:trPr>
          <w:trHeight w:val="288"/>
        </w:trPr>
        <w:tc>
          <w:tcPr>
            <w:tcW w:w="5474" w:type="dxa"/>
            <w:tcBorders>
              <w:top w:val="single" w:sz="4" w:space="0" w:color="auto"/>
              <w:left w:val="nil"/>
              <w:bottom w:val="single" w:sz="4" w:space="0" w:color="auto"/>
              <w:right w:val="nil"/>
            </w:tcBorders>
            <w:noWrap/>
            <w:vAlign w:val="center"/>
          </w:tcPr>
          <w:p w14:paraId="3BB6AED7" w14:textId="77777777" w:rsidR="0015334C" w:rsidRPr="00243400" w:rsidRDefault="3A42354A" w:rsidP="3A42354A">
            <w:pPr>
              <w:spacing w:after="0"/>
              <w:rPr>
                <w:rFonts w:ascii="Segoe UI" w:eastAsia="Times New Roman" w:hAnsi="Segoe UI" w:cs="Segoe UI"/>
                <w:color w:val="666666"/>
                <w:sz w:val="16"/>
                <w:szCs w:val="16"/>
              </w:rPr>
            </w:pPr>
            <w:r w:rsidRPr="3A42354A">
              <w:rPr>
                <w:rFonts w:ascii="Segoe UI" w:eastAsia="Times New Roman" w:hAnsi="Segoe UI" w:cs="Segoe UI"/>
                <w:b/>
                <w:bCs/>
                <w:color w:val="666666"/>
                <w:sz w:val="16"/>
                <w:szCs w:val="16"/>
              </w:rPr>
              <w:t>Constant Currency Impact</w:t>
            </w:r>
          </w:p>
        </w:tc>
        <w:tc>
          <w:tcPr>
            <w:tcW w:w="1008" w:type="dxa"/>
            <w:tcBorders>
              <w:top w:val="single" w:sz="4" w:space="0" w:color="auto"/>
              <w:left w:val="nil"/>
              <w:bottom w:val="single" w:sz="4" w:space="0" w:color="auto"/>
              <w:right w:val="nil"/>
            </w:tcBorders>
            <w:vAlign w:val="center"/>
          </w:tcPr>
          <w:p w14:paraId="6A5E4FA9" w14:textId="26861565" w:rsidR="0015334C" w:rsidRPr="008379EF" w:rsidRDefault="3A42354A" w:rsidP="3A42354A">
            <w:pPr>
              <w:spacing w:after="0"/>
              <w:ind w:firstLine="82"/>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$95</w:t>
            </w:r>
          </w:p>
        </w:tc>
        <w:tc>
          <w:tcPr>
            <w:tcW w:w="1008" w:type="dxa"/>
            <w:tcBorders>
              <w:top w:val="single" w:sz="4" w:space="0" w:color="auto"/>
              <w:left w:val="nil"/>
              <w:bottom w:val="single" w:sz="4" w:space="0" w:color="auto"/>
              <w:right w:val="nil"/>
            </w:tcBorders>
            <w:vAlign w:val="center"/>
          </w:tcPr>
          <w:p w14:paraId="3F22F344" w14:textId="5093BC2F" w:rsidR="0015334C" w:rsidRPr="008379EF" w:rsidRDefault="3A42354A" w:rsidP="3A42354A">
            <w:pPr>
              <w:spacing w:after="0"/>
              <w:ind w:firstLine="82"/>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$12</w:t>
            </w:r>
          </w:p>
        </w:tc>
        <w:tc>
          <w:tcPr>
            <w:tcW w:w="1008" w:type="dxa"/>
            <w:tcBorders>
              <w:top w:val="single" w:sz="4" w:space="0" w:color="auto"/>
              <w:left w:val="nil"/>
              <w:bottom w:val="single" w:sz="4" w:space="0" w:color="auto"/>
              <w:right w:val="nil"/>
            </w:tcBorders>
            <w:vAlign w:val="center"/>
          </w:tcPr>
          <w:p w14:paraId="3ADB4E9F" w14:textId="0D904227" w:rsidR="0015334C" w:rsidRPr="008379EF" w:rsidRDefault="3A42354A" w:rsidP="3A42354A">
            <w:pPr>
              <w:spacing w:after="0"/>
              <w:ind w:firstLine="82"/>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$28</w:t>
            </w:r>
          </w:p>
        </w:tc>
        <w:tc>
          <w:tcPr>
            <w:tcW w:w="1008" w:type="dxa"/>
            <w:tcBorders>
              <w:top w:val="single" w:sz="4" w:space="0" w:color="auto"/>
              <w:left w:val="nil"/>
              <w:bottom w:val="single" w:sz="4" w:space="0" w:color="auto"/>
              <w:right w:val="nil"/>
            </w:tcBorders>
            <w:vAlign w:val="center"/>
          </w:tcPr>
          <w:p w14:paraId="0A63F837" w14:textId="43D69510" w:rsidR="0015334C" w:rsidRPr="008379EF" w:rsidRDefault="3A42354A" w:rsidP="3A42354A">
            <w:pPr>
              <w:spacing w:after="0"/>
              <w:ind w:firstLine="82"/>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$0.00</w:t>
            </w:r>
          </w:p>
        </w:tc>
      </w:tr>
      <w:tr w:rsidR="009240F6" w:rsidRPr="00243400" w14:paraId="76F252CD" w14:textId="77777777" w:rsidTr="3A42354A">
        <w:trPr>
          <w:trHeight w:val="288"/>
        </w:trPr>
        <w:tc>
          <w:tcPr>
            <w:tcW w:w="5474" w:type="dxa"/>
            <w:tcBorders>
              <w:top w:val="single" w:sz="4" w:space="0" w:color="auto"/>
              <w:left w:val="nil"/>
              <w:bottom w:val="single" w:sz="4" w:space="0" w:color="auto"/>
              <w:right w:val="nil"/>
            </w:tcBorders>
            <w:shd w:val="clear" w:color="auto" w:fill="auto"/>
            <w:noWrap/>
            <w:vAlign w:val="center"/>
          </w:tcPr>
          <w:p w14:paraId="0D1B3369" w14:textId="59B8DBA5" w:rsidR="009240F6" w:rsidRPr="00243400" w:rsidRDefault="3A42354A" w:rsidP="3A42354A">
            <w:pPr>
              <w:spacing w:after="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Percentage Change Y/Y Constant Currency</w:t>
            </w:r>
          </w:p>
        </w:tc>
        <w:tc>
          <w:tcPr>
            <w:tcW w:w="1008" w:type="dxa"/>
            <w:tcBorders>
              <w:top w:val="single" w:sz="4" w:space="0" w:color="auto"/>
              <w:left w:val="nil"/>
              <w:bottom w:val="single" w:sz="4" w:space="0" w:color="auto"/>
              <w:right w:val="nil"/>
            </w:tcBorders>
            <w:shd w:val="clear" w:color="auto" w:fill="auto"/>
            <w:vAlign w:val="center"/>
          </w:tcPr>
          <w:p w14:paraId="678FFEC9" w14:textId="700CB7DC" w:rsidR="009240F6" w:rsidRPr="002F34B2" w:rsidRDefault="3A42354A" w:rsidP="3A42354A">
            <w:pPr>
              <w:spacing w:after="0"/>
              <w:jc w:val="right"/>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11%</w:t>
            </w:r>
          </w:p>
        </w:tc>
        <w:tc>
          <w:tcPr>
            <w:tcW w:w="1008" w:type="dxa"/>
            <w:tcBorders>
              <w:top w:val="single" w:sz="4" w:space="0" w:color="auto"/>
              <w:left w:val="nil"/>
              <w:bottom w:val="single" w:sz="4" w:space="0" w:color="auto"/>
              <w:right w:val="nil"/>
            </w:tcBorders>
            <w:shd w:val="clear" w:color="auto" w:fill="auto"/>
            <w:vAlign w:val="center"/>
          </w:tcPr>
          <w:p w14:paraId="1A2E5557" w14:textId="7507C1DC" w:rsidR="009240F6" w:rsidRPr="002F34B2" w:rsidRDefault="3A42354A" w:rsidP="3A42354A">
            <w:pPr>
              <w:spacing w:after="0"/>
              <w:jc w:val="right"/>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15%</w:t>
            </w:r>
          </w:p>
        </w:tc>
        <w:tc>
          <w:tcPr>
            <w:tcW w:w="1008" w:type="dxa"/>
            <w:tcBorders>
              <w:top w:val="single" w:sz="4" w:space="0" w:color="auto"/>
              <w:left w:val="nil"/>
              <w:bottom w:val="single" w:sz="4" w:space="0" w:color="auto"/>
              <w:right w:val="nil"/>
            </w:tcBorders>
            <w:shd w:val="clear" w:color="auto" w:fill="auto"/>
            <w:vAlign w:val="center"/>
          </w:tcPr>
          <w:p w14:paraId="7E8CA8CB" w14:textId="700B42D5" w:rsidR="009240F6" w:rsidRPr="00287423" w:rsidRDefault="3A42354A" w:rsidP="3A42354A">
            <w:pPr>
              <w:spacing w:after="0"/>
              <w:jc w:val="right"/>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16%</w:t>
            </w:r>
          </w:p>
        </w:tc>
        <w:tc>
          <w:tcPr>
            <w:tcW w:w="1008" w:type="dxa"/>
            <w:tcBorders>
              <w:top w:val="single" w:sz="4" w:space="0" w:color="auto"/>
              <w:left w:val="nil"/>
              <w:bottom w:val="single" w:sz="4" w:space="0" w:color="auto"/>
              <w:right w:val="nil"/>
            </w:tcBorders>
            <w:shd w:val="clear" w:color="auto" w:fill="auto"/>
            <w:vAlign w:val="center"/>
          </w:tcPr>
          <w:p w14:paraId="75346ACE" w14:textId="39EDF356" w:rsidR="009240F6" w:rsidRPr="00287423" w:rsidRDefault="3A42354A" w:rsidP="3A42354A">
            <w:pPr>
              <w:spacing w:after="0"/>
              <w:jc w:val="right"/>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17%</w:t>
            </w:r>
          </w:p>
        </w:tc>
      </w:tr>
    </w:tbl>
    <w:p w14:paraId="495F66F4" w14:textId="77777777" w:rsidR="00B5626E" w:rsidRPr="00243400" w:rsidRDefault="3A42354A" w:rsidP="3A42354A">
      <w:pPr>
        <w:spacing w:before="240" w:after="240"/>
        <w:ind w:left="720"/>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t>Segment Revenue Constant Currency Reconciliation</w:t>
      </w:r>
    </w:p>
    <w:tbl>
      <w:tblPr>
        <w:tblW w:w="5077" w:type="pct"/>
        <w:tblLook w:val="04A0" w:firstRow="1" w:lastRow="0" w:firstColumn="1" w:lastColumn="0" w:noHBand="0" w:noVBand="1"/>
      </w:tblPr>
      <w:tblGrid>
        <w:gridCol w:w="4608"/>
        <w:gridCol w:w="1635"/>
        <w:gridCol w:w="1629"/>
        <w:gridCol w:w="1632"/>
      </w:tblGrid>
      <w:tr w:rsidR="00B5626E" w:rsidRPr="00243400" w14:paraId="5DB36FD8" w14:textId="77777777" w:rsidTr="3A42354A">
        <w:trPr>
          <w:trHeight w:val="340"/>
        </w:trPr>
        <w:tc>
          <w:tcPr>
            <w:tcW w:w="4608" w:type="dxa"/>
            <w:tcBorders>
              <w:top w:val="nil"/>
              <w:left w:val="nil"/>
              <w:bottom w:val="single" w:sz="8" w:space="0" w:color="auto"/>
              <w:right w:val="nil"/>
            </w:tcBorders>
          </w:tcPr>
          <w:p w14:paraId="6BFD6871" w14:textId="77777777" w:rsidR="00B5626E" w:rsidRPr="00243400" w:rsidRDefault="00B5626E" w:rsidP="00307B2D">
            <w:pPr>
              <w:spacing w:after="0"/>
              <w:rPr>
                <w:rFonts w:ascii="Segoe UI" w:eastAsia="Times New Roman" w:hAnsi="Segoe UI" w:cs="Segoe UI"/>
                <w:color w:val="666666"/>
                <w:sz w:val="16"/>
                <w:szCs w:val="16"/>
              </w:rPr>
            </w:pPr>
          </w:p>
        </w:tc>
        <w:tc>
          <w:tcPr>
            <w:tcW w:w="4896" w:type="dxa"/>
            <w:gridSpan w:val="3"/>
            <w:tcBorders>
              <w:top w:val="nil"/>
              <w:left w:val="nil"/>
              <w:bottom w:val="single" w:sz="8" w:space="0" w:color="auto"/>
            </w:tcBorders>
          </w:tcPr>
          <w:p w14:paraId="739CB407" w14:textId="0E6C42FE" w:rsidR="00B5626E" w:rsidRPr="00243400" w:rsidRDefault="3A42354A" w:rsidP="3A42354A">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Three Months Ended September 30,</w:t>
            </w:r>
          </w:p>
        </w:tc>
      </w:tr>
      <w:tr w:rsidR="00B5626E" w:rsidRPr="00243400" w14:paraId="25EF4E53" w14:textId="77777777" w:rsidTr="3A42354A">
        <w:trPr>
          <w:trHeight w:val="432"/>
        </w:trPr>
        <w:tc>
          <w:tcPr>
            <w:tcW w:w="4608" w:type="dxa"/>
            <w:tcBorders>
              <w:top w:val="single" w:sz="8" w:space="0" w:color="666666"/>
              <w:left w:val="nil"/>
              <w:bottom w:val="single" w:sz="8" w:space="0" w:color="666666"/>
              <w:right w:val="nil"/>
            </w:tcBorders>
            <w:vAlign w:val="bottom"/>
            <w:hideMark/>
          </w:tcPr>
          <w:p w14:paraId="47D6A2AF" w14:textId="77777777" w:rsidR="00B5626E" w:rsidRPr="00243400" w:rsidRDefault="3A42354A" w:rsidP="3A42354A">
            <w:pPr>
              <w:spacing w:after="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w:t>
            </w:r>
          </w:p>
        </w:tc>
        <w:tc>
          <w:tcPr>
            <w:tcW w:w="1635" w:type="dxa"/>
            <w:tcBorders>
              <w:top w:val="single" w:sz="8" w:space="0" w:color="666666"/>
              <w:left w:val="nil"/>
              <w:bottom w:val="single" w:sz="8" w:space="0" w:color="666666"/>
              <w:right w:val="nil"/>
            </w:tcBorders>
            <w:vAlign w:val="bottom"/>
          </w:tcPr>
          <w:p w14:paraId="102BFF06" w14:textId="77777777" w:rsidR="00B5626E" w:rsidRPr="00243400" w:rsidRDefault="3A42354A" w:rsidP="3A42354A">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Productivity and Business Processes</w:t>
            </w:r>
          </w:p>
        </w:tc>
        <w:tc>
          <w:tcPr>
            <w:tcW w:w="1629" w:type="dxa"/>
            <w:tcBorders>
              <w:top w:val="single" w:sz="8" w:space="0" w:color="666666"/>
              <w:left w:val="nil"/>
              <w:bottom w:val="single" w:sz="8" w:space="0" w:color="666666"/>
              <w:right w:val="nil"/>
            </w:tcBorders>
            <w:vAlign w:val="bottom"/>
          </w:tcPr>
          <w:p w14:paraId="02E34ECB" w14:textId="77777777" w:rsidR="00B5626E" w:rsidRPr="00243400" w:rsidRDefault="3A42354A" w:rsidP="3A42354A">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Intelligent Cloud</w:t>
            </w:r>
          </w:p>
        </w:tc>
        <w:tc>
          <w:tcPr>
            <w:tcW w:w="1632" w:type="dxa"/>
            <w:tcBorders>
              <w:top w:val="single" w:sz="8" w:space="0" w:color="666666"/>
              <w:left w:val="nil"/>
              <w:bottom w:val="single" w:sz="8" w:space="0" w:color="666666"/>
              <w:right w:val="nil"/>
            </w:tcBorders>
            <w:vAlign w:val="bottom"/>
          </w:tcPr>
          <w:p w14:paraId="65526B67" w14:textId="77777777" w:rsidR="00B5626E" w:rsidRPr="00243400" w:rsidRDefault="3A42354A" w:rsidP="3A42354A">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More Personal Computing</w:t>
            </w:r>
          </w:p>
        </w:tc>
      </w:tr>
      <w:tr w:rsidR="0015334C" w:rsidRPr="00243400" w14:paraId="59FFBD02" w14:textId="77777777" w:rsidTr="3A42354A">
        <w:trPr>
          <w:trHeight w:val="288"/>
        </w:trPr>
        <w:tc>
          <w:tcPr>
            <w:tcW w:w="4608" w:type="dxa"/>
            <w:tcBorders>
              <w:top w:val="single" w:sz="8" w:space="0" w:color="666666"/>
              <w:left w:val="nil"/>
              <w:bottom w:val="single" w:sz="4" w:space="0" w:color="auto"/>
              <w:right w:val="nil"/>
            </w:tcBorders>
            <w:noWrap/>
            <w:vAlign w:val="center"/>
          </w:tcPr>
          <w:p w14:paraId="689C92F4" w14:textId="5FBB36A8" w:rsidR="0015334C" w:rsidRPr="00243400" w:rsidRDefault="3A42354A" w:rsidP="3A42354A">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2016 As Reported </w:t>
            </w:r>
          </w:p>
        </w:tc>
        <w:tc>
          <w:tcPr>
            <w:tcW w:w="1635" w:type="dxa"/>
            <w:tcBorders>
              <w:top w:val="single" w:sz="8" w:space="0" w:color="666666"/>
              <w:left w:val="nil"/>
              <w:bottom w:val="single" w:sz="4" w:space="0" w:color="auto"/>
              <w:right w:val="nil"/>
            </w:tcBorders>
            <w:vAlign w:val="center"/>
          </w:tcPr>
          <w:p w14:paraId="59BE7B72" w14:textId="1BF0F553" w:rsidR="0015334C" w:rsidRPr="00D60058" w:rsidRDefault="3A42354A" w:rsidP="3A42354A">
            <w:pPr>
              <w:spacing w:after="0"/>
              <w:ind w:firstLine="82"/>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$6,436</w:t>
            </w:r>
          </w:p>
        </w:tc>
        <w:tc>
          <w:tcPr>
            <w:tcW w:w="1629" w:type="dxa"/>
            <w:tcBorders>
              <w:top w:val="single" w:sz="8" w:space="0" w:color="666666"/>
              <w:left w:val="nil"/>
              <w:bottom w:val="single" w:sz="4" w:space="0" w:color="auto"/>
              <w:right w:val="nil"/>
            </w:tcBorders>
            <w:vAlign w:val="center"/>
          </w:tcPr>
          <w:p w14:paraId="7B92B853" w14:textId="2D605BC9" w:rsidR="0015334C" w:rsidRPr="00D60058" w:rsidRDefault="3A42354A" w:rsidP="3A42354A">
            <w:pPr>
              <w:spacing w:after="0"/>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$6,097</w:t>
            </w:r>
          </w:p>
        </w:tc>
        <w:tc>
          <w:tcPr>
            <w:tcW w:w="1632" w:type="dxa"/>
            <w:tcBorders>
              <w:top w:val="single" w:sz="8" w:space="0" w:color="666666"/>
              <w:left w:val="nil"/>
              <w:bottom w:val="single" w:sz="4" w:space="0" w:color="auto"/>
              <w:right w:val="nil"/>
            </w:tcBorders>
            <w:vAlign w:val="center"/>
          </w:tcPr>
          <w:p w14:paraId="46B64848" w14:textId="4F430A9F" w:rsidR="0015334C" w:rsidRPr="00D60058" w:rsidRDefault="3A42354A" w:rsidP="3A42354A">
            <w:pPr>
              <w:spacing w:after="0"/>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$9,395</w:t>
            </w:r>
          </w:p>
        </w:tc>
      </w:tr>
      <w:tr w:rsidR="0015334C" w:rsidRPr="00243400" w14:paraId="5F68CEDD" w14:textId="77777777" w:rsidTr="3A42354A">
        <w:trPr>
          <w:trHeight w:val="288"/>
        </w:trPr>
        <w:tc>
          <w:tcPr>
            <w:tcW w:w="4608" w:type="dxa"/>
            <w:tcBorders>
              <w:top w:val="single" w:sz="4" w:space="0" w:color="auto"/>
              <w:left w:val="nil"/>
              <w:bottom w:val="single" w:sz="4" w:space="0" w:color="auto"/>
              <w:right w:val="nil"/>
            </w:tcBorders>
            <w:noWrap/>
            <w:vAlign w:val="center"/>
          </w:tcPr>
          <w:p w14:paraId="4302E12D" w14:textId="2C2CA5C5" w:rsidR="0015334C" w:rsidRPr="00243400" w:rsidRDefault="3A42354A" w:rsidP="3A42354A">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2017 As Reported </w:t>
            </w:r>
          </w:p>
        </w:tc>
        <w:tc>
          <w:tcPr>
            <w:tcW w:w="1635" w:type="dxa"/>
            <w:tcBorders>
              <w:top w:val="single" w:sz="4" w:space="0" w:color="auto"/>
              <w:left w:val="nil"/>
              <w:bottom w:val="single" w:sz="4" w:space="0" w:color="auto"/>
              <w:right w:val="nil"/>
            </w:tcBorders>
            <w:vAlign w:val="center"/>
          </w:tcPr>
          <w:p w14:paraId="608540F4" w14:textId="5145250E" w:rsidR="0015334C" w:rsidRPr="009240F6" w:rsidRDefault="3A42354A" w:rsidP="3A42354A">
            <w:pPr>
              <w:spacing w:after="0"/>
              <w:ind w:firstLine="82"/>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$8,238</w:t>
            </w:r>
          </w:p>
        </w:tc>
        <w:tc>
          <w:tcPr>
            <w:tcW w:w="1629" w:type="dxa"/>
            <w:tcBorders>
              <w:top w:val="single" w:sz="4" w:space="0" w:color="auto"/>
              <w:left w:val="nil"/>
              <w:bottom w:val="single" w:sz="4" w:space="0" w:color="auto"/>
              <w:right w:val="nil"/>
            </w:tcBorders>
            <w:vAlign w:val="center"/>
          </w:tcPr>
          <w:p w14:paraId="7319C706" w14:textId="5B7F719E" w:rsidR="0015334C" w:rsidRPr="009240F6" w:rsidRDefault="3A42354A" w:rsidP="3A42354A">
            <w:pPr>
              <w:spacing w:after="0"/>
              <w:ind w:firstLine="82"/>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$6,922</w:t>
            </w:r>
          </w:p>
        </w:tc>
        <w:tc>
          <w:tcPr>
            <w:tcW w:w="1632" w:type="dxa"/>
            <w:tcBorders>
              <w:top w:val="single" w:sz="4" w:space="0" w:color="auto"/>
              <w:left w:val="nil"/>
              <w:bottom w:val="single" w:sz="4" w:space="0" w:color="auto"/>
              <w:right w:val="nil"/>
            </w:tcBorders>
            <w:vAlign w:val="center"/>
          </w:tcPr>
          <w:p w14:paraId="3EF53115" w14:textId="09718C0D" w:rsidR="0015334C" w:rsidRPr="009240F6" w:rsidRDefault="3A42354A" w:rsidP="3A42354A">
            <w:pPr>
              <w:spacing w:after="0"/>
              <w:ind w:firstLine="82"/>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$9,37</w:t>
            </w:r>
            <w:r w:rsidR="006223AC">
              <w:rPr>
                <w:rFonts w:ascii="Segoe UI" w:eastAsia="Times New Roman" w:hAnsi="Segoe UI" w:cs="Segoe UI"/>
                <w:b/>
                <w:bCs/>
                <w:color w:val="666666"/>
                <w:sz w:val="16"/>
                <w:szCs w:val="16"/>
              </w:rPr>
              <w:t>8</w:t>
            </w:r>
          </w:p>
        </w:tc>
      </w:tr>
      <w:tr w:rsidR="0015334C" w:rsidRPr="00243400" w14:paraId="25E1BD1B" w14:textId="77777777" w:rsidTr="3A42354A">
        <w:trPr>
          <w:trHeight w:val="288"/>
        </w:trPr>
        <w:tc>
          <w:tcPr>
            <w:tcW w:w="4608" w:type="dxa"/>
            <w:tcBorders>
              <w:top w:val="single" w:sz="4" w:space="0" w:color="auto"/>
              <w:left w:val="nil"/>
              <w:bottom w:val="single" w:sz="4" w:space="0" w:color="auto"/>
              <w:right w:val="nil"/>
            </w:tcBorders>
            <w:noWrap/>
            <w:vAlign w:val="center"/>
          </w:tcPr>
          <w:p w14:paraId="52D4E520" w14:textId="47E04F22" w:rsidR="0015334C" w:rsidRPr="00243400" w:rsidRDefault="3A42354A" w:rsidP="3A42354A">
            <w:pPr>
              <w:spacing w:after="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Percentage Change Y/Y </w:t>
            </w:r>
          </w:p>
        </w:tc>
        <w:tc>
          <w:tcPr>
            <w:tcW w:w="1635" w:type="dxa"/>
            <w:tcBorders>
              <w:top w:val="single" w:sz="4" w:space="0" w:color="auto"/>
              <w:left w:val="nil"/>
              <w:bottom w:val="single" w:sz="4" w:space="0" w:color="auto"/>
              <w:right w:val="nil"/>
            </w:tcBorders>
            <w:vAlign w:val="center"/>
          </w:tcPr>
          <w:p w14:paraId="4C66EB98" w14:textId="1CAA16AA" w:rsidR="0015334C" w:rsidRPr="00243400" w:rsidRDefault="3A42354A" w:rsidP="3A42354A">
            <w:pPr>
              <w:spacing w:after="0"/>
              <w:jc w:val="right"/>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28%</w:t>
            </w:r>
          </w:p>
        </w:tc>
        <w:tc>
          <w:tcPr>
            <w:tcW w:w="1629" w:type="dxa"/>
            <w:tcBorders>
              <w:top w:val="single" w:sz="4" w:space="0" w:color="auto"/>
              <w:left w:val="nil"/>
              <w:bottom w:val="single" w:sz="4" w:space="0" w:color="auto"/>
              <w:right w:val="nil"/>
            </w:tcBorders>
            <w:vAlign w:val="center"/>
          </w:tcPr>
          <w:p w14:paraId="2369006F" w14:textId="0F9973B8" w:rsidR="0015334C" w:rsidRPr="00243400" w:rsidRDefault="3A42354A" w:rsidP="3A42354A">
            <w:pPr>
              <w:spacing w:after="0"/>
              <w:jc w:val="right"/>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14%</w:t>
            </w:r>
          </w:p>
        </w:tc>
        <w:tc>
          <w:tcPr>
            <w:tcW w:w="1632" w:type="dxa"/>
            <w:tcBorders>
              <w:top w:val="single" w:sz="4" w:space="0" w:color="auto"/>
              <w:left w:val="nil"/>
              <w:bottom w:val="single" w:sz="4" w:space="0" w:color="auto"/>
              <w:right w:val="nil"/>
            </w:tcBorders>
            <w:vAlign w:val="center"/>
          </w:tcPr>
          <w:p w14:paraId="0E42707A" w14:textId="79313D3E" w:rsidR="0015334C" w:rsidRPr="00243400" w:rsidRDefault="3A42354A" w:rsidP="3A42354A">
            <w:pPr>
              <w:spacing w:after="0"/>
              <w:jc w:val="right"/>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0%</w:t>
            </w:r>
          </w:p>
        </w:tc>
      </w:tr>
      <w:tr w:rsidR="0015334C" w:rsidRPr="00243400" w14:paraId="0E603041" w14:textId="77777777" w:rsidTr="3A42354A">
        <w:trPr>
          <w:trHeight w:val="288"/>
        </w:trPr>
        <w:tc>
          <w:tcPr>
            <w:tcW w:w="4608" w:type="dxa"/>
            <w:tcBorders>
              <w:top w:val="single" w:sz="4" w:space="0" w:color="auto"/>
              <w:left w:val="nil"/>
              <w:bottom w:val="single" w:sz="4" w:space="0" w:color="auto"/>
              <w:right w:val="nil"/>
            </w:tcBorders>
            <w:noWrap/>
            <w:vAlign w:val="center"/>
          </w:tcPr>
          <w:p w14:paraId="602084E8" w14:textId="77777777" w:rsidR="0015334C" w:rsidRPr="00243400" w:rsidRDefault="3A42354A" w:rsidP="3A42354A">
            <w:pPr>
              <w:spacing w:after="0"/>
              <w:rPr>
                <w:rFonts w:ascii="Segoe UI" w:eastAsia="Times New Roman" w:hAnsi="Segoe UI" w:cs="Segoe UI"/>
                <w:color w:val="666666"/>
                <w:sz w:val="16"/>
                <w:szCs w:val="16"/>
              </w:rPr>
            </w:pPr>
            <w:r w:rsidRPr="3A42354A">
              <w:rPr>
                <w:rFonts w:ascii="Segoe UI" w:eastAsia="Times New Roman" w:hAnsi="Segoe UI" w:cs="Segoe UI"/>
                <w:b/>
                <w:bCs/>
                <w:color w:val="666666"/>
                <w:sz w:val="16"/>
                <w:szCs w:val="16"/>
              </w:rPr>
              <w:t>Constant Currency Impact</w:t>
            </w:r>
          </w:p>
        </w:tc>
        <w:tc>
          <w:tcPr>
            <w:tcW w:w="1635" w:type="dxa"/>
            <w:tcBorders>
              <w:top w:val="single" w:sz="4" w:space="0" w:color="auto"/>
              <w:left w:val="nil"/>
              <w:bottom w:val="single" w:sz="4" w:space="0" w:color="auto"/>
              <w:right w:val="nil"/>
            </w:tcBorders>
            <w:vAlign w:val="center"/>
          </w:tcPr>
          <w:p w14:paraId="5A9798CA" w14:textId="5022B775" w:rsidR="0015334C" w:rsidRPr="005A7B93" w:rsidRDefault="3A42354A" w:rsidP="3A42354A">
            <w:pPr>
              <w:spacing w:after="0"/>
              <w:ind w:firstLine="82"/>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$24</w:t>
            </w:r>
          </w:p>
        </w:tc>
        <w:tc>
          <w:tcPr>
            <w:tcW w:w="1629" w:type="dxa"/>
            <w:tcBorders>
              <w:top w:val="single" w:sz="4" w:space="0" w:color="auto"/>
              <w:left w:val="nil"/>
              <w:bottom w:val="single" w:sz="4" w:space="0" w:color="auto"/>
              <w:right w:val="nil"/>
            </w:tcBorders>
            <w:vAlign w:val="center"/>
          </w:tcPr>
          <w:p w14:paraId="04CD556D" w14:textId="395DE30C" w:rsidR="0015334C" w:rsidRPr="005A7B93" w:rsidRDefault="3A42354A" w:rsidP="3A42354A">
            <w:pPr>
              <w:spacing w:after="0"/>
              <w:ind w:firstLine="82"/>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$32</w:t>
            </w:r>
          </w:p>
        </w:tc>
        <w:tc>
          <w:tcPr>
            <w:tcW w:w="1632" w:type="dxa"/>
            <w:tcBorders>
              <w:top w:val="single" w:sz="4" w:space="0" w:color="auto"/>
              <w:left w:val="nil"/>
              <w:bottom w:val="single" w:sz="4" w:space="0" w:color="auto"/>
              <w:right w:val="nil"/>
            </w:tcBorders>
            <w:vAlign w:val="center"/>
          </w:tcPr>
          <w:p w14:paraId="5452FA7B" w14:textId="300B3A00" w:rsidR="0015334C" w:rsidRPr="005A7B93" w:rsidRDefault="3A42354A" w:rsidP="3A42354A">
            <w:pPr>
              <w:spacing w:after="0"/>
              <w:ind w:firstLine="82"/>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$39</w:t>
            </w:r>
          </w:p>
        </w:tc>
      </w:tr>
      <w:tr w:rsidR="0015334C" w:rsidRPr="00243400" w14:paraId="50BAB5ED" w14:textId="77777777" w:rsidTr="3A42354A">
        <w:trPr>
          <w:trHeight w:val="288"/>
        </w:trPr>
        <w:tc>
          <w:tcPr>
            <w:tcW w:w="4608" w:type="dxa"/>
            <w:tcBorders>
              <w:top w:val="single" w:sz="4" w:space="0" w:color="auto"/>
              <w:left w:val="nil"/>
              <w:bottom w:val="single" w:sz="4" w:space="0" w:color="666666"/>
              <w:right w:val="nil"/>
            </w:tcBorders>
            <w:noWrap/>
            <w:vAlign w:val="center"/>
          </w:tcPr>
          <w:p w14:paraId="1B27F2D9" w14:textId="034899A8" w:rsidR="0015334C" w:rsidRPr="00243400" w:rsidRDefault="3A42354A" w:rsidP="3A42354A">
            <w:pPr>
              <w:spacing w:after="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Percentage Change Y/Y Constant Currency</w:t>
            </w:r>
          </w:p>
        </w:tc>
        <w:tc>
          <w:tcPr>
            <w:tcW w:w="1635" w:type="dxa"/>
            <w:tcBorders>
              <w:top w:val="single" w:sz="4" w:space="0" w:color="auto"/>
              <w:left w:val="nil"/>
              <w:bottom w:val="single" w:sz="4" w:space="0" w:color="666666"/>
              <w:right w:val="nil"/>
            </w:tcBorders>
            <w:vAlign w:val="center"/>
          </w:tcPr>
          <w:p w14:paraId="669C4260" w14:textId="0EC6D9DA" w:rsidR="0015334C" w:rsidRPr="00243400" w:rsidRDefault="3A42354A" w:rsidP="3A42354A">
            <w:pPr>
              <w:spacing w:after="0"/>
              <w:jc w:val="right"/>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28%</w:t>
            </w:r>
          </w:p>
        </w:tc>
        <w:tc>
          <w:tcPr>
            <w:tcW w:w="1629" w:type="dxa"/>
            <w:tcBorders>
              <w:top w:val="single" w:sz="4" w:space="0" w:color="auto"/>
              <w:left w:val="nil"/>
              <w:bottom w:val="single" w:sz="4" w:space="0" w:color="666666"/>
              <w:right w:val="nil"/>
            </w:tcBorders>
            <w:vAlign w:val="center"/>
          </w:tcPr>
          <w:p w14:paraId="13AB4B06" w14:textId="4F2E502F" w:rsidR="0015334C" w:rsidRPr="00243400" w:rsidRDefault="3A42354A" w:rsidP="3A42354A">
            <w:pPr>
              <w:spacing w:after="0"/>
              <w:jc w:val="right"/>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13%</w:t>
            </w:r>
          </w:p>
        </w:tc>
        <w:tc>
          <w:tcPr>
            <w:tcW w:w="1632" w:type="dxa"/>
            <w:tcBorders>
              <w:top w:val="single" w:sz="4" w:space="0" w:color="auto"/>
              <w:left w:val="nil"/>
              <w:bottom w:val="single" w:sz="4" w:space="0" w:color="666666"/>
              <w:right w:val="nil"/>
            </w:tcBorders>
            <w:vAlign w:val="center"/>
          </w:tcPr>
          <w:p w14:paraId="2D69D91B" w14:textId="68A6FBCC" w:rsidR="0015334C" w:rsidRPr="00243400" w:rsidRDefault="3A42354A" w:rsidP="3A42354A">
            <w:pPr>
              <w:spacing w:after="0"/>
              <w:jc w:val="right"/>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w:t>
            </w:r>
            <w:proofErr w:type="gramStart"/>
            <w:r w:rsidRPr="3A42354A">
              <w:rPr>
                <w:rFonts w:ascii="Segoe UI" w:eastAsia="Times New Roman" w:hAnsi="Segoe UI" w:cs="Segoe UI"/>
                <w:color w:val="666666"/>
                <w:sz w:val="16"/>
                <w:szCs w:val="16"/>
              </w:rPr>
              <w:t>1)%</w:t>
            </w:r>
            <w:proofErr w:type="gramEnd"/>
          </w:p>
        </w:tc>
      </w:tr>
    </w:tbl>
    <w:p w14:paraId="25E22C20" w14:textId="77777777" w:rsidR="00B5626E" w:rsidRPr="00243400" w:rsidRDefault="00B5626E" w:rsidP="3A42354A">
      <w:pPr>
        <w:spacing w:before="240" w:after="240"/>
        <w:ind w:left="720"/>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t>Selected Product and Service Revenue Constant Currency Reconciliation</w:t>
      </w:r>
      <w:r w:rsidRPr="00243400">
        <w:rPr>
          <w:rFonts w:ascii="Segoe UI" w:eastAsia="Times New Roman" w:hAnsi="Segoe UI" w:cs="Segoe UI"/>
          <w:b/>
          <w:bCs/>
          <w:color w:val="666666"/>
          <w:sz w:val="20"/>
          <w:szCs w:val="20"/>
        </w:rPr>
        <w:tab/>
      </w:r>
    </w:p>
    <w:tbl>
      <w:tblPr>
        <w:tblW w:w="5077" w:type="pct"/>
        <w:tblLook w:val="04A0" w:firstRow="1" w:lastRow="0" w:firstColumn="1" w:lastColumn="0" w:noHBand="0" w:noVBand="1"/>
      </w:tblPr>
      <w:tblGrid>
        <w:gridCol w:w="4608"/>
        <w:gridCol w:w="1635"/>
        <w:gridCol w:w="1629"/>
        <w:gridCol w:w="1632"/>
      </w:tblGrid>
      <w:tr w:rsidR="00B5626E" w:rsidRPr="00243400" w14:paraId="400A7A0D" w14:textId="77777777" w:rsidTr="3A42354A">
        <w:trPr>
          <w:trHeight w:val="340"/>
        </w:trPr>
        <w:tc>
          <w:tcPr>
            <w:tcW w:w="4608" w:type="dxa"/>
            <w:tcBorders>
              <w:top w:val="nil"/>
              <w:left w:val="nil"/>
              <w:bottom w:val="single" w:sz="8" w:space="0" w:color="auto"/>
              <w:right w:val="nil"/>
            </w:tcBorders>
          </w:tcPr>
          <w:p w14:paraId="70C39818" w14:textId="77777777" w:rsidR="00B5626E" w:rsidRPr="00243400" w:rsidRDefault="00B5626E" w:rsidP="00307B2D">
            <w:pPr>
              <w:spacing w:after="0"/>
              <w:rPr>
                <w:rFonts w:ascii="Segoe UI" w:eastAsia="Times New Roman" w:hAnsi="Segoe UI" w:cs="Segoe UI"/>
                <w:color w:val="666666"/>
                <w:sz w:val="16"/>
                <w:szCs w:val="16"/>
              </w:rPr>
            </w:pPr>
          </w:p>
        </w:tc>
        <w:tc>
          <w:tcPr>
            <w:tcW w:w="4896" w:type="dxa"/>
            <w:gridSpan w:val="3"/>
            <w:tcBorders>
              <w:top w:val="nil"/>
              <w:left w:val="nil"/>
              <w:bottom w:val="single" w:sz="8" w:space="0" w:color="auto"/>
            </w:tcBorders>
          </w:tcPr>
          <w:p w14:paraId="1AAED412" w14:textId="719C574E" w:rsidR="00B5626E" w:rsidRPr="00243400" w:rsidRDefault="3A42354A" w:rsidP="3A42354A">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Three Months Ended September 30, 2017</w:t>
            </w:r>
          </w:p>
        </w:tc>
      </w:tr>
      <w:tr w:rsidR="00B5626E" w:rsidRPr="00243400" w14:paraId="53556293" w14:textId="77777777" w:rsidTr="3A42354A">
        <w:trPr>
          <w:trHeight w:val="432"/>
        </w:trPr>
        <w:tc>
          <w:tcPr>
            <w:tcW w:w="4608" w:type="dxa"/>
            <w:tcBorders>
              <w:top w:val="single" w:sz="8" w:space="0" w:color="666666"/>
              <w:left w:val="nil"/>
              <w:bottom w:val="single" w:sz="8" w:space="0" w:color="666666"/>
              <w:right w:val="nil"/>
            </w:tcBorders>
            <w:vAlign w:val="bottom"/>
            <w:hideMark/>
          </w:tcPr>
          <w:p w14:paraId="6CF91172" w14:textId="77777777" w:rsidR="00B5626E" w:rsidRPr="00243400" w:rsidRDefault="00B5626E" w:rsidP="00307B2D">
            <w:pPr>
              <w:spacing w:after="0"/>
              <w:rPr>
                <w:rFonts w:ascii="Segoe UI" w:eastAsia="Times New Roman" w:hAnsi="Segoe UI" w:cs="Segoe UI"/>
                <w:color w:val="666666"/>
                <w:sz w:val="16"/>
                <w:szCs w:val="16"/>
              </w:rPr>
            </w:pPr>
          </w:p>
        </w:tc>
        <w:tc>
          <w:tcPr>
            <w:tcW w:w="1635" w:type="dxa"/>
            <w:tcBorders>
              <w:top w:val="single" w:sz="8" w:space="0" w:color="666666"/>
              <w:left w:val="nil"/>
              <w:bottom w:val="single" w:sz="8" w:space="0" w:color="666666"/>
              <w:right w:val="nil"/>
            </w:tcBorders>
            <w:vAlign w:val="bottom"/>
          </w:tcPr>
          <w:p w14:paraId="2A1F429E" w14:textId="77777777" w:rsidR="00B5626E" w:rsidRPr="00243400" w:rsidRDefault="3A42354A" w:rsidP="3A42354A">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Percentage Change Y/Y (GAAP)</w:t>
            </w:r>
          </w:p>
        </w:tc>
        <w:tc>
          <w:tcPr>
            <w:tcW w:w="1629" w:type="dxa"/>
            <w:tcBorders>
              <w:top w:val="single" w:sz="8" w:space="0" w:color="666666"/>
              <w:left w:val="nil"/>
              <w:bottom w:val="single" w:sz="8" w:space="0" w:color="666666"/>
              <w:right w:val="nil"/>
            </w:tcBorders>
            <w:vAlign w:val="bottom"/>
          </w:tcPr>
          <w:p w14:paraId="0C4B7926" w14:textId="77777777" w:rsidR="00B5626E" w:rsidRPr="00243400" w:rsidRDefault="3A42354A" w:rsidP="3A42354A">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Constant Currency Impact</w:t>
            </w:r>
          </w:p>
        </w:tc>
        <w:tc>
          <w:tcPr>
            <w:tcW w:w="1632" w:type="dxa"/>
            <w:tcBorders>
              <w:top w:val="single" w:sz="8" w:space="0" w:color="666666"/>
              <w:left w:val="nil"/>
              <w:bottom w:val="single" w:sz="8" w:space="0" w:color="666666"/>
              <w:right w:val="nil"/>
            </w:tcBorders>
            <w:vAlign w:val="bottom"/>
          </w:tcPr>
          <w:p w14:paraId="467360CD" w14:textId="4D4381BF" w:rsidR="00B5626E" w:rsidRPr="00243400" w:rsidRDefault="3A42354A" w:rsidP="3A42354A">
            <w:pPr>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Percentage Change Y/Y Constant Currency</w:t>
            </w:r>
          </w:p>
        </w:tc>
      </w:tr>
      <w:tr w:rsidR="00A7723C" w:rsidRPr="00243400" w14:paraId="61E6A6CA" w14:textId="77777777" w:rsidTr="3A42354A">
        <w:trPr>
          <w:trHeight w:val="288"/>
        </w:trPr>
        <w:tc>
          <w:tcPr>
            <w:tcW w:w="4608" w:type="dxa"/>
            <w:tcBorders>
              <w:top w:val="single" w:sz="8" w:space="0" w:color="666666"/>
              <w:left w:val="nil"/>
              <w:bottom w:val="single" w:sz="4" w:space="0" w:color="auto"/>
              <w:right w:val="nil"/>
            </w:tcBorders>
            <w:noWrap/>
            <w:vAlign w:val="center"/>
          </w:tcPr>
          <w:p w14:paraId="0DB393E5" w14:textId="77777777" w:rsidR="00A7723C" w:rsidRPr="00243400" w:rsidRDefault="3A42354A" w:rsidP="3A42354A">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Office commercial products and cloud services</w:t>
            </w:r>
          </w:p>
        </w:tc>
        <w:tc>
          <w:tcPr>
            <w:tcW w:w="1635" w:type="dxa"/>
            <w:tcBorders>
              <w:top w:val="single" w:sz="8" w:space="0" w:color="666666"/>
              <w:left w:val="nil"/>
              <w:bottom w:val="single" w:sz="4" w:space="0" w:color="auto"/>
              <w:right w:val="nil"/>
            </w:tcBorders>
            <w:vAlign w:val="center"/>
          </w:tcPr>
          <w:p w14:paraId="3D3D80A6" w14:textId="0BCE340C" w:rsidR="00A7723C" w:rsidRPr="009240F6" w:rsidRDefault="3A42354A" w:rsidP="3A42354A">
            <w:pPr>
              <w:spacing w:after="0"/>
              <w:ind w:firstLine="82"/>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10%</w:t>
            </w:r>
          </w:p>
        </w:tc>
        <w:tc>
          <w:tcPr>
            <w:tcW w:w="1629" w:type="dxa"/>
            <w:tcBorders>
              <w:top w:val="single" w:sz="8" w:space="0" w:color="666666"/>
              <w:left w:val="nil"/>
              <w:bottom w:val="single" w:sz="4" w:space="0" w:color="auto"/>
              <w:right w:val="nil"/>
            </w:tcBorders>
            <w:vAlign w:val="center"/>
          </w:tcPr>
          <w:p w14:paraId="7B7D2C94" w14:textId="5E52A869" w:rsidR="00A7723C" w:rsidRPr="009240F6" w:rsidRDefault="3A42354A" w:rsidP="3A42354A">
            <w:pPr>
              <w:spacing w:after="0"/>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0%</w:t>
            </w:r>
          </w:p>
        </w:tc>
        <w:tc>
          <w:tcPr>
            <w:tcW w:w="1632" w:type="dxa"/>
            <w:tcBorders>
              <w:top w:val="single" w:sz="8" w:space="0" w:color="666666"/>
              <w:left w:val="nil"/>
              <w:bottom w:val="single" w:sz="4" w:space="0" w:color="auto"/>
              <w:right w:val="nil"/>
            </w:tcBorders>
            <w:vAlign w:val="center"/>
          </w:tcPr>
          <w:p w14:paraId="0C242686" w14:textId="6ACE546D" w:rsidR="00A7723C" w:rsidRPr="009240F6" w:rsidRDefault="3A42354A" w:rsidP="3A42354A">
            <w:pPr>
              <w:spacing w:after="0"/>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10%</w:t>
            </w:r>
          </w:p>
        </w:tc>
      </w:tr>
      <w:tr w:rsidR="00A7723C" w:rsidRPr="00243400" w14:paraId="55F85D44" w14:textId="77777777" w:rsidTr="3A42354A">
        <w:trPr>
          <w:trHeight w:val="288"/>
        </w:trPr>
        <w:tc>
          <w:tcPr>
            <w:tcW w:w="4608" w:type="dxa"/>
            <w:tcBorders>
              <w:top w:val="single" w:sz="4" w:space="0" w:color="auto"/>
              <w:left w:val="nil"/>
              <w:bottom w:val="single" w:sz="4" w:space="0" w:color="auto"/>
              <w:right w:val="nil"/>
            </w:tcBorders>
            <w:noWrap/>
            <w:vAlign w:val="center"/>
          </w:tcPr>
          <w:p w14:paraId="6899717E" w14:textId="77777777" w:rsidR="00A7723C" w:rsidRPr="00243400" w:rsidRDefault="3A42354A" w:rsidP="3A42354A">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Office 365 commercial</w:t>
            </w:r>
          </w:p>
        </w:tc>
        <w:tc>
          <w:tcPr>
            <w:tcW w:w="1635" w:type="dxa"/>
            <w:tcBorders>
              <w:top w:val="single" w:sz="4" w:space="0" w:color="auto"/>
              <w:left w:val="nil"/>
              <w:bottom w:val="single" w:sz="4" w:space="0" w:color="auto"/>
              <w:right w:val="nil"/>
            </w:tcBorders>
            <w:vAlign w:val="center"/>
          </w:tcPr>
          <w:p w14:paraId="61A3CE01" w14:textId="68D9475E" w:rsidR="00A7723C" w:rsidRPr="009240F6" w:rsidRDefault="3A42354A" w:rsidP="3A42354A">
            <w:pPr>
              <w:spacing w:after="0"/>
              <w:ind w:firstLine="82"/>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42%</w:t>
            </w:r>
          </w:p>
        </w:tc>
        <w:tc>
          <w:tcPr>
            <w:tcW w:w="1629" w:type="dxa"/>
            <w:tcBorders>
              <w:top w:val="single" w:sz="4" w:space="0" w:color="auto"/>
              <w:left w:val="nil"/>
              <w:bottom w:val="single" w:sz="4" w:space="0" w:color="auto"/>
              <w:right w:val="nil"/>
            </w:tcBorders>
            <w:vAlign w:val="center"/>
          </w:tcPr>
          <w:p w14:paraId="6422F765" w14:textId="2BFA253C" w:rsidR="00A7723C" w:rsidRPr="005B638E" w:rsidRDefault="3A42354A" w:rsidP="3A42354A">
            <w:pPr>
              <w:spacing w:after="0"/>
              <w:ind w:firstLine="82"/>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0%</w:t>
            </w:r>
          </w:p>
        </w:tc>
        <w:tc>
          <w:tcPr>
            <w:tcW w:w="1632" w:type="dxa"/>
            <w:tcBorders>
              <w:top w:val="single" w:sz="4" w:space="0" w:color="auto"/>
              <w:left w:val="nil"/>
              <w:bottom w:val="single" w:sz="4" w:space="0" w:color="auto"/>
              <w:right w:val="nil"/>
            </w:tcBorders>
            <w:vAlign w:val="center"/>
          </w:tcPr>
          <w:p w14:paraId="2C79C146" w14:textId="21DF1129" w:rsidR="00A7723C" w:rsidRPr="005B638E" w:rsidRDefault="3A42354A" w:rsidP="3A42354A">
            <w:pPr>
              <w:spacing w:after="0"/>
              <w:ind w:firstLine="82"/>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42%</w:t>
            </w:r>
          </w:p>
        </w:tc>
      </w:tr>
      <w:tr w:rsidR="00A7723C" w:rsidRPr="00243400" w14:paraId="2306089C" w14:textId="77777777" w:rsidTr="3A42354A">
        <w:trPr>
          <w:trHeight w:val="288"/>
        </w:trPr>
        <w:tc>
          <w:tcPr>
            <w:tcW w:w="4608" w:type="dxa"/>
            <w:tcBorders>
              <w:top w:val="single" w:sz="4" w:space="0" w:color="auto"/>
              <w:left w:val="nil"/>
              <w:bottom w:val="single" w:sz="4" w:space="0" w:color="auto"/>
              <w:right w:val="nil"/>
            </w:tcBorders>
            <w:noWrap/>
            <w:vAlign w:val="center"/>
          </w:tcPr>
          <w:p w14:paraId="341ED471" w14:textId="77777777" w:rsidR="00A7723C" w:rsidRPr="00243400" w:rsidRDefault="3A42354A" w:rsidP="3A42354A">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Office consumer products and cloud services</w:t>
            </w:r>
          </w:p>
        </w:tc>
        <w:tc>
          <w:tcPr>
            <w:tcW w:w="1635" w:type="dxa"/>
            <w:tcBorders>
              <w:top w:val="single" w:sz="4" w:space="0" w:color="auto"/>
              <w:left w:val="nil"/>
              <w:bottom w:val="single" w:sz="4" w:space="0" w:color="auto"/>
              <w:right w:val="nil"/>
            </w:tcBorders>
            <w:vAlign w:val="center"/>
          </w:tcPr>
          <w:p w14:paraId="1DC8CB9E" w14:textId="10722630" w:rsidR="00A7723C" w:rsidRPr="009240F6" w:rsidRDefault="3A42354A" w:rsidP="3A42354A">
            <w:pPr>
              <w:spacing w:after="0"/>
              <w:ind w:firstLine="82"/>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12%</w:t>
            </w:r>
          </w:p>
        </w:tc>
        <w:tc>
          <w:tcPr>
            <w:tcW w:w="1629" w:type="dxa"/>
            <w:tcBorders>
              <w:top w:val="single" w:sz="4" w:space="0" w:color="auto"/>
              <w:left w:val="nil"/>
              <w:bottom w:val="single" w:sz="4" w:space="0" w:color="auto"/>
              <w:right w:val="nil"/>
            </w:tcBorders>
            <w:vAlign w:val="center"/>
          </w:tcPr>
          <w:p w14:paraId="3B383AB3" w14:textId="0A54877A" w:rsidR="00A7723C" w:rsidRPr="009240F6" w:rsidRDefault="3A42354A" w:rsidP="3A42354A">
            <w:pPr>
              <w:spacing w:after="0"/>
              <w:ind w:firstLine="82"/>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w:t>
            </w:r>
            <w:proofErr w:type="gramStart"/>
            <w:r w:rsidRPr="3A42354A">
              <w:rPr>
                <w:rFonts w:ascii="Segoe UI" w:eastAsia="Times New Roman" w:hAnsi="Segoe UI" w:cs="Segoe UI"/>
                <w:b/>
                <w:bCs/>
                <w:color w:val="666666"/>
                <w:sz w:val="16"/>
                <w:szCs w:val="16"/>
              </w:rPr>
              <w:t>2)%</w:t>
            </w:r>
            <w:proofErr w:type="gramEnd"/>
          </w:p>
        </w:tc>
        <w:tc>
          <w:tcPr>
            <w:tcW w:w="1632" w:type="dxa"/>
            <w:tcBorders>
              <w:top w:val="single" w:sz="4" w:space="0" w:color="auto"/>
              <w:left w:val="nil"/>
              <w:bottom w:val="single" w:sz="4" w:space="0" w:color="auto"/>
              <w:right w:val="nil"/>
            </w:tcBorders>
            <w:vAlign w:val="center"/>
          </w:tcPr>
          <w:p w14:paraId="7730B7BF" w14:textId="789E17A0" w:rsidR="00A7723C" w:rsidRPr="009240F6" w:rsidRDefault="3A42354A" w:rsidP="3A42354A">
            <w:pPr>
              <w:spacing w:after="0"/>
              <w:ind w:firstLine="82"/>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10%</w:t>
            </w:r>
          </w:p>
        </w:tc>
      </w:tr>
      <w:tr w:rsidR="00A7723C" w:rsidRPr="00243400" w14:paraId="55ED949F" w14:textId="77777777" w:rsidTr="3A42354A">
        <w:trPr>
          <w:trHeight w:val="288"/>
        </w:trPr>
        <w:tc>
          <w:tcPr>
            <w:tcW w:w="4608" w:type="dxa"/>
            <w:tcBorders>
              <w:top w:val="single" w:sz="4" w:space="0" w:color="auto"/>
              <w:left w:val="nil"/>
              <w:bottom w:val="single" w:sz="4" w:space="0" w:color="auto"/>
              <w:right w:val="nil"/>
            </w:tcBorders>
            <w:noWrap/>
            <w:vAlign w:val="center"/>
          </w:tcPr>
          <w:p w14:paraId="398503A4" w14:textId="77777777" w:rsidR="00A7723C" w:rsidRPr="00243400" w:rsidRDefault="3A42354A" w:rsidP="3A42354A">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products and cloud services</w:t>
            </w:r>
          </w:p>
        </w:tc>
        <w:tc>
          <w:tcPr>
            <w:tcW w:w="1635" w:type="dxa"/>
            <w:tcBorders>
              <w:top w:val="single" w:sz="4" w:space="0" w:color="auto"/>
              <w:left w:val="nil"/>
              <w:bottom w:val="single" w:sz="4" w:space="0" w:color="auto"/>
              <w:right w:val="nil"/>
            </w:tcBorders>
            <w:vAlign w:val="center"/>
          </w:tcPr>
          <w:p w14:paraId="3EE9828B" w14:textId="335FC3DD" w:rsidR="00A7723C" w:rsidRPr="009240F6" w:rsidRDefault="3A42354A" w:rsidP="3A42354A">
            <w:pPr>
              <w:spacing w:after="0"/>
              <w:ind w:firstLine="82"/>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13%</w:t>
            </w:r>
          </w:p>
        </w:tc>
        <w:tc>
          <w:tcPr>
            <w:tcW w:w="1629" w:type="dxa"/>
            <w:tcBorders>
              <w:top w:val="single" w:sz="4" w:space="0" w:color="auto"/>
              <w:left w:val="nil"/>
              <w:bottom w:val="single" w:sz="4" w:space="0" w:color="auto"/>
              <w:right w:val="nil"/>
            </w:tcBorders>
            <w:vAlign w:val="center"/>
          </w:tcPr>
          <w:p w14:paraId="1F41F1C7" w14:textId="2739F0C3" w:rsidR="00A7723C" w:rsidRPr="009240F6" w:rsidRDefault="3A42354A" w:rsidP="3A42354A">
            <w:pPr>
              <w:spacing w:after="0"/>
              <w:ind w:firstLine="82"/>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w:t>
            </w:r>
            <w:proofErr w:type="gramStart"/>
            <w:r w:rsidRPr="3A42354A">
              <w:rPr>
                <w:rFonts w:ascii="Segoe UI" w:eastAsia="Times New Roman" w:hAnsi="Segoe UI" w:cs="Segoe UI"/>
                <w:b/>
                <w:bCs/>
                <w:color w:val="666666"/>
                <w:sz w:val="16"/>
                <w:szCs w:val="16"/>
              </w:rPr>
              <w:t>1)%</w:t>
            </w:r>
            <w:proofErr w:type="gramEnd"/>
          </w:p>
        </w:tc>
        <w:tc>
          <w:tcPr>
            <w:tcW w:w="1632" w:type="dxa"/>
            <w:tcBorders>
              <w:top w:val="single" w:sz="4" w:space="0" w:color="auto"/>
              <w:left w:val="nil"/>
              <w:bottom w:val="single" w:sz="4" w:space="0" w:color="auto"/>
              <w:right w:val="nil"/>
            </w:tcBorders>
            <w:vAlign w:val="center"/>
          </w:tcPr>
          <w:p w14:paraId="3FE52C9F" w14:textId="18FA4844" w:rsidR="00A7723C" w:rsidRPr="009240F6" w:rsidRDefault="3A42354A" w:rsidP="3A42354A">
            <w:pPr>
              <w:spacing w:after="0"/>
              <w:ind w:firstLine="82"/>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12%</w:t>
            </w:r>
          </w:p>
        </w:tc>
      </w:tr>
      <w:tr w:rsidR="00A7723C" w:rsidRPr="00243400" w14:paraId="23C1E2C6" w14:textId="77777777" w:rsidTr="3A42354A">
        <w:trPr>
          <w:trHeight w:val="288"/>
        </w:trPr>
        <w:tc>
          <w:tcPr>
            <w:tcW w:w="4608" w:type="dxa"/>
            <w:tcBorders>
              <w:top w:val="single" w:sz="4" w:space="0" w:color="auto"/>
              <w:left w:val="nil"/>
              <w:bottom w:val="single" w:sz="4" w:space="0" w:color="auto"/>
              <w:right w:val="nil"/>
            </w:tcBorders>
            <w:noWrap/>
            <w:vAlign w:val="center"/>
          </w:tcPr>
          <w:p w14:paraId="166B6ED5" w14:textId="77777777" w:rsidR="00A7723C" w:rsidRPr="00243400" w:rsidRDefault="3A42354A" w:rsidP="3A42354A">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365</w:t>
            </w:r>
          </w:p>
        </w:tc>
        <w:tc>
          <w:tcPr>
            <w:tcW w:w="1635" w:type="dxa"/>
            <w:tcBorders>
              <w:top w:val="single" w:sz="4" w:space="0" w:color="auto"/>
              <w:left w:val="nil"/>
              <w:bottom w:val="single" w:sz="4" w:space="0" w:color="auto"/>
              <w:right w:val="nil"/>
            </w:tcBorders>
            <w:vAlign w:val="center"/>
          </w:tcPr>
          <w:p w14:paraId="32879767" w14:textId="1872AA18" w:rsidR="00A7723C" w:rsidRPr="009240F6" w:rsidRDefault="3A42354A" w:rsidP="3A42354A">
            <w:pPr>
              <w:spacing w:after="0"/>
              <w:ind w:firstLine="82"/>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69%</w:t>
            </w:r>
          </w:p>
        </w:tc>
        <w:tc>
          <w:tcPr>
            <w:tcW w:w="1629" w:type="dxa"/>
            <w:tcBorders>
              <w:top w:val="single" w:sz="4" w:space="0" w:color="auto"/>
              <w:left w:val="nil"/>
              <w:bottom w:val="single" w:sz="4" w:space="0" w:color="auto"/>
              <w:right w:val="nil"/>
            </w:tcBorders>
            <w:vAlign w:val="center"/>
          </w:tcPr>
          <w:p w14:paraId="16C822D6" w14:textId="43873FC1" w:rsidR="00A7723C" w:rsidRPr="005B638E" w:rsidRDefault="3A42354A" w:rsidP="3A42354A">
            <w:pPr>
              <w:spacing w:after="0"/>
              <w:ind w:firstLine="82"/>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0%</w:t>
            </w:r>
          </w:p>
        </w:tc>
        <w:tc>
          <w:tcPr>
            <w:tcW w:w="1632" w:type="dxa"/>
            <w:tcBorders>
              <w:top w:val="single" w:sz="4" w:space="0" w:color="auto"/>
              <w:left w:val="nil"/>
              <w:bottom w:val="single" w:sz="4" w:space="0" w:color="auto"/>
              <w:right w:val="nil"/>
            </w:tcBorders>
            <w:vAlign w:val="center"/>
          </w:tcPr>
          <w:p w14:paraId="16ED2C1C" w14:textId="547046DF" w:rsidR="00A7723C" w:rsidRPr="005B638E" w:rsidRDefault="3A42354A" w:rsidP="3A42354A">
            <w:pPr>
              <w:spacing w:after="0"/>
              <w:ind w:firstLine="82"/>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69%</w:t>
            </w:r>
          </w:p>
        </w:tc>
      </w:tr>
      <w:tr w:rsidR="00A7723C" w:rsidRPr="00243400" w14:paraId="1C61AF6F" w14:textId="77777777" w:rsidTr="3A42354A">
        <w:trPr>
          <w:trHeight w:val="288"/>
        </w:trPr>
        <w:tc>
          <w:tcPr>
            <w:tcW w:w="4608" w:type="dxa"/>
            <w:tcBorders>
              <w:top w:val="single" w:sz="4" w:space="0" w:color="auto"/>
              <w:left w:val="nil"/>
              <w:bottom w:val="single" w:sz="4" w:space="0" w:color="auto"/>
              <w:right w:val="nil"/>
            </w:tcBorders>
            <w:noWrap/>
            <w:vAlign w:val="center"/>
          </w:tcPr>
          <w:p w14:paraId="60258D09" w14:textId="77777777" w:rsidR="00A7723C" w:rsidRPr="00243400" w:rsidRDefault="3A42354A" w:rsidP="3A42354A">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Server products and cloud services</w:t>
            </w:r>
          </w:p>
        </w:tc>
        <w:tc>
          <w:tcPr>
            <w:tcW w:w="1635" w:type="dxa"/>
            <w:tcBorders>
              <w:top w:val="single" w:sz="4" w:space="0" w:color="auto"/>
              <w:left w:val="nil"/>
              <w:bottom w:val="single" w:sz="4" w:space="0" w:color="auto"/>
              <w:right w:val="nil"/>
            </w:tcBorders>
            <w:vAlign w:val="center"/>
          </w:tcPr>
          <w:p w14:paraId="1BA07A92" w14:textId="5CAD9891" w:rsidR="00A7723C" w:rsidRPr="009240F6" w:rsidRDefault="3A42354A" w:rsidP="3A42354A">
            <w:pPr>
              <w:spacing w:after="0"/>
              <w:ind w:firstLine="82"/>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17%</w:t>
            </w:r>
          </w:p>
        </w:tc>
        <w:tc>
          <w:tcPr>
            <w:tcW w:w="1629" w:type="dxa"/>
            <w:tcBorders>
              <w:top w:val="single" w:sz="4" w:space="0" w:color="auto"/>
              <w:left w:val="nil"/>
              <w:bottom w:val="single" w:sz="4" w:space="0" w:color="auto"/>
              <w:right w:val="nil"/>
            </w:tcBorders>
            <w:vAlign w:val="center"/>
          </w:tcPr>
          <w:p w14:paraId="768B06E1" w14:textId="2AC67A2E" w:rsidR="00A7723C" w:rsidRPr="009240F6" w:rsidRDefault="3A42354A" w:rsidP="3A42354A">
            <w:pPr>
              <w:spacing w:after="0"/>
              <w:ind w:firstLine="82"/>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0%</w:t>
            </w:r>
          </w:p>
        </w:tc>
        <w:tc>
          <w:tcPr>
            <w:tcW w:w="1632" w:type="dxa"/>
            <w:tcBorders>
              <w:top w:val="single" w:sz="4" w:space="0" w:color="auto"/>
              <w:left w:val="nil"/>
              <w:bottom w:val="single" w:sz="4" w:space="0" w:color="auto"/>
              <w:right w:val="nil"/>
            </w:tcBorders>
            <w:vAlign w:val="center"/>
          </w:tcPr>
          <w:p w14:paraId="4E93EFC1" w14:textId="15A3C78B" w:rsidR="00A7723C" w:rsidRPr="009240F6" w:rsidRDefault="3A42354A" w:rsidP="3A42354A">
            <w:pPr>
              <w:spacing w:after="0"/>
              <w:ind w:firstLine="82"/>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17%</w:t>
            </w:r>
          </w:p>
        </w:tc>
      </w:tr>
      <w:tr w:rsidR="00A7723C" w:rsidRPr="00243400" w14:paraId="11B826D5" w14:textId="77777777" w:rsidTr="3A42354A">
        <w:trPr>
          <w:trHeight w:val="288"/>
        </w:trPr>
        <w:tc>
          <w:tcPr>
            <w:tcW w:w="4608" w:type="dxa"/>
            <w:tcBorders>
              <w:top w:val="single" w:sz="4" w:space="0" w:color="auto"/>
              <w:left w:val="nil"/>
              <w:bottom w:val="single" w:sz="4" w:space="0" w:color="auto"/>
              <w:right w:val="nil"/>
            </w:tcBorders>
            <w:noWrap/>
            <w:vAlign w:val="center"/>
          </w:tcPr>
          <w:p w14:paraId="6A93F383" w14:textId="77777777" w:rsidR="00A7723C" w:rsidRPr="00243400" w:rsidRDefault="3A42354A" w:rsidP="3A42354A">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Azure</w:t>
            </w:r>
          </w:p>
        </w:tc>
        <w:tc>
          <w:tcPr>
            <w:tcW w:w="1635" w:type="dxa"/>
            <w:tcBorders>
              <w:top w:val="single" w:sz="4" w:space="0" w:color="auto"/>
              <w:left w:val="nil"/>
              <w:bottom w:val="single" w:sz="4" w:space="0" w:color="auto"/>
              <w:right w:val="nil"/>
            </w:tcBorders>
            <w:vAlign w:val="center"/>
          </w:tcPr>
          <w:p w14:paraId="48F1DFA7" w14:textId="4FC90A01" w:rsidR="00A7723C" w:rsidRPr="009240F6" w:rsidRDefault="3A42354A" w:rsidP="3A42354A">
            <w:pPr>
              <w:spacing w:after="0"/>
              <w:ind w:firstLine="82"/>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90%</w:t>
            </w:r>
          </w:p>
        </w:tc>
        <w:tc>
          <w:tcPr>
            <w:tcW w:w="1629" w:type="dxa"/>
            <w:tcBorders>
              <w:top w:val="single" w:sz="4" w:space="0" w:color="auto"/>
              <w:left w:val="nil"/>
              <w:bottom w:val="single" w:sz="4" w:space="0" w:color="auto"/>
              <w:right w:val="nil"/>
            </w:tcBorders>
            <w:vAlign w:val="center"/>
          </w:tcPr>
          <w:p w14:paraId="021DD533" w14:textId="0F0950E3" w:rsidR="00A7723C" w:rsidRPr="005B638E" w:rsidRDefault="3A42354A" w:rsidP="3A42354A">
            <w:pPr>
              <w:spacing w:after="0"/>
              <w:ind w:firstLine="82"/>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w:t>
            </w:r>
            <w:proofErr w:type="gramStart"/>
            <w:r w:rsidRPr="3A42354A">
              <w:rPr>
                <w:rFonts w:ascii="Segoe UI" w:eastAsia="Times New Roman" w:hAnsi="Segoe UI" w:cs="Segoe UI"/>
                <w:b/>
                <w:bCs/>
                <w:color w:val="666666"/>
                <w:sz w:val="16"/>
                <w:szCs w:val="16"/>
              </w:rPr>
              <w:t>1)%</w:t>
            </w:r>
            <w:proofErr w:type="gramEnd"/>
          </w:p>
        </w:tc>
        <w:tc>
          <w:tcPr>
            <w:tcW w:w="1632" w:type="dxa"/>
            <w:tcBorders>
              <w:top w:val="single" w:sz="4" w:space="0" w:color="auto"/>
              <w:left w:val="nil"/>
              <w:bottom w:val="single" w:sz="4" w:space="0" w:color="auto"/>
              <w:right w:val="nil"/>
            </w:tcBorders>
            <w:vAlign w:val="center"/>
          </w:tcPr>
          <w:p w14:paraId="4D88BC99" w14:textId="5FFF227E" w:rsidR="00A7723C" w:rsidRPr="005B638E" w:rsidRDefault="3A42354A" w:rsidP="3A42354A">
            <w:pPr>
              <w:spacing w:after="0"/>
              <w:ind w:firstLine="82"/>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89%</w:t>
            </w:r>
          </w:p>
        </w:tc>
      </w:tr>
      <w:tr w:rsidR="00A7723C" w:rsidRPr="00243400" w14:paraId="44C9370A" w14:textId="77777777" w:rsidTr="3A42354A">
        <w:trPr>
          <w:trHeight w:val="288"/>
        </w:trPr>
        <w:tc>
          <w:tcPr>
            <w:tcW w:w="4608" w:type="dxa"/>
            <w:tcBorders>
              <w:top w:val="single" w:sz="4" w:space="0" w:color="auto"/>
              <w:left w:val="nil"/>
              <w:bottom w:val="single" w:sz="4" w:space="0" w:color="auto"/>
              <w:right w:val="nil"/>
            </w:tcBorders>
            <w:noWrap/>
            <w:vAlign w:val="center"/>
          </w:tcPr>
          <w:p w14:paraId="60B67D6A" w14:textId="77777777" w:rsidR="00A7723C" w:rsidRPr="00243400" w:rsidRDefault="3A42354A" w:rsidP="3A42354A">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Enterprise Services</w:t>
            </w:r>
          </w:p>
        </w:tc>
        <w:tc>
          <w:tcPr>
            <w:tcW w:w="1635" w:type="dxa"/>
            <w:tcBorders>
              <w:top w:val="single" w:sz="4" w:space="0" w:color="auto"/>
              <w:left w:val="nil"/>
              <w:bottom w:val="single" w:sz="4" w:space="0" w:color="auto"/>
              <w:right w:val="nil"/>
            </w:tcBorders>
            <w:vAlign w:val="center"/>
          </w:tcPr>
          <w:p w14:paraId="53F622A6" w14:textId="65056B2E" w:rsidR="00A7723C" w:rsidRPr="009240F6" w:rsidRDefault="3A42354A" w:rsidP="3A42354A">
            <w:pPr>
              <w:spacing w:after="0"/>
              <w:ind w:firstLine="82"/>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1%</w:t>
            </w:r>
          </w:p>
        </w:tc>
        <w:tc>
          <w:tcPr>
            <w:tcW w:w="1629" w:type="dxa"/>
            <w:tcBorders>
              <w:top w:val="single" w:sz="4" w:space="0" w:color="auto"/>
              <w:left w:val="nil"/>
              <w:bottom w:val="single" w:sz="4" w:space="0" w:color="auto"/>
              <w:right w:val="nil"/>
            </w:tcBorders>
            <w:vAlign w:val="center"/>
          </w:tcPr>
          <w:p w14:paraId="249C1DA9" w14:textId="7CFE7320" w:rsidR="00A7723C" w:rsidRPr="009240F6" w:rsidRDefault="3A42354A" w:rsidP="3A42354A">
            <w:pPr>
              <w:spacing w:after="0"/>
              <w:ind w:firstLine="82"/>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w:t>
            </w:r>
            <w:proofErr w:type="gramStart"/>
            <w:r w:rsidRPr="3A42354A">
              <w:rPr>
                <w:rFonts w:ascii="Segoe UI" w:eastAsia="Times New Roman" w:hAnsi="Segoe UI" w:cs="Segoe UI"/>
                <w:b/>
                <w:bCs/>
                <w:color w:val="666666"/>
                <w:sz w:val="16"/>
                <w:szCs w:val="16"/>
              </w:rPr>
              <w:t>1)%</w:t>
            </w:r>
            <w:proofErr w:type="gramEnd"/>
          </w:p>
        </w:tc>
        <w:tc>
          <w:tcPr>
            <w:tcW w:w="1632" w:type="dxa"/>
            <w:tcBorders>
              <w:top w:val="single" w:sz="4" w:space="0" w:color="auto"/>
              <w:left w:val="nil"/>
              <w:bottom w:val="single" w:sz="4" w:space="0" w:color="auto"/>
              <w:right w:val="nil"/>
            </w:tcBorders>
            <w:vAlign w:val="center"/>
          </w:tcPr>
          <w:p w14:paraId="142AB0B1" w14:textId="511A39E1" w:rsidR="00A7723C" w:rsidRPr="009240F6" w:rsidRDefault="3A42354A" w:rsidP="3A42354A">
            <w:pPr>
              <w:spacing w:after="0"/>
              <w:ind w:firstLine="82"/>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0%</w:t>
            </w:r>
          </w:p>
        </w:tc>
      </w:tr>
      <w:tr w:rsidR="00A7723C" w:rsidRPr="00243400" w14:paraId="1DC8DC75" w14:textId="77777777" w:rsidTr="3A42354A">
        <w:trPr>
          <w:trHeight w:val="288"/>
        </w:trPr>
        <w:tc>
          <w:tcPr>
            <w:tcW w:w="4608" w:type="dxa"/>
            <w:tcBorders>
              <w:top w:val="single" w:sz="4" w:space="0" w:color="auto"/>
              <w:left w:val="nil"/>
              <w:bottom w:val="single" w:sz="4" w:space="0" w:color="auto"/>
              <w:right w:val="nil"/>
            </w:tcBorders>
            <w:noWrap/>
            <w:vAlign w:val="center"/>
          </w:tcPr>
          <w:p w14:paraId="76515212" w14:textId="77777777" w:rsidR="00A7723C" w:rsidRPr="00243400" w:rsidRDefault="3A42354A" w:rsidP="3A42354A">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Windows OEM</w:t>
            </w:r>
          </w:p>
        </w:tc>
        <w:tc>
          <w:tcPr>
            <w:tcW w:w="1635" w:type="dxa"/>
            <w:tcBorders>
              <w:top w:val="single" w:sz="4" w:space="0" w:color="auto"/>
              <w:left w:val="nil"/>
              <w:bottom w:val="single" w:sz="4" w:space="0" w:color="auto"/>
              <w:right w:val="nil"/>
            </w:tcBorders>
            <w:vAlign w:val="center"/>
          </w:tcPr>
          <w:p w14:paraId="28C67BC5" w14:textId="34ACFC38" w:rsidR="00A7723C" w:rsidRPr="005B638E" w:rsidRDefault="3A42354A" w:rsidP="3A42354A">
            <w:pPr>
              <w:spacing w:after="0"/>
              <w:ind w:firstLine="82"/>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4%</w:t>
            </w:r>
          </w:p>
        </w:tc>
        <w:tc>
          <w:tcPr>
            <w:tcW w:w="1629" w:type="dxa"/>
            <w:tcBorders>
              <w:top w:val="single" w:sz="4" w:space="0" w:color="auto"/>
              <w:left w:val="nil"/>
              <w:bottom w:val="single" w:sz="4" w:space="0" w:color="auto"/>
              <w:right w:val="nil"/>
            </w:tcBorders>
            <w:vAlign w:val="center"/>
          </w:tcPr>
          <w:p w14:paraId="6186F886" w14:textId="44A81BE8" w:rsidR="00A7723C" w:rsidRPr="005B638E" w:rsidRDefault="3A42354A" w:rsidP="3A42354A">
            <w:pPr>
              <w:spacing w:after="0"/>
              <w:ind w:firstLine="82"/>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0%</w:t>
            </w:r>
          </w:p>
        </w:tc>
        <w:tc>
          <w:tcPr>
            <w:tcW w:w="1632" w:type="dxa"/>
            <w:tcBorders>
              <w:top w:val="single" w:sz="4" w:space="0" w:color="auto"/>
              <w:left w:val="nil"/>
              <w:bottom w:val="single" w:sz="4" w:space="0" w:color="auto"/>
              <w:right w:val="nil"/>
            </w:tcBorders>
            <w:vAlign w:val="center"/>
          </w:tcPr>
          <w:p w14:paraId="11F92338" w14:textId="2FF9E055" w:rsidR="00A7723C" w:rsidRPr="005B638E" w:rsidRDefault="3A42354A" w:rsidP="3A42354A">
            <w:pPr>
              <w:spacing w:after="0"/>
              <w:ind w:firstLine="82"/>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4%</w:t>
            </w:r>
          </w:p>
        </w:tc>
      </w:tr>
      <w:tr w:rsidR="00A7723C" w:rsidRPr="00243400" w14:paraId="45953677" w14:textId="77777777" w:rsidTr="3A42354A">
        <w:trPr>
          <w:trHeight w:val="288"/>
        </w:trPr>
        <w:tc>
          <w:tcPr>
            <w:tcW w:w="4608" w:type="dxa"/>
            <w:tcBorders>
              <w:top w:val="single" w:sz="4" w:space="0" w:color="auto"/>
              <w:left w:val="nil"/>
              <w:bottom w:val="single" w:sz="4" w:space="0" w:color="auto"/>
              <w:right w:val="nil"/>
            </w:tcBorders>
            <w:noWrap/>
            <w:vAlign w:val="center"/>
          </w:tcPr>
          <w:p w14:paraId="3DBE486D" w14:textId="77777777" w:rsidR="00A7723C" w:rsidRPr="00243400" w:rsidRDefault="3A42354A" w:rsidP="3A42354A">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Windows commercial products and cloud services</w:t>
            </w:r>
          </w:p>
        </w:tc>
        <w:tc>
          <w:tcPr>
            <w:tcW w:w="1635" w:type="dxa"/>
            <w:tcBorders>
              <w:top w:val="single" w:sz="4" w:space="0" w:color="auto"/>
              <w:left w:val="nil"/>
              <w:bottom w:val="single" w:sz="4" w:space="0" w:color="auto"/>
              <w:right w:val="nil"/>
            </w:tcBorders>
            <w:vAlign w:val="center"/>
          </w:tcPr>
          <w:p w14:paraId="47ED41DB" w14:textId="18F75ADF" w:rsidR="00A7723C" w:rsidRPr="005B638E" w:rsidRDefault="3A42354A" w:rsidP="3A42354A">
            <w:pPr>
              <w:spacing w:after="0"/>
              <w:ind w:firstLine="82"/>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7%</w:t>
            </w:r>
          </w:p>
        </w:tc>
        <w:tc>
          <w:tcPr>
            <w:tcW w:w="1629" w:type="dxa"/>
            <w:tcBorders>
              <w:top w:val="single" w:sz="4" w:space="0" w:color="auto"/>
              <w:left w:val="nil"/>
              <w:bottom w:val="single" w:sz="4" w:space="0" w:color="auto"/>
              <w:right w:val="nil"/>
            </w:tcBorders>
            <w:vAlign w:val="center"/>
          </w:tcPr>
          <w:p w14:paraId="74045A9A" w14:textId="55C15D4E" w:rsidR="00A7723C" w:rsidRPr="005B638E" w:rsidRDefault="3A42354A" w:rsidP="3A42354A">
            <w:pPr>
              <w:spacing w:after="0"/>
              <w:ind w:firstLine="82"/>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w:t>
            </w:r>
            <w:proofErr w:type="gramStart"/>
            <w:r w:rsidRPr="3A42354A">
              <w:rPr>
                <w:rFonts w:ascii="Segoe UI" w:eastAsia="Times New Roman" w:hAnsi="Segoe UI" w:cs="Segoe UI"/>
                <w:b/>
                <w:bCs/>
                <w:color w:val="666666"/>
                <w:sz w:val="16"/>
                <w:szCs w:val="16"/>
              </w:rPr>
              <w:t>1)%</w:t>
            </w:r>
            <w:proofErr w:type="gramEnd"/>
          </w:p>
        </w:tc>
        <w:tc>
          <w:tcPr>
            <w:tcW w:w="1632" w:type="dxa"/>
            <w:tcBorders>
              <w:top w:val="single" w:sz="4" w:space="0" w:color="auto"/>
              <w:left w:val="nil"/>
              <w:bottom w:val="single" w:sz="4" w:space="0" w:color="auto"/>
              <w:right w:val="nil"/>
            </w:tcBorders>
            <w:vAlign w:val="center"/>
          </w:tcPr>
          <w:p w14:paraId="6614C34C" w14:textId="1188C066" w:rsidR="00A7723C" w:rsidRPr="005B638E" w:rsidRDefault="3A42354A" w:rsidP="3A42354A">
            <w:pPr>
              <w:spacing w:after="0"/>
              <w:ind w:firstLine="82"/>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6%</w:t>
            </w:r>
          </w:p>
        </w:tc>
      </w:tr>
      <w:tr w:rsidR="002B6173" w:rsidRPr="00243400" w14:paraId="48CF350A" w14:textId="77777777" w:rsidTr="3A42354A">
        <w:trPr>
          <w:trHeight w:val="288"/>
        </w:trPr>
        <w:tc>
          <w:tcPr>
            <w:tcW w:w="4608" w:type="dxa"/>
            <w:tcBorders>
              <w:top w:val="single" w:sz="4" w:space="0" w:color="auto"/>
              <w:left w:val="nil"/>
              <w:bottom w:val="single" w:sz="4" w:space="0" w:color="auto"/>
              <w:right w:val="nil"/>
            </w:tcBorders>
            <w:noWrap/>
            <w:vAlign w:val="center"/>
          </w:tcPr>
          <w:p w14:paraId="3E27A6BB" w14:textId="46ADFE97" w:rsidR="002B6173" w:rsidRPr="3A42354A" w:rsidRDefault="002B6173" w:rsidP="002B6173">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Search advertising excluding traffic acquisition costs</w:t>
            </w:r>
          </w:p>
        </w:tc>
        <w:tc>
          <w:tcPr>
            <w:tcW w:w="1635" w:type="dxa"/>
            <w:tcBorders>
              <w:top w:val="single" w:sz="4" w:space="0" w:color="auto"/>
              <w:left w:val="nil"/>
              <w:bottom w:val="single" w:sz="4" w:space="0" w:color="auto"/>
              <w:right w:val="nil"/>
            </w:tcBorders>
            <w:vAlign w:val="center"/>
          </w:tcPr>
          <w:p w14:paraId="12343B43" w14:textId="1C0CD2AE" w:rsidR="002B6173" w:rsidRPr="3A42354A" w:rsidRDefault="002B6173" w:rsidP="002B6173">
            <w:pPr>
              <w:spacing w:after="0"/>
              <w:ind w:firstLine="82"/>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15%</w:t>
            </w:r>
          </w:p>
        </w:tc>
        <w:tc>
          <w:tcPr>
            <w:tcW w:w="1629" w:type="dxa"/>
            <w:tcBorders>
              <w:top w:val="single" w:sz="4" w:space="0" w:color="auto"/>
              <w:left w:val="nil"/>
              <w:bottom w:val="single" w:sz="4" w:space="0" w:color="auto"/>
              <w:right w:val="nil"/>
            </w:tcBorders>
            <w:vAlign w:val="center"/>
          </w:tcPr>
          <w:p w14:paraId="78D23F52" w14:textId="32FB1F4C" w:rsidR="002B6173" w:rsidRPr="3A42354A" w:rsidRDefault="002B6173" w:rsidP="002B6173">
            <w:pPr>
              <w:spacing w:after="0"/>
              <w:ind w:firstLine="82"/>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0%</w:t>
            </w:r>
          </w:p>
        </w:tc>
        <w:tc>
          <w:tcPr>
            <w:tcW w:w="1632" w:type="dxa"/>
            <w:tcBorders>
              <w:top w:val="single" w:sz="4" w:space="0" w:color="auto"/>
              <w:left w:val="nil"/>
              <w:bottom w:val="single" w:sz="4" w:space="0" w:color="auto"/>
              <w:right w:val="nil"/>
            </w:tcBorders>
            <w:vAlign w:val="center"/>
          </w:tcPr>
          <w:p w14:paraId="34D41FA8" w14:textId="66EC8864" w:rsidR="002B6173" w:rsidRPr="3A42354A" w:rsidRDefault="002B6173" w:rsidP="002B6173">
            <w:pPr>
              <w:spacing w:after="0"/>
              <w:ind w:firstLine="82"/>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15%</w:t>
            </w:r>
          </w:p>
        </w:tc>
      </w:tr>
      <w:tr w:rsidR="002B6173" w:rsidRPr="00243400" w14:paraId="41E8FEFE" w14:textId="77777777" w:rsidTr="3A42354A">
        <w:trPr>
          <w:trHeight w:val="288"/>
        </w:trPr>
        <w:tc>
          <w:tcPr>
            <w:tcW w:w="4608" w:type="dxa"/>
            <w:tcBorders>
              <w:top w:val="single" w:sz="4" w:space="0" w:color="auto"/>
              <w:left w:val="nil"/>
              <w:bottom w:val="single" w:sz="4" w:space="0" w:color="auto"/>
              <w:right w:val="nil"/>
            </w:tcBorders>
            <w:noWrap/>
            <w:vAlign w:val="center"/>
          </w:tcPr>
          <w:p w14:paraId="085756BD" w14:textId="77777777" w:rsidR="002B6173" w:rsidRPr="45064EBB" w:rsidRDefault="002B6173" w:rsidP="002B6173">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Surface</w:t>
            </w:r>
          </w:p>
        </w:tc>
        <w:tc>
          <w:tcPr>
            <w:tcW w:w="1635" w:type="dxa"/>
            <w:tcBorders>
              <w:top w:val="single" w:sz="4" w:space="0" w:color="auto"/>
              <w:left w:val="nil"/>
              <w:bottom w:val="single" w:sz="4" w:space="0" w:color="auto"/>
              <w:right w:val="nil"/>
            </w:tcBorders>
            <w:vAlign w:val="center"/>
          </w:tcPr>
          <w:p w14:paraId="19A74C88" w14:textId="61D38367" w:rsidR="002B6173" w:rsidRPr="00D60058" w:rsidRDefault="002B6173" w:rsidP="002B6173">
            <w:pPr>
              <w:spacing w:after="0"/>
              <w:ind w:firstLine="82"/>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12%</w:t>
            </w:r>
          </w:p>
        </w:tc>
        <w:tc>
          <w:tcPr>
            <w:tcW w:w="1629" w:type="dxa"/>
            <w:tcBorders>
              <w:top w:val="single" w:sz="4" w:space="0" w:color="auto"/>
              <w:left w:val="nil"/>
              <w:bottom w:val="single" w:sz="4" w:space="0" w:color="auto"/>
              <w:right w:val="nil"/>
            </w:tcBorders>
            <w:vAlign w:val="center"/>
          </w:tcPr>
          <w:p w14:paraId="422FB5E7" w14:textId="1BECB31A" w:rsidR="002B6173" w:rsidRPr="005B638E" w:rsidRDefault="002B6173" w:rsidP="002B6173">
            <w:pPr>
              <w:spacing w:after="0"/>
              <w:ind w:firstLine="82"/>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w:t>
            </w:r>
            <w:proofErr w:type="gramStart"/>
            <w:r w:rsidRPr="3A42354A">
              <w:rPr>
                <w:rFonts w:ascii="Segoe UI" w:eastAsia="Times New Roman" w:hAnsi="Segoe UI" w:cs="Segoe UI"/>
                <w:b/>
                <w:bCs/>
                <w:color w:val="666666"/>
                <w:sz w:val="16"/>
                <w:szCs w:val="16"/>
              </w:rPr>
              <w:t>1)%</w:t>
            </w:r>
            <w:proofErr w:type="gramEnd"/>
          </w:p>
        </w:tc>
        <w:tc>
          <w:tcPr>
            <w:tcW w:w="1632" w:type="dxa"/>
            <w:tcBorders>
              <w:top w:val="single" w:sz="4" w:space="0" w:color="auto"/>
              <w:left w:val="nil"/>
              <w:bottom w:val="single" w:sz="4" w:space="0" w:color="auto"/>
              <w:right w:val="nil"/>
            </w:tcBorders>
            <w:vAlign w:val="center"/>
          </w:tcPr>
          <w:p w14:paraId="3B62371C" w14:textId="7F8520D2" w:rsidR="002B6173" w:rsidRPr="005B638E" w:rsidRDefault="002B6173" w:rsidP="002B6173">
            <w:pPr>
              <w:spacing w:after="0"/>
              <w:ind w:firstLine="82"/>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11%</w:t>
            </w:r>
          </w:p>
        </w:tc>
      </w:tr>
      <w:tr w:rsidR="002B6173" w:rsidRPr="00243400" w14:paraId="0330D06A" w14:textId="77777777" w:rsidTr="3A42354A">
        <w:trPr>
          <w:trHeight w:val="288"/>
        </w:trPr>
        <w:tc>
          <w:tcPr>
            <w:tcW w:w="4608" w:type="dxa"/>
            <w:tcBorders>
              <w:top w:val="single" w:sz="4" w:space="0" w:color="auto"/>
              <w:left w:val="nil"/>
              <w:bottom w:val="single" w:sz="4" w:space="0" w:color="auto"/>
              <w:right w:val="nil"/>
            </w:tcBorders>
            <w:noWrap/>
            <w:vAlign w:val="center"/>
          </w:tcPr>
          <w:p w14:paraId="0829D704" w14:textId="77777777" w:rsidR="002B6173" w:rsidRPr="00243400" w:rsidRDefault="002B6173" w:rsidP="002B6173">
            <w:pPr>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Gaming</w:t>
            </w:r>
          </w:p>
        </w:tc>
        <w:tc>
          <w:tcPr>
            <w:tcW w:w="1635" w:type="dxa"/>
            <w:tcBorders>
              <w:top w:val="single" w:sz="4" w:space="0" w:color="auto"/>
              <w:left w:val="nil"/>
              <w:bottom w:val="single" w:sz="4" w:space="0" w:color="auto"/>
              <w:right w:val="nil"/>
            </w:tcBorders>
            <w:vAlign w:val="center"/>
          </w:tcPr>
          <w:p w14:paraId="482A66E1" w14:textId="40730BC0" w:rsidR="002B6173" w:rsidRPr="009240F6" w:rsidRDefault="002B6173" w:rsidP="002B6173">
            <w:pPr>
              <w:spacing w:after="0"/>
              <w:ind w:firstLine="82"/>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1%</w:t>
            </w:r>
          </w:p>
        </w:tc>
        <w:tc>
          <w:tcPr>
            <w:tcW w:w="1629" w:type="dxa"/>
            <w:tcBorders>
              <w:top w:val="single" w:sz="4" w:space="0" w:color="auto"/>
              <w:left w:val="nil"/>
              <w:bottom w:val="single" w:sz="4" w:space="0" w:color="auto"/>
              <w:right w:val="nil"/>
            </w:tcBorders>
            <w:vAlign w:val="center"/>
          </w:tcPr>
          <w:p w14:paraId="1DB9A8F2" w14:textId="3A5AAFF7" w:rsidR="002B6173" w:rsidRPr="005B638E" w:rsidRDefault="002B6173" w:rsidP="002B6173">
            <w:pPr>
              <w:spacing w:after="0"/>
              <w:ind w:firstLine="82"/>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w:t>
            </w:r>
            <w:proofErr w:type="gramStart"/>
            <w:r w:rsidRPr="3A42354A">
              <w:rPr>
                <w:rFonts w:ascii="Segoe UI" w:eastAsia="Times New Roman" w:hAnsi="Segoe UI" w:cs="Segoe UI"/>
                <w:b/>
                <w:bCs/>
                <w:color w:val="666666"/>
                <w:sz w:val="16"/>
                <w:szCs w:val="16"/>
              </w:rPr>
              <w:t>1)%</w:t>
            </w:r>
            <w:proofErr w:type="gramEnd"/>
          </w:p>
        </w:tc>
        <w:tc>
          <w:tcPr>
            <w:tcW w:w="1632" w:type="dxa"/>
            <w:tcBorders>
              <w:top w:val="single" w:sz="4" w:space="0" w:color="auto"/>
              <w:left w:val="nil"/>
              <w:bottom w:val="single" w:sz="4" w:space="0" w:color="auto"/>
              <w:right w:val="nil"/>
            </w:tcBorders>
            <w:vAlign w:val="center"/>
          </w:tcPr>
          <w:p w14:paraId="76931245" w14:textId="39F59162" w:rsidR="002B6173" w:rsidRPr="005B638E" w:rsidRDefault="002B6173" w:rsidP="002B6173">
            <w:pPr>
              <w:spacing w:after="0"/>
              <w:ind w:firstLine="82"/>
              <w:jc w:val="right"/>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0%</w:t>
            </w:r>
          </w:p>
        </w:tc>
      </w:tr>
      <w:tr w:rsidR="002B6173" w:rsidRPr="00243400" w14:paraId="431E3FD1" w14:textId="77777777" w:rsidTr="3A42354A">
        <w:trPr>
          <w:trHeight w:val="288"/>
        </w:trPr>
        <w:tc>
          <w:tcPr>
            <w:tcW w:w="4608" w:type="dxa"/>
            <w:tcBorders>
              <w:top w:val="single" w:sz="4" w:space="0" w:color="auto"/>
              <w:left w:val="nil"/>
              <w:bottom w:val="single" w:sz="4" w:space="0" w:color="auto"/>
              <w:right w:val="nil"/>
            </w:tcBorders>
            <w:noWrap/>
            <w:vAlign w:val="center"/>
          </w:tcPr>
          <w:p w14:paraId="22262A02" w14:textId="6988270F" w:rsidR="002B6173" w:rsidRPr="3A42354A" w:rsidRDefault="002B6173" w:rsidP="002B6173">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Xbox software and services </w:t>
            </w:r>
          </w:p>
        </w:tc>
        <w:tc>
          <w:tcPr>
            <w:tcW w:w="1635" w:type="dxa"/>
            <w:tcBorders>
              <w:top w:val="single" w:sz="4" w:space="0" w:color="auto"/>
              <w:left w:val="nil"/>
              <w:bottom w:val="single" w:sz="4" w:space="0" w:color="auto"/>
              <w:right w:val="nil"/>
            </w:tcBorders>
            <w:vAlign w:val="center"/>
          </w:tcPr>
          <w:p w14:paraId="2D265D41" w14:textId="14DF19A7" w:rsidR="002B6173" w:rsidRPr="3A42354A" w:rsidRDefault="002B6173" w:rsidP="002B6173">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21%</w:t>
            </w:r>
          </w:p>
        </w:tc>
        <w:tc>
          <w:tcPr>
            <w:tcW w:w="1629" w:type="dxa"/>
            <w:tcBorders>
              <w:top w:val="single" w:sz="4" w:space="0" w:color="auto"/>
              <w:left w:val="nil"/>
              <w:bottom w:val="single" w:sz="4" w:space="0" w:color="auto"/>
              <w:right w:val="nil"/>
            </w:tcBorders>
            <w:vAlign w:val="center"/>
          </w:tcPr>
          <w:p w14:paraId="33D447E0" w14:textId="2382A1A1" w:rsidR="002B6173" w:rsidRPr="3A42354A" w:rsidRDefault="002B6173" w:rsidP="002B6173">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w:t>
            </w:r>
            <w:proofErr w:type="gramStart"/>
            <w:r>
              <w:rPr>
                <w:rFonts w:ascii="Segoe UI" w:eastAsia="Times New Roman" w:hAnsi="Segoe UI" w:cs="Segoe UI"/>
                <w:b/>
                <w:bCs/>
                <w:color w:val="666666"/>
                <w:sz w:val="16"/>
                <w:szCs w:val="16"/>
              </w:rPr>
              <w:t>1)%</w:t>
            </w:r>
            <w:proofErr w:type="gramEnd"/>
          </w:p>
        </w:tc>
        <w:tc>
          <w:tcPr>
            <w:tcW w:w="1632" w:type="dxa"/>
            <w:tcBorders>
              <w:top w:val="single" w:sz="4" w:space="0" w:color="auto"/>
              <w:left w:val="nil"/>
              <w:bottom w:val="single" w:sz="4" w:space="0" w:color="auto"/>
              <w:right w:val="nil"/>
            </w:tcBorders>
            <w:vAlign w:val="center"/>
          </w:tcPr>
          <w:p w14:paraId="71D63E3B" w14:textId="717EC55D" w:rsidR="002B6173" w:rsidRPr="3A42354A" w:rsidRDefault="002B6173" w:rsidP="002B6173">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w:t>
            </w:r>
          </w:p>
        </w:tc>
      </w:tr>
    </w:tbl>
    <w:p w14:paraId="02B822FE" w14:textId="77777777" w:rsidR="00B5626E" w:rsidRPr="00243400" w:rsidRDefault="00B5626E" w:rsidP="00B5626E">
      <w:pPr>
        <w:spacing w:after="160" w:line="259" w:lineRule="auto"/>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br w:type="page"/>
      </w:r>
    </w:p>
    <w:p w14:paraId="6D230B64" w14:textId="77777777" w:rsidR="00B5626E" w:rsidRPr="00243400" w:rsidRDefault="3A42354A" w:rsidP="3A42354A">
      <w:pPr>
        <w:pStyle w:val="NoSpacing"/>
        <w:spacing w:before="240" w:after="240" w:line="276" w:lineRule="auto"/>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lastRenderedPageBreak/>
        <w:t xml:space="preserve">Commercial Cloud Annualized Revenue Run Rate </w:t>
      </w:r>
    </w:p>
    <w:p w14:paraId="7478F71A" w14:textId="6286421D" w:rsidR="00B5626E" w:rsidRPr="00243400" w:rsidRDefault="009D1BE0" w:rsidP="3A42354A">
      <w:pPr>
        <w:pStyle w:val="NoSpacing"/>
        <w:spacing w:before="240" w:after="240" w:line="276" w:lineRule="auto"/>
        <w:rPr>
          <w:rFonts w:ascii="Segoe UI" w:hAnsi="Segoe UI" w:cs="Segoe UI"/>
          <w:color w:val="666666"/>
          <w:sz w:val="20"/>
          <w:szCs w:val="20"/>
        </w:rPr>
      </w:pPr>
      <w:r w:rsidRPr="009D1BE0">
        <w:rPr>
          <w:rFonts w:ascii="Segoe UI" w:hAnsi="Segoe UI" w:cs="Segoe UI"/>
          <w:color w:val="666666"/>
          <w:sz w:val="20"/>
          <w:szCs w:val="20"/>
        </w:rPr>
        <w:t>Commercial cloud annualized revenue run rate is calculated by multiplying revenue for the last month of the quarter by twelve for Office 365 commercial, Azure, Dynamics 365, and other cloud properties.</w:t>
      </w:r>
    </w:p>
    <w:p w14:paraId="5FAC9BDA" w14:textId="77777777" w:rsidR="00B5626E" w:rsidRPr="00243400" w:rsidRDefault="3A42354A" w:rsidP="3A42354A">
      <w:pPr>
        <w:pStyle w:val="NoSpacing"/>
        <w:spacing w:before="240" w:after="240" w:line="276" w:lineRule="auto"/>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t>About Microsoft</w:t>
      </w:r>
    </w:p>
    <w:p w14:paraId="7BE3DA53" w14:textId="2050B652" w:rsidR="00B5626E" w:rsidRPr="00243400" w:rsidRDefault="3A42354A" w:rsidP="3A42354A">
      <w:pPr>
        <w:pStyle w:val="NoSpacing"/>
        <w:spacing w:before="240" w:after="240" w:line="276" w:lineRule="auto"/>
        <w:rPr>
          <w:rFonts w:ascii="Segoe UI" w:hAnsi="Segoe UI" w:cs="Segoe UI"/>
          <w:color w:val="666666"/>
          <w:sz w:val="20"/>
          <w:szCs w:val="20"/>
        </w:rPr>
      </w:pPr>
      <w:r w:rsidRPr="3A42354A">
        <w:rPr>
          <w:rFonts w:ascii="Segoe UI" w:hAnsi="Segoe UI" w:cs="Segoe UI"/>
          <w:color w:val="666666"/>
          <w:sz w:val="20"/>
          <w:szCs w:val="20"/>
        </w:rPr>
        <w:t>Microsoft (Nasdaq “MSFT” @</w:t>
      </w:r>
      <w:proofErr w:type="spellStart"/>
      <w:r w:rsidRPr="3A42354A">
        <w:rPr>
          <w:rFonts w:ascii="Segoe UI" w:hAnsi="Segoe UI" w:cs="Segoe UI"/>
          <w:color w:val="666666"/>
          <w:sz w:val="20"/>
          <w:szCs w:val="20"/>
        </w:rPr>
        <w:t>microsoft</w:t>
      </w:r>
      <w:proofErr w:type="spellEnd"/>
      <w:r w:rsidRPr="3A42354A">
        <w:rPr>
          <w:rFonts w:ascii="Segoe UI" w:hAnsi="Segoe UI" w:cs="Segoe UI"/>
          <w:color w:val="666666"/>
          <w:sz w:val="20"/>
          <w:szCs w:val="20"/>
        </w:rPr>
        <w:t>) enables digital transformation for the era of an intelligent cloud and an intelligent edge. Its mission is to empower every person and every organization on the planet to achieve more.</w:t>
      </w:r>
    </w:p>
    <w:p w14:paraId="6A50911F" w14:textId="77777777" w:rsidR="002974F6" w:rsidRPr="00243400" w:rsidRDefault="002974F6" w:rsidP="002974F6">
      <w:pPr>
        <w:pStyle w:val="NoSpacing"/>
        <w:spacing w:before="240" w:after="240" w:line="276" w:lineRule="auto"/>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t>Forward-Looking Statements</w:t>
      </w:r>
    </w:p>
    <w:p w14:paraId="2FDC4DF8" w14:textId="77777777" w:rsidR="002974F6" w:rsidRPr="00243400" w:rsidRDefault="002974F6" w:rsidP="002974F6">
      <w:pPr>
        <w:pStyle w:val="NoSpacing"/>
        <w:spacing w:before="240" w:after="240" w:line="276" w:lineRule="auto"/>
        <w:rPr>
          <w:rFonts w:ascii="Segoe UI" w:hAnsi="Segoe UI" w:cs="Segoe UI"/>
          <w:color w:val="666666"/>
          <w:sz w:val="20"/>
          <w:szCs w:val="20"/>
        </w:rPr>
      </w:pPr>
      <w:r w:rsidRPr="3A42354A">
        <w:rPr>
          <w:rFonts w:ascii="Segoe UI" w:hAnsi="Segoe UI" w:cs="Segoe UI"/>
          <w:color w:val="666666"/>
          <w:sz w:val="20"/>
          <w:szCs w:val="20"/>
        </w:rPr>
        <w:t xml:space="preserve">Statements in this release that are “forward-looking statements” are based on current expectations and assumptions that are subject to risks and uncertainties. Actual results could differ materially because of factors such as: </w:t>
      </w:r>
    </w:p>
    <w:p w14:paraId="31A7F8AA" w14:textId="77777777" w:rsidR="002974F6" w:rsidRPr="00243400" w:rsidRDefault="002974F6" w:rsidP="002974F6">
      <w:pPr>
        <w:pStyle w:val="NoSpacing"/>
        <w:numPr>
          <w:ilvl w:val="0"/>
          <w:numId w:val="1"/>
        </w:numPr>
        <w:spacing w:before="240" w:after="240" w:line="276" w:lineRule="auto"/>
        <w:rPr>
          <w:rFonts w:ascii="Segoe UI" w:hAnsi="Segoe UI" w:cs="Segoe UI"/>
          <w:color w:val="666666"/>
          <w:sz w:val="20"/>
          <w:szCs w:val="20"/>
        </w:rPr>
      </w:pPr>
      <w:r w:rsidRPr="3A42354A">
        <w:rPr>
          <w:rFonts w:ascii="Segoe UI" w:hAnsi="Segoe UI" w:cs="Segoe UI"/>
          <w:color w:val="666666"/>
          <w:sz w:val="20"/>
          <w:szCs w:val="20"/>
        </w:rPr>
        <w:t>intense competition in all of Microsoft’s markets;</w:t>
      </w:r>
    </w:p>
    <w:p w14:paraId="13FB55DF" w14:textId="77777777" w:rsidR="002974F6" w:rsidRPr="00243400" w:rsidRDefault="002974F6" w:rsidP="002974F6">
      <w:pPr>
        <w:pStyle w:val="NoSpacing"/>
        <w:numPr>
          <w:ilvl w:val="0"/>
          <w:numId w:val="1"/>
        </w:numPr>
        <w:spacing w:before="240" w:after="240" w:line="276" w:lineRule="auto"/>
        <w:rPr>
          <w:rFonts w:ascii="Segoe UI" w:hAnsi="Segoe UI" w:cs="Segoe UI"/>
          <w:color w:val="666666"/>
          <w:sz w:val="20"/>
          <w:szCs w:val="20"/>
        </w:rPr>
      </w:pPr>
      <w:r w:rsidRPr="3A42354A">
        <w:rPr>
          <w:rFonts w:ascii="Segoe UI" w:hAnsi="Segoe UI" w:cs="Segoe UI"/>
          <w:color w:val="666666"/>
          <w:sz w:val="20"/>
          <w:szCs w:val="20"/>
        </w:rPr>
        <w:t>increasing focus on services present</w:t>
      </w:r>
      <w:r>
        <w:rPr>
          <w:rFonts w:ascii="Segoe UI" w:hAnsi="Segoe UI" w:cs="Segoe UI"/>
          <w:color w:val="666666"/>
          <w:sz w:val="20"/>
          <w:szCs w:val="20"/>
        </w:rPr>
        <w:t>ing</w:t>
      </w:r>
      <w:r w:rsidRPr="3A42354A">
        <w:rPr>
          <w:rFonts w:ascii="Segoe UI" w:hAnsi="Segoe UI" w:cs="Segoe UI"/>
          <w:color w:val="666666"/>
          <w:sz w:val="20"/>
          <w:szCs w:val="20"/>
        </w:rPr>
        <w:t xml:space="preserve"> execution and competitive risks;</w:t>
      </w:r>
    </w:p>
    <w:p w14:paraId="2C1A03C3" w14:textId="77777777" w:rsidR="002974F6" w:rsidRPr="00243400" w:rsidRDefault="002974F6" w:rsidP="002974F6">
      <w:pPr>
        <w:pStyle w:val="NoSpacing"/>
        <w:numPr>
          <w:ilvl w:val="0"/>
          <w:numId w:val="1"/>
        </w:numPr>
        <w:spacing w:before="240" w:after="240" w:line="276" w:lineRule="auto"/>
        <w:rPr>
          <w:rFonts w:ascii="Segoe UI" w:hAnsi="Segoe UI" w:cs="Segoe UI"/>
          <w:color w:val="666666"/>
          <w:sz w:val="20"/>
          <w:szCs w:val="20"/>
        </w:rPr>
      </w:pPr>
      <w:r w:rsidRPr="3A42354A">
        <w:rPr>
          <w:rFonts w:ascii="Segoe UI" w:hAnsi="Segoe UI" w:cs="Segoe UI"/>
          <w:color w:val="666666"/>
          <w:sz w:val="20"/>
          <w:szCs w:val="20"/>
        </w:rPr>
        <w:t xml:space="preserve">significant investments in new products and services that may not </w:t>
      </w:r>
      <w:r>
        <w:rPr>
          <w:rFonts w:ascii="Segoe UI" w:hAnsi="Segoe UI" w:cs="Segoe UI"/>
          <w:color w:val="666666"/>
          <w:sz w:val="20"/>
          <w:szCs w:val="20"/>
        </w:rPr>
        <w:t>achieve expected returns</w:t>
      </w:r>
      <w:r w:rsidRPr="3A42354A">
        <w:rPr>
          <w:rFonts w:ascii="Segoe UI" w:hAnsi="Segoe UI" w:cs="Segoe UI"/>
          <w:color w:val="666666"/>
          <w:sz w:val="20"/>
          <w:szCs w:val="20"/>
        </w:rPr>
        <w:t>;</w:t>
      </w:r>
    </w:p>
    <w:p w14:paraId="7D0F08B5" w14:textId="77777777" w:rsidR="002974F6" w:rsidRPr="00243400" w:rsidRDefault="002974F6" w:rsidP="002974F6">
      <w:pPr>
        <w:pStyle w:val="NoSpacing"/>
        <w:numPr>
          <w:ilvl w:val="0"/>
          <w:numId w:val="1"/>
        </w:numPr>
        <w:spacing w:before="240" w:after="240" w:line="276" w:lineRule="auto"/>
        <w:rPr>
          <w:rFonts w:ascii="Segoe UI" w:hAnsi="Segoe UI" w:cs="Segoe UI"/>
          <w:color w:val="666666"/>
          <w:sz w:val="20"/>
          <w:szCs w:val="20"/>
        </w:rPr>
      </w:pPr>
      <w:r w:rsidRPr="3A42354A">
        <w:rPr>
          <w:rFonts w:ascii="Segoe UI" w:hAnsi="Segoe UI" w:cs="Segoe UI"/>
          <w:color w:val="666666"/>
          <w:sz w:val="20"/>
          <w:szCs w:val="20"/>
        </w:rPr>
        <w:t xml:space="preserve">acquisitions, joint ventures, and strategic alliances </w:t>
      </w:r>
      <w:r>
        <w:rPr>
          <w:rFonts w:ascii="Segoe UI" w:hAnsi="Segoe UI" w:cs="Segoe UI"/>
          <w:color w:val="666666"/>
          <w:sz w:val="20"/>
          <w:szCs w:val="20"/>
        </w:rPr>
        <w:t xml:space="preserve">that </w:t>
      </w:r>
      <w:r w:rsidRPr="3A42354A">
        <w:rPr>
          <w:rFonts w:ascii="Segoe UI" w:hAnsi="Segoe UI" w:cs="Segoe UI"/>
          <w:color w:val="666666"/>
          <w:sz w:val="20"/>
          <w:szCs w:val="20"/>
        </w:rPr>
        <w:t>may have an adverse effect on our business;</w:t>
      </w:r>
    </w:p>
    <w:p w14:paraId="44CE02C9" w14:textId="77777777" w:rsidR="002974F6" w:rsidRPr="00243400" w:rsidRDefault="002974F6" w:rsidP="002974F6">
      <w:pPr>
        <w:pStyle w:val="NoSpacing"/>
        <w:numPr>
          <w:ilvl w:val="0"/>
          <w:numId w:val="1"/>
        </w:numPr>
        <w:spacing w:before="240" w:after="240" w:line="276" w:lineRule="auto"/>
        <w:rPr>
          <w:rFonts w:ascii="Segoe UI" w:hAnsi="Segoe UI" w:cs="Segoe UI"/>
          <w:color w:val="666666"/>
          <w:sz w:val="20"/>
          <w:szCs w:val="20"/>
        </w:rPr>
      </w:pPr>
      <w:r w:rsidRPr="3A42354A">
        <w:rPr>
          <w:rFonts w:ascii="Segoe UI" w:hAnsi="Segoe UI" w:cs="Segoe UI"/>
          <w:color w:val="666666"/>
          <w:sz w:val="20"/>
          <w:szCs w:val="20"/>
        </w:rPr>
        <w:t>impairment of goodwill or amortizable intangible assets causing a significant charge to earnings;</w:t>
      </w:r>
    </w:p>
    <w:p w14:paraId="2E4DBCC0" w14:textId="36A705E2" w:rsidR="002974F6" w:rsidRPr="00243400" w:rsidRDefault="00BD2514" w:rsidP="002974F6">
      <w:pPr>
        <w:pStyle w:val="NoSpacing"/>
        <w:numPr>
          <w:ilvl w:val="0"/>
          <w:numId w:val="1"/>
        </w:numPr>
        <w:spacing w:before="240" w:after="240" w:line="276" w:lineRule="auto"/>
        <w:rPr>
          <w:rFonts w:ascii="Segoe UI" w:hAnsi="Segoe UI" w:cs="Segoe UI"/>
          <w:color w:val="666666"/>
          <w:sz w:val="20"/>
          <w:szCs w:val="20"/>
        </w:rPr>
      </w:pPr>
      <w:r>
        <w:rPr>
          <w:rFonts w:ascii="Segoe UI" w:hAnsi="Segoe UI" w:cs="Segoe UI"/>
          <w:color w:val="666666"/>
          <w:sz w:val="20"/>
          <w:szCs w:val="20"/>
        </w:rPr>
        <w:t xml:space="preserve">a change in Microsoft’s ability to </w:t>
      </w:r>
      <w:r w:rsidR="002974F6" w:rsidRPr="3A42354A">
        <w:rPr>
          <w:rFonts w:ascii="Segoe UI" w:hAnsi="Segoe UI" w:cs="Segoe UI"/>
          <w:color w:val="666666"/>
          <w:sz w:val="20"/>
          <w:szCs w:val="20"/>
        </w:rPr>
        <w:t xml:space="preserve">earn </w:t>
      </w:r>
      <w:r w:rsidR="002974F6">
        <w:rPr>
          <w:rFonts w:ascii="Segoe UI" w:hAnsi="Segoe UI" w:cs="Segoe UI"/>
          <w:color w:val="666666"/>
          <w:sz w:val="20"/>
          <w:szCs w:val="20"/>
        </w:rPr>
        <w:t xml:space="preserve">expected </w:t>
      </w:r>
      <w:r w:rsidR="002974F6" w:rsidRPr="3A42354A">
        <w:rPr>
          <w:rFonts w:ascii="Segoe UI" w:hAnsi="Segoe UI" w:cs="Segoe UI"/>
          <w:color w:val="666666"/>
          <w:sz w:val="20"/>
          <w:szCs w:val="20"/>
        </w:rPr>
        <w:t>revenues from its intellectual property rights;</w:t>
      </w:r>
    </w:p>
    <w:p w14:paraId="774EE285" w14:textId="77777777" w:rsidR="002974F6" w:rsidRPr="00243400" w:rsidRDefault="002974F6" w:rsidP="002974F6">
      <w:pPr>
        <w:pStyle w:val="NoSpacing"/>
        <w:numPr>
          <w:ilvl w:val="0"/>
          <w:numId w:val="1"/>
        </w:numPr>
        <w:spacing w:before="240" w:after="240" w:line="276" w:lineRule="auto"/>
        <w:rPr>
          <w:rFonts w:ascii="Segoe UI" w:hAnsi="Segoe UI" w:cs="Segoe UI"/>
          <w:color w:val="666666"/>
          <w:sz w:val="20"/>
          <w:szCs w:val="20"/>
        </w:rPr>
      </w:pPr>
      <w:r w:rsidRPr="3A42354A">
        <w:rPr>
          <w:rFonts w:ascii="Segoe UI" w:hAnsi="Segoe UI" w:cs="Segoe UI"/>
          <w:color w:val="666666"/>
          <w:sz w:val="20"/>
          <w:szCs w:val="20"/>
        </w:rPr>
        <w:t>claims that Microsoft has infringed the intellectual property rights of others;</w:t>
      </w:r>
    </w:p>
    <w:p w14:paraId="2855012D" w14:textId="77777777" w:rsidR="002974F6" w:rsidRDefault="002974F6" w:rsidP="002974F6">
      <w:pPr>
        <w:pStyle w:val="NoSpacing"/>
        <w:numPr>
          <w:ilvl w:val="0"/>
          <w:numId w:val="1"/>
        </w:numPr>
        <w:spacing w:before="240" w:after="240" w:line="276" w:lineRule="auto"/>
        <w:rPr>
          <w:rFonts w:ascii="Segoe UI" w:hAnsi="Segoe UI" w:cs="Segoe UI"/>
          <w:color w:val="666666"/>
          <w:sz w:val="20"/>
          <w:szCs w:val="20"/>
        </w:rPr>
      </w:pPr>
      <w:r>
        <w:rPr>
          <w:rFonts w:ascii="Segoe UI" w:hAnsi="Segoe UI" w:cs="Segoe UI"/>
          <w:color w:val="666666"/>
          <w:sz w:val="20"/>
          <w:szCs w:val="20"/>
        </w:rPr>
        <w:t>the possibility that we may fail to protect our source code</w:t>
      </w:r>
      <w:r w:rsidRPr="3A42354A">
        <w:rPr>
          <w:rFonts w:ascii="Segoe UI" w:hAnsi="Segoe UI" w:cs="Segoe UI"/>
          <w:color w:val="666666"/>
          <w:sz w:val="20"/>
          <w:szCs w:val="20"/>
        </w:rPr>
        <w:t>;</w:t>
      </w:r>
    </w:p>
    <w:p w14:paraId="601AF4BC" w14:textId="77777777" w:rsidR="002974F6" w:rsidRPr="00486E2F" w:rsidRDefault="002974F6" w:rsidP="002974F6">
      <w:pPr>
        <w:pStyle w:val="NoSpacing"/>
        <w:numPr>
          <w:ilvl w:val="0"/>
          <w:numId w:val="1"/>
        </w:numPr>
        <w:spacing w:before="240" w:after="240" w:line="276" w:lineRule="auto"/>
        <w:rPr>
          <w:rFonts w:ascii="Segoe UI" w:hAnsi="Segoe UI" w:cs="Segoe UI"/>
          <w:color w:val="666666"/>
          <w:sz w:val="20"/>
          <w:szCs w:val="20"/>
        </w:rPr>
      </w:pPr>
      <w:r>
        <w:rPr>
          <w:rFonts w:ascii="Segoe UI" w:hAnsi="Segoe UI" w:cs="Segoe UI"/>
          <w:color w:val="666666"/>
          <w:sz w:val="20"/>
          <w:szCs w:val="20"/>
        </w:rPr>
        <w:t xml:space="preserve">the possibility that </w:t>
      </w:r>
      <w:r w:rsidRPr="00486E2F">
        <w:rPr>
          <w:rFonts w:ascii="Segoe UI" w:hAnsi="Segoe UI" w:cs="Segoe UI"/>
          <w:color w:val="666666"/>
          <w:sz w:val="20"/>
          <w:szCs w:val="20"/>
        </w:rPr>
        <w:t>we may not be able to protect information on our products and services from use by others;</w:t>
      </w:r>
    </w:p>
    <w:p w14:paraId="052BC4E4" w14:textId="3A27ECCD" w:rsidR="002974F6" w:rsidRPr="00243400" w:rsidRDefault="002974F6" w:rsidP="002974F6">
      <w:pPr>
        <w:pStyle w:val="NoSpacing"/>
        <w:numPr>
          <w:ilvl w:val="0"/>
          <w:numId w:val="1"/>
        </w:numPr>
        <w:spacing w:before="240" w:after="240" w:line="276" w:lineRule="auto"/>
        <w:rPr>
          <w:rFonts w:ascii="Segoe UI" w:hAnsi="Segoe UI" w:cs="Segoe UI"/>
          <w:color w:val="666666"/>
          <w:sz w:val="20"/>
          <w:szCs w:val="20"/>
        </w:rPr>
      </w:pPr>
      <w:r w:rsidRPr="3A42354A">
        <w:rPr>
          <w:rFonts w:ascii="Segoe UI" w:hAnsi="Segoe UI" w:cs="Segoe UI"/>
          <w:color w:val="666666"/>
          <w:sz w:val="20"/>
          <w:szCs w:val="20"/>
        </w:rPr>
        <w:t>cyber-attacks and security vulnerabilities in Microsoft products and services that could reduce revenue</w:t>
      </w:r>
      <w:r>
        <w:rPr>
          <w:rFonts w:ascii="Segoe UI" w:hAnsi="Segoe UI" w:cs="Segoe UI"/>
          <w:color w:val="666666"/>
          <w:sz w:val="20"/>
          <w:szCs w:val="20"/>
        </w:rPr>
        <w:t>, increase costs, harm us competitively</w:t>
      </w:r>
      <w:r w:rsidR="00A018E5">
        <w:rPr>
          <w:rFonts w:ascii="Segoe UI" w:hAnsi="Segoe UI" w:cs="Segoe UI"/>
          <w:color w:val="666666"/>
          <w:sz w:val="20"/>
          <w:szCs w:val="20"/>
        </w:rPr>
        <w:t>,</w:t>
      </w:r>
      <w:r w:rsidRPr="3A42354A">
        <w:rPr>
          <w:rFonts w:ascii="Segoe UI" w:hAnsi="Segoe UI" w:cs="Segoe UI"/>
          <w:color w:val="666666"/>
          <w:sz w:val="20"/>
          <w:szCs w:val="20"/>
        </w:rPr>
        <w:t xml:space="preserve"> or lead to liability;</w:t>
      </w:r>
    </w:p>
    <w:p w14:paraId="7B2D0437" w14:textId="77777777" w:rsidR="002974F6" w:rsidRDefault="002974F6" w:rsidP="002974F6">
      <w:pPr>
        <w:pStyle w:val="NoSpacing"/>
        <w:numPr>
          <w:ilvl w:val="0"/>
          <w:numId w:val="1"/>
        </w:numPr>
        <w:spacing w:before="240" w:after="240" w:line="276" w:lineRule="auto"/>
        <w:rPr>
          <w:rFonts w:ascii="Segoe UI" w:hAnsi="Segoe UI" w:cs="Segoe UI"/>
          <w:color w:val="666666"/>
          <w:sz w:val="20"/>
          <w:szCs w:val="20"/>
        </w:rPr>
      </w:pPr>
      <w:r w:rsidRPr="3A42354A">
        <w:rPr>
          <w:rFonts w:ascii="Segoe UI" w:hAnsi="Segoe UI" w:cs="Segoe UI"/>
          <w:color w:val="666666"/>
          <w:sz w:val="20"/>
          <w:szCs w:val="20"/>
        </w:rPr>
        <w:t xml:space="preserve">disclosure of personal data that could cause liability and harm to Microsoft’s reputation; </w:t>
      </w:r>
    </w:p>
    <w:p w14:paraId="0907A453" w14:textId="77777777" w:rsidR="002974F6" w:rsidRPr="000A15F8" w:rsidRDefault="002974F6" w:rsidP="002974F6">
      <w:pPr>
        <w:pStyle w:val="NoSpacing"/>
        <w:numPr>
          <w:ilvl w:val="0"/>
          <w:numId w:val="1"/>
        </w:numPr>
        <w:spacing w:before="240" w:after="240" w:line="276" w:lineRule="auto"/>
        <w:rPr>
          <w:rFonts w:ascii="Segoe UI" w:hAnsi="Segoe UI" w:cs="Segoe UI"/>
          <w:color w:val="666666"/>
          <w:sz w:val="20"/>
          <w:szCs w:val="20"/>
        </w:rPr>
      </w:pPr>
      <w:r>
        <w:rPr>
          <w:rFonts w:ascii="Segoe UI" w:hAnsi="Segoe UI" w:cs="Segoe UI"/>
          <w:color w:val="666666"/>
          <w:sz w:val="20"/>
          <w:szCs w:val="20"/>
        </w:rPr>
        <w:t>abuse</w:t>
      </w:r>
      <w:r w:rsidRPr="000A15F8">
        <w:rPr>
          <w:rFonts w:ascii="Segoe UI" w:hAnsi="Segoe UI" w:cs="Segoe UI"/>
          <w:color w:val="666666"/>
          <w:sz w:val="20"/>
          <w:szCs w:val="20"/>
        </w:rPr>
        <w:t xml:space="preserve"> of our advertising or social platforms</w:t>
      </w:r>
      <w:r>
        <w:rPr>
          <w:rFonts w:ascii="Segoe UI" w:hAnsi="Segoe UI" w:cs="Segoe UI"/>
          <w:color w:val="666666"/>
          <w:sz w:val="20"/>
          <w:szCs w:val="20"/>
        </w:rPr>
        <w:t xml:space="preserve"> that</w:t>
      </w:r>
      <w:r w:rsidRPr="000A15F8">
        <w:rPr>
          <w:rFonts w:ascii="Segoe UI" w:hAnsi="Segoe UI" w:cs="Segoe UI"/>
          <w:color w:val="666666"/>
          <w:sz w:val="20"/>
          <w:szCs w:val="20"/>
        </w:rPr>
        <w:t xml:space="preserve"> may harm our reputation or user engagement;</w:t>
      </w:r>
    </w:p>
    <w:p w14:paraId="0537BED3" w14:textId="77777777" w:rsidR="002974F6" w:rsidRPr="00243400" w:rsidRDefault="002974F6" w:rsidP="002974F6">
      <w:pPr>
        <w:pStyle w:val="NoSpacing"/>
        <w:numPr>
          <w:ilvl w:val="0"/>
          <w:numId w:val="1"/>
        </w:numPr>
        <w:spacing w:before="240" w:after="240" w:line="276" w:lineRule="auto"/>
        <w:rPr>
          <w:rFonts w:ascii="Segoe UI" w:hAnsi="Segoe UI" w:cs="Segoe UI"/>
          <w:color w:val="666666"/>
          <w:sz w:val="20"/>
          <w:szCs w:val="20"/>
        </w:rPr>
      </w:pPr>
      <w:r w:rsidRPr="3A42354A">
        <w:rPr>
          <w:rFonts w:ascii="Segoe UI" w:hAnsi="Segoe UI" w:cs="Segoe UI"/>
          <w:color w:val="666666"/>
          <w:sz w:val="20"/>
          <w:szCs w:val="20"/>
        </w:rPr>
        <w:t>outages, data losses, and disruptions of our online services if we fail to maintain an adequate operations infrastructure;</w:t>
      </w:r>
    </w:p>
    <w:p w14:paraId="46A060BF" w14:textId="77777777" w:rsidR="002974F6" w:rsidRPr="00243400" w:rsidRDefault="002974F6" w:rsidP="002974F6">
      <w:pPr>
        <w:pStyle w:val="NoSpacing"/>
        <w:numPr>
          <w:ilvl w:val="0"/>
          <w:numId w:val="1"/>
        </w:numPr>
        <w:spacing w:before="240" w:after="240" w:line="276" w:lineRule="auto"/>
        <w:rPr>
          <w:rFonts w:ascii="Segoe UI" w:hAnsi="Segoe UI" w:cs="Segoe UI"/>
          <w:color w:val="666666"/>
          <w:sz w:val="20"/>
          <w:szCs w:val="20"/>
        </w:rPr>
      </w:pPr>
      <w:r w:rsidRPr="3A42354A">
        <w:rPr>
          <w:rFonts w:ascii="Segoe UI" w:hAnsi="Segoe UI" w:cs="Segoe UI"/>
          <w:color w:val="666666"/>
          <w:sz w:val="20"/>
          <w:szCs w:val="20"/>
        </w:rPr>
        <w:t>government litigation and regulat</w:t>
      </w:r>
      <w:r>
        <w:rPr>
          <w:rFonts w:ascii="Segoe UI" w:hAnsi="Segoe UI" w:cs="Segoe UI"/>
          <w:color w:val="666666"/>
          <w:sz w:val="20"/>
          <w:szCs w:val="20"/>
        </w:rPr>
        <w:t>ory activity</w:t>
      </w:r>
      <w:r w:rsidRPr="3A42354A">
        <w:rPr>
          <w:rFonts w:ascii="Segoe UI" w:hAnsi="Segoe UI" w:cs="Segoe UI"/>
          <w:color w:val="666666"/>
          <w:sz w:val="20"/>
          <w:szCs w:val="20"/>
        </w:rPr>
        <w:t xml:space="preserve"> that may limit how Microsoft designs and markets its products;</w:t>
      </w:r>
    </w:p>
    <w:p w14:paraId="11AC4CCA" w14:textId="77777777" w:rsidR="002974F6" w:rsidRPr="00243400" w:rsidRDefault="002974F6" w:rsidP="002974F6">
      <w:pPr>
        <w:pStyle w:val="NoSpacing"/>
        <w:numPr>
          <w:ilvl w:val="0"/>
          <w:numId w:val="1"/>
        </w:numPr>
        <w:spacing w:before="240" w:after="240" w:line="276" w:lineRule="auto"/>
        <w:rPr>
          <w:rFonts w:ascii="Segoe UI" w:hAnsi="Segoe UI" w:cs="Segoe UI"/>
          <w:color w:val="666666"/>
          <w:sz w:val="20"/>
          <w:szCs w:val="20"/>
        </w:rPr>
      </w:pPr>
      <w:r w:rsidRPr="3A42354A">
        <w:rPr>
          <w:rFonts w:ascii="Segoe UI" w:hAnsi="Segoe UI" w:cs="Segoe UI"/>
          <w:color w:val="666666"/>
          <w:sz w:val="20"/>
          <w:szCs w:val="20"/>
        </w:rPr>
        <w:t>potential liability under trade protection</w:t>
      </w:r>
      <w:r>
        <w:rPr>
          <w:rFonts w:ascii="Segoe UI" w:hAnsi="Segoe UI" w:cs="Segoe UI"/>
          <w:color w:val="666666"/>
          <w:sz w:val="20"/>
          <w:szCs w:val="20"/>
        </w:rPr>
        <w:t>,</w:t>
      </w:r>
      <w:r w:rsidRPr="3A42354A">
        <w:rPr>
          <w:rFonts w:ascii="Segoe UI" w:hAnsi="Segoe UI" w:cs="Segoe UI"/>
          <w:color w:val="666666"/>
          <w:sz w:val="20"/>
          <w:szCs w:val="20"/>
        </w:rPr>
        <w:t xml:space="preserve"> anti-corruption</w:t>
      </w:r>
      <w:r>
        <w:rPr>
          <w:rFonts w:ascii="Segoe UI" w:hAnsi="Segoe UI" w:cs="Segoe UI"/>
          <w:color w:val="666666"/>
          <w:sz w:val="20"/>
          <w:szCs w:val="20"/>
        </w:rPr>
        <w:t>, and other</w:t>
      </w:r>
      <w:r w:rsidRPr="3A42354A">
        <w:rPr>
          <w:rFonts w:ascii="Segoe UI" w:hAnsi="Segoe UI" w:cs="Segoe UI"/>
          <w:color w:val="666666"/>
          <w:sz w:val="20"/>
          <w:szCs w:val="20"/>
        </w:rPr>
        <w:t xml:space="preserve"> laws resulting from our </w:t>
      </w:r>
      <w:r>
        <w:rPr>
          <w:rFonts w:ascii="Segoe UI" w:hAnsi="Segoe UI" w:cs="Segoe UI"/>
          <w:color w:val="666666"/>
          <w:sz w:val="20"/>
          <w:szCs w:val="20"/>
        </w:rPr>
        <w:t>global</w:t>
      </w:r>
      <w:r w:rsidRPr="3A42354A">
        <w:rPr>
          <w:rFonts w:ascii="Segoe UI" w:hAnsi="Segoe UI" w:cs="Segoe UI"/>
          <w:color w:val="666666"/>
          <w:sz w:val="20"/>
          <w:szCs w:val="20"/>
        </w:rPr>
        <w:t xml:space="preserve"> operations;</w:t>
      </w:r>
    </w:p>
    <w:p w14:paraId="1A0AAD36" w14:textId="77777777" w:rsidR="002974F6" w:rsidRPr="00243400" w:rsidRDefault="002974F6" w:rsidP="002974F6">
      <w:pPr>
        <w:pStyle w:val="NoSpacing"/>
        <w:numPr>
          <w:ilvl w:val="0"/>
          <w:numId w:val="1"/>
        </w:numPr>
        <w:spacing w:before="240" w:after="240" w:line="276" w:lineRule="auto"/>
        <w:rPr>
          <w:rFonts w:ascii="Segoe UI" w:hAnsi="Segoe UI" w:cs="Segoe UI"/>
          <w:color w:val="666666"/>
          <w:sz w:val="20"/>
          <w:szCs w:val="20"/>
        </w:rPr>
      </w:pPr>
      <w:r w:rsidRPr="3A42354A">
        <w:rPr>
          <w:rFonts w:ascii="Segoe UI" w:hAnsi="Segoe UI" w:cs="Segoe UI"/>
          <w:color w:val="666666"/>
          <w:sz w:val="20"/>
          <w:szCs w:val="20"/>
        </w:rPr>
        <w:t xml:space="preserve">laws and regulations relating to the handling of personal data </w:t>
      </w:r>
      <w:r>
        <w:rPr>
          <w:rFonts w:ascii="Segoe UI" w:hAnsi="Segoe UI" w:cs="Segoe UI"/>
          <w:color w:val="666666"/>
          <w:sz w:val="20"/>
          <w:szCs w:val="20"/>
        </w:rPr>
        <w:t xml:space="preserve">that </w:t>
      </w:r>
      <w:r w:rsidRPr="3A42354A">
        <w:rPr>
          <w:rFonts w:ascii="Segoe UI" w:hAnsi="Segoe UI" w:cs="Segoe UI"/>
          <w:color w:val="666666"/>
          <w:sz w:val="20"/>
          <w:szCs w:val="20"/>
        </w:rPr>
        <w:t>may impede the adoption of our services or result in increased costs, legal claims, or fines against us;</w:t>
      </w:r>
    </w:p>
    <w:p w14:paraId="26A3C391" w14:textId="77777777" w:rsidR="002974F6" w:rsidRPr="00243400" w:rsidRDefault="002974F6" w:rsidP="002974F6">
      <w:pPr>
        <w:pStyle w:val="NoSpacing"/>
        <w:numPr>
          <w:ilvl w:val="0"/>
          <w:numId w:val="1"/>
        </w:numPr>
        <w:spacing w:before="240" w:after="240" w:line="276" w:lineRule="auto"/>
        <w:rPr>
          <w:rFonts w:ascii="Segoe UI" w:hAnsi="Segoe UI" w:cs="Segoe UI"/>
          <w:color w:val="666666"/>
          <w:sz w:val="20"/>
          <w:szCs w:val="20"/>
        </w:rPr>
      </w:pPr>
      <w:r w:rsidRPr="3A42354A">
        <w:rPr>
          <w:rFonts w:ascii="Segoe UI" w:hAnsi="Segoe UI" w:cs="Segoe UI"/>
          <w:color w:val="666666"/>
          <w:sz w:val="20"/>
          <w:szCs w:val="20"/>
        </w:rPr>
        <w:lastRenderedPageBreak/>
        <w:t>Microsoft’s ability to attract and retain talented employees;</w:t>
      </w:r>
    </w:p>
    <w:p w14:paraId="73924812" w14:textId="77777777" w:rsidR="002974F6" w:rsidRPr="00243400" w:rsidRDefault="002974F6" w:rsidP="002974F6">
      <w:pPr>
        <w:pStyle w:val="NoSpacing"/>
        <w:numPr>
          <w:ilvl w:val="0"/>
          <w:numId w:val="1"/>
        </w:numPr>
        <w:spacing w:before="240" w:after="240" w:line="276" w:lineRule="auto"/>
        <w:rPr>
          <w:rFonts w:ascii="Segoe UI" w:hAnsi="Segoe UI" w:cs="Segoe UI"/>
          <w:color w:val="666666"/>
          <w:sz w:val="20"/>
          <w:szCs w:val="20"/>
        </w:rPr>
      </w:pPr>
      <w:r w:rsidRPr="3A42354A">
        <w:rPr>
          <w:rFonts w:ascii="Segoe UI" w:hAnsi="Segoe UI" w:cs="Segoe UI"/>
          <w:color w:val="666666"/>
          <w:sz w:val="20"/>
          <w:szCs w:val="20"/>
        </w:rPr>
        <w:t>adverse results in legal disputes;</w:t>
      </w:r>
    </w:p>
    <w:p w14:paraId="4DE3D5CC" w14:textId="77777777" w:rsidR="002974F6" w:rsidRPr="00243400" w:rsidRDefault="002974F6" w:rsidP="002974F6">
      <w:pPr>
        <w:pStyle w:val="NoSpacing"/>
        <w:numPr>
          <w:ilvl w:val="0"/>
          <w:numId w:val="1"/>
        </w:numPr>
        <w:spacing w:before="240" w:after="240" w:line="276" w:lineRule="auto"/>
        <w:rPr>
          <w:rFonts w:ascii="Segoe UI" w:hAnsi="Segoe UI" w:cs="Segoe UI"/>
          <w:color w:val="666666"/>
          <w:sz w:val="20"/>
          <w:szCs w:val="20"/>
        </w:rPr>
      </w:pPr>
      <w:r>
        <w:rPr>
          <w:rFonts w:ascii="Segoe UI" w:hAnsi="Segoe UI" w:cs="Segoe UI"/>
          <w:color w:val="666666"/>
          <w:sz w:val="20"/>
          <w:szCs w:val="20"/>
        </w:rPr>
        <w:t>additional</w:t>
      </w:r>
      <w:r w:rsidRPr="3A42354A">
        <w:rPr>
          <w:rFonts w:ascii="Segoe UI" w:hAnsi="Segoe UI" w:cs="Segoe UI"/>
          <w:color w:val="666666"/>
          <w:sz w:val="20"/>
          <w:szCs w:val="20"/>
        </w:rPr>
        <w:t xml:space="preserve"> tax liabilities;</w:t>
      </w:r>
    </w:p>
    <w:p w14:paraId="388DC54E" w14:textId="77777777" w:rsidR="002974F6" w:rsidRPr="00243400" w:rsidRDefault="002974F6" w:rsidP="002974F6">
      <w:pPr>
        <w:pStyle w:val="NoSpacing"/>
        <w:numPr>
          <w:ilvl w:val="0"/>
          <w:numId w:val="1"/>
        </w:numPr>
        <w:spacing w:before="240" w:after="240" w:line="276" w:lineRule="auto"/>
        <w:rPr>
          <w:rFonts w:ascii="Segoe UI" w:hAnsi="Segoe UI" w:cs="Segoe UI"/>
          <w:color w:val="666666"/>
          <w:sz w:val="20"/>
          <w:szCs w:val="20"/>
        </w:rPr>
      </w:pPr>
      <w:r w:rsidRPr="3A42354A">
        <w:rPr>
          <w:rFonts w:ascii="Segoe UI" w:hAnsi="Segoe UI" w:cs="Segoe UI"/>
          <w:color w:val="666666"/>
          <w:sz w:val="20"/>
          <w:szCs w:val="20"/>
        </w:rPr>
        <w:t>quality or supply problems;</w:t>
      </w:r>
    </w:p>
    <w:p w14:paraId="31D72524" w14:textId="77777777" w:rsidR="002974F6" w:rsidRPr="00243400" w:rsidRDefault="002974F6" w:rsidP="002974F6">
      <w:pPr>
        <w:pStyle w:val="NoSpacing"/>
        <w:numPr>
          <w:ilvl w:val="0"/>
          <w:numId w:val="1"/>
        </w:numPr>
        <w:spacing w:before="240" w:after="240" w:line="276" w:lineRule="auto"/>
        <w:rPr>
          <w:rFonts w:ascii="Segoe UI" w:hAnsi="Segoe UI" w:cs="Segoe UI"/>
          <w:color w:val="666666"/>
          <w:sz w:val="20"/>
          <w:szCs w:val="20"/>
        </w:rPr>
      </w:pPr>
      <w:r w:rsidRPr="3A42354A">
        <w:rPr>
          <w:rFonts w:ascii="Segoe UI" w:hAnsi="Segoe UI" w:cs="Segoe UI"/>
          <w:color w:val="666666"/>
          <w:sz w:val="20"/>
          <w:szCs w:val="20"/>
        </w:rPr>
        <w:t>exposure to increased economic and operational uncertainties from operating a global business, including the effects of foreign currency exchange;</w:t>
      </w:r>
    </w:p>
    <w:p w14:paraId="25B8ADD2" w14:textId="77777777" w:rsidR="002974F6" w:rsidRPr="00243400" w:rsidRDefault="002974F6" w:rsidP="002974F6">
      <w:pPr>
        <w:pStyle w:val="NoSpacing"/>
        <w:numPr>
          <w:ilvl w:val="0"/>
          <w:numId w:val="1"/>
        </w:numPr>
        <w:spacing w:before="240" w:after="240" w:line="276" w:lineRule="auto"/>
        <w:rPr>
          <w:rFonts w:ascii="Segoe UI" w:hAnsi="Segoe UI" w:cs="Segoe UI"/>
          <w:color w:val="666666"/>
          <w:sz w:val="20"/>
          <w:szCs w:val="20"/>
        </w:rPr>
      </w:pPr>
      <w:r w:rsidRPr="3A42354A">
        <w:rPr>
          <w:rFonts w:ascii="Segoe UI" w:hAnsi="Segoe UI" w:cs="Segoe UI"/>
          <w:color w:val="666666"/>
          <w:sz w:val="20"/>
          <w:szCs w:val="20"/>
        </w:rPr>
        <w:t xml:space="preserve">catastrophic events or geo-political conditions </w:t>
      </w:r>
      <w:r>
        <w:rPr>
          <w:rFonts w:ascii="Segoe UI" w:hAnsi="Segoe UI" w:cs="Segoe UI"/>
          <w:color w:val="666666"/>
          <w:sz w:val="20"/>
          <w:szCs w:val="20"/>
        </w:rPr>
        <w:t xml:space="preserve">that </w:t>
      </w:r>
      <w:r w:rsidRPr="3A42354A">
        <w:rPr>
          <w:rFonts w:ascii="Segoe UI" w:hAnsi="Segoe UI" w:cs="Segoe UI"/>
          <w:color w:val="666666"/>
          <w:sz w:val="20"/>
          <w:szCs w:val="20"/>
        </w:rPr>
        <w:t>may disrupt our business;</w:t>
      </w:r>
    </w:p>
    <w:p w14:paraId="38F11FAA" w14:textId="77777777" w:rsidR="002974F6" w:rsidRDefault="002974F6" w:rsidP="002974F6">
      <w:pPr>
        <w:pStyle w:val="NoSpacing"/>
        <w:numPr>
          <w:ilvl w:val="0"/>
          <w:numId w:val="1"/>
        </w:numPr>
        <w:spacing w:before="240" w:after="240" w:line="276" w:lineRule="auto"/>
        <w:rPr>
          <w:rFonts w:ascii="Segoe UI" w:hAnsi="Segoe UI" w:cs="Segoe UI"/>
          <w:color w:val="666666"/>
          <w:sz w:val="20"/>
          <w:szCs w:val="20"/>
        </w:rPr>
      </w:pPr>
      <w:r w:rsidRPr="3A42354A">
        <w:rPr>
          <w:rFonts w:ascii="Segoe UI" w:hAnsi="Segoe UI" w:cs="Segoe UI"/>
          <w:color w:val="666666"/>
          <w:sz w:val="20"/>
          <w:szCs w:val="20"/>
        </w:rPr>
        <w:t>adverse economic or market conditions</w:t>
      </w:r>
      <w:r>
        <w:rPr>
          <w:rFonts w:ascii="Segoe UI" w:hAnsi="Segoe UI" w:cs="Segoe UI"/>
          <w:color w:val="666666"/>
          <w:sz w:val="20"/>
          <w:szCs w:val="20"/>
        </w:rPr>
        <w:t xml:space="preserve"> that</w:t>
      </w:r>
      <w:r w:rsidRPr="3A42354A">
        <w:rPr>
          <w:rFonts w:ascii="Segoe UI" w:hAnsi="Segoe UI" w:cs="Segoe UI"/>
          <w:color w:val="666666"/>
          <w:sz w:val="20"/>
          <w:szCs w:val="20"/>
        </w:rPr>
        <w:t xml:space="preserve"> may harm our business</w:t>
      </w:r>
      <w:r>
        <w:rPr>
          <w:rFonts w:ascii="Segoe UI" w:hAnsi="Segoe UI" w:cs="Segoe UI"/>
          <w:color w:val="666666"/>
          <w:sz w:val="20"/>
          <w:szCs w:val="20"/>
        </w:rPr>
        <w:t xml:space="preserve">; and </w:t>
      </w:r>
    </w:p>
    <w:p w14:paraId="15589673" w14:textId="77777777" w:rsidR="002974F6" w:rsidRPr="0054199E" w:rsidRDefault="002974F6" w:rsidP="002974F6">
      <w:pPr>
        <w:pStyle w:val="NoSpacing"/>
        <w:numPr>
          <w:ilvl w:val="0"/>
          <w:numId w:val="1"/>
        </w:numPr>
        <w:spacing w:before="240" w:after="240" w:line="276" w:lineRule="auto"/>
        <w:rPr>
          <w:rFonts w:ascii="Segoe UI" w:hAnsi="Segoe UI" w:cs="Segoe UI"/>
          <w:color w:val="666666"/>
          <w:sz w:val="20"/>
          <w:szCs w:val="20"/>
        </w:rPr>
      </w:pPr>
      <w:r w:rsidRPr="0054199E">
        <w:rPr>
          <w:rFonts w:ascii="Segoe UI" w:hAnsi="Segoe UI" w:cs="Segoe UI"/>
          <w:color w:val="666666"/>
          <w:sz w:val="20"/>
          <w:szCs w:val="20"/>
        </w:rPr>
        <w:t>changes in our sales organization</w:t>
      </w:r>
      <w:r>
        <w:rPr>
          <w:rFonts w:ascii="Segoe UI" w:hAnsi="Segoe UI" w:cs="Segoe UI"/>
          <w:color w:val="666666"/>
          <w:sz w:val="20"/>
          <w:szCs w:val="20"/>
        </w:rPr>
        <w:t xml:space="preserve"> that</w:t>
      </w:r>
      <w:r w:rsidRPr="0054199E">
        <w:rPr>
          <w:rFonts w:ascii="Segoe UI" w:hAnsi="Segoe UI" w:cs="Segoe UI"/>
          <w:color w:val="666666"/>
          <w:sz w:val="20"/>
          <w:szCs w:val="20"/>
        </w:rPr>
        <w:t xml:space="preserve"> may impact revenues</w:t>
      </w:r>
      <w:r>
        <w:rPr>
          <w:rFonts w:ascii="Segoe UI" w:hAnsi="Segoe UI" w:cs="Segoe UI"/>
          <w:color w:val="666666"/>
          <w:sz w:val="20"/>
          <w:szCs w:val="20"/>
        </w:rPr>
        <w:t>.</w:t>
      </w:r>
    </w:p>
    <w:p w14:paraId="04A21472" w14:textId="00583DD1" w:rsidR="00B5626E" w:rsidRPr="00243400" w:rsidRDefault="3A42354A" w:rsidP="0054199E">
      <w:pPr>
        <w:pStyle w:val="NoSpacing"/>
        <w:spacing w:before="240" w:after="240" w:line="276" w:lineRule="auto"/>
        <w:rPr>
          <w:color w:val="666666"/>
        </w:rPr>
      </w:pPr>
      <w:r w:rsidRPr="3A42354A">
        <w:rPr>
          <w:rFonts w:ascii="Segoe UI" w:hAnsi="Segoe UI" w:cs="Segoe UI"/>
          <w:color w:val="666666"/>
          <w:sz w:val="20"/>
          <w:szCs w:val="20"/>
        </w:rPr>
        <w:t xml:space="preserve">For more information about risks and uncertainties associated with Microsoft’s business, please refer to the “Management’s Discussion and Analysis of Financial Condition and Results of Operations” and “Risk Factors” sections of Microsoft’s SEC filings, including, but not limited to, its annual report on Form 10-K and quarterly reports on Form 10-Q, copies of which may be obtained by contacting Microsoft’s Investor Relations department at (800) 285-7772 or at Microsoft’s Investor Relations website at </w:t>
      </w:r>
      <w:hyperlink r:id="rId10">
        <w:r w:rsidRPr="3A42354A">
          <w:rPr>
            <w:rStyle w:val="Hyperlink"/>
            <w:color w:val="666666"/>
          </w:rPr>
          <w:t>http://www.microsoft.com/en-us/investor</w:t>
        </w:r>
      </w:hyperlink>
      <w:r w:rsidRPr="3A42354A">
        <w:rPr>
          <w:rFonts w:ascii="Segoe UI" w:hAnsi="Segoe UI" w:cs="Segoe UI"/>
          <w:color w:val="666666"/>
          <w:sz w:val="20"/>
          <w:szCs w:val="20"/>
        </w:rPr>
        <w:t>.</w:t>
      </w:r>
    </w:p>
    <w:p w14:paraId="58F710C9" w14:textId="1FEE9026" w:rsidR="00B5626E" w:rsidRPr="00243400" w:rsidRDefault="3A42354A" w:rsidP="3A42354A">
      <w:pPr>
        <w:pStyle w:val="NoSpacing"/>
        <w:spacing w:before="240" w:after="240" w:line="276" w:lineRule="auto"/>
        <w:rPr>
          <w:rFonts w:ascii="Segoe UI" w:hAnsi="Segoe UI" w:cs="Segoe UI"/>
          <w:color w:val="666666"/>
          <w:sz w:val="20"/>
          <w:szCs w:val="20"/>
        </w:rPr>
      </w:pPr>
      <w:r w:rsidRPr="3A42354A">
        <w:rPr>
          <w:rFonts w:ascii="Segoe UI" w:hAnsi="Segoe UI" w:cs="Segoe UI"/>
          <w:color w:val="666666"/>
          <w:sz w:val="20"/>
          <w:szCs w:val="20"/>
        </w:rPr>
        <w:t>All information in this release is as of October 26, 2017. The company undertakes no duty to update any forward-looking statement to conform the statement to actual results or changes in the company’s expectations.</w:t>
      </w:r>
    </w:p>
    <w:p w14:paraId="194BD1C7" w14:textId="77777777" w:rsidR="00B5626E" w:rsidRPr="00243400" w:rsidRDefault="3A42354A" w:rsidP="3A42354A">
      <w:pPr>
        <w:pStyle w:val="NoSpacing"/>
        <w:spacing w:before="240" w:after="240" w:line="276" w:lineRule="auto"/>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t xml:space="preserve">For more information, press only: </w:t>
      </w:r>
    </w:p>
    <w:p w14:paraId="667C6BA6" w14:textId="226F8B49" w:rsidR="00386DFF" w:rsidRPr="00F90B10" w:rsidRDefault="3A42354A" w:rsidP="00386DFF">
      <w:pPr>
        <w:rPr>
          <w:rFonts w:ascii="Segoe UI" w:hAnsi="Segoe UI" w:cs="Segoe UI"/>
          <w:sz w:val="20"/>
          <w:szCs w:val="20"/>
        </w:rPr>
      </w:pPr>
      <w:r w:rsidRPr="00F90B10">
        <w:rPr>
          <w:rFonts w:ascii="Segoe UI" w:hAnsi="Segoe UI" w:cs="Segoe UI"/>
          <w:color w:val="666666"/>
          <w:sz w:val="20"/>
          <w:szCs w:val="20"/>
        </w:rPr>
        <w:t>Microsoft Media Relations, WE Communications for Microsoft, (425) 638-7777,</w:t>
      </w:r>
      <w:r w:rsidRPr="00F90B10">
        <w:rPr>
          <w:rFonts w:ascii="Segoe UI" w:hAnsi="Segoe UI" w:cs="Segoe UI"/>
          <w:sz w:val="20"/>
          <w:szCs w:val="20"/>
        </w:rPr>
        <w:t xml:space="preserve"> </w:t>
      </w:r>
      <w:hyperlink r:id="rId11">
        <w:r w:rsidRPr="004C7B78">
          <w:rPr>
            <w:rStyle w:val="Hyperlink"/>
            <w:color w:val="666666"/>
          </w:rPr>
          <w:t>rrt@we-worldwide.com</w:t>
        </w:r>
      </w:hyperlink>
      <w:r w:rsidRPr="00E760C1">
        <w:rPr>
          <w:rFonts w:asciiTheme="minorHAnsi" w:hAnsiTheme="minorHAnsi" w:cstheme="minorHAnsi"/>
        </w:rPr>
        <w:t xml:space="preserve"> </w:t>
      </w:r>
    </w:p>
    <w:p w14:paraId="107EE69A" w14:textId="77777777" w:rsidR="00B5626E" w:rsidRPr="00F90B10" w:rsidRDefault="3A42354A" w:rsidP="3A42354A">
      <w:pPr>
        <w:pStyle w:val="NoSpacing"/>
        <w:spacing w:before="240" w:after="240" w:line="276" w:lineRule="auto"/>
        <w:rPr>
          <w:rFonts w:ascii="Segoe UI" w:eastAsia="Times New Roman" w:hAnsi="Segoe UI" w:cs="Segoe UI"/>
          <w:b/>
          <w:bCs/>
          <w:color w:val="666666"/>
          <w:sz w:val="20"/>
          <w:szCs w:val="20"/>
        </w:rPr>
      </w:pPr>
      <w:r w:rsidRPr="00F90B10">
        <w:rPr>
          <w:rFonts w:ascii="Segoe UI" w:eastAsia="Times New Roman" w:hAnsi="Segoe UI" w:cs="Segoe UI"/>
          <w:b/>
          <w:bCs/>
          <w:color w:val="666666"/>
          <w:sz w:val="20"/>
          <w:szCs w:val="20"/>
        </w:rPr>
        <w:t xml:space="preserve">For more information, financial analysts and investors only: </w:t>
      </w:r>
    </w:p>
    <w:p w14:paraId="6F615006" w14:textId="77777777" w:rsidR="00B5626E" w:rsidRPr="00F90B10" w:rsidRDefault="3A42354A" w:rsidP="3A42354A">
      <w:pPr>
        <w:pStyle w:val="NoSpacing"/>
        <w:spacing w:before="240" w:after="240" w:line="276" w:lineRule="auto"/>
        <w:rPr>
          <w:rFonts w:ascii="Segoe UI" w:hAnsi="Segoe UI" w:cs="Segoe UI"/>
          <w:color w:val="666666"/>
          <w:sz w:val="20"/>
          <w:szCs w:val="20"/>
        </w:rPr>
      </w:pPr>
      <w:r w:rsidRPr="00F90B10">
        <w:rPr>
          <w:rFonts w:ascii="Segoe UI" w:hAnsi="Segoe UI" w:cs="Segoe UI"/>
          <w:color w:val="666666"/>
          <w:sz w:val="20"/>
          <w:szCs w:val="20"/>
        </w:rPr>
        <w:t>Chris Suh, general manager, Investor Relations, (425) 706-4400</w:t>
      </w:r>
    </w:p>
    <w:p w14:paraId="0347EB39" w14:textId="595D925C" w:rsidR="00CD4953" w:rsidRPr="00F90B10" w:rsidRDefault="3A42354A" w:rsidP="3A42354A">
      <w:pPr>
        <w:pStyle w:val="NoSpacing"/>
        <w:spacing w:before="240" w:after="240" w:line="276" w:lineRule="auto"/>
        <w:rPr>
          <w:rFonts w:ascii="Segoe UI" w:hAnsi="Segoe UI" w:cs="Segoe UI"/>
          <w:color w:val="666666"/>
          <w:sz w:val="20"/>
          <w:szCs w:val="20"/>
        </w:rPr>
      </w:pPr>
      <w:r w:rsidRPr="00F90B10">
        <w:rPr>
          <w:rFonts w:ascii="Segoe UI" w:hAnsi="Segoe UI" w:cs="Segoe UI"/>
          <w:color w:val="666666"/>
          <w:sz w:val="20"/>
          <w:szCs w:val="20"/>
        </w:rPr>
        <w:t xml:space="preserve">Note to editors: For more information, news and perspectives from Microsoft, please visit the Microsoft News Center </w:t>
      </w:r>
      <w:r w:rsidRPr="00EC49C4">
        <w:rPr>
          <w:rFonts w:asciiTheme="minorHAnsi" w:hAnsiTheme="minorHAnsi" w:cstheme="minorHAnsi"/>
          <w:color w:val="666666"/>
        </w:rPr>
        <w:t xml:space="preserve">at </w:t>
      </w:r>
      <w:hyperlink r:id="rId12">
        <w:r w:rsidRPr="003129AF">
          <w:rPr>
            <w:rStyle w:val="Hyperlink"/>
            <w:color w:val="666666"/>
          </w:rPr>
          <w:t>http://www.microsoft.com/news</w:t>
        </w:r>
      </w:hyperlink>
      <w:r w:rsidRPr="00F90B10">
        <w:rPr>
          <w:rFonts w:ascii="Segoe UI" w:hAnsi="Segoe UI" w:cs="Segoe UI"/>
          <w:color w:val="666666"/>
          <w:sz w:val="20"/>
          <w:szCs w:val="20"/>
        </w:rPr>
        <w:t xml:space="preserve">. Web links, telephone numbers, and titles were correct at time of publication, but may since have changed. Shareholder and financial information, as well as today’s 2:30 p.m. Pacific time conference call with investors and analysts, is available at </w:t>
      </w:r>
      <w:hyperlink r:id="rId13">
        <w:r w:rsidRPr="003129AF">
          <w:rPr>
            <w:rStyle w:val="Hyperlink"/>
            <w:color w:val="666666"/>
          </w:rPr>
          <w:t>http://www.microsoft.com/en-us/investor</w:t>
        </w:r>
      </w:hyperlink>
      <w:r w:rsidRPr="00F90B10">
        <w:rPr>
          <w:rFonts w:ascii="Segoe UI" w:hAnsi="Segoe UI" w:cs="Segoe UI"/>
          <w:color w:val="666666"/>
          <w:sz w:val="20"/>
          <w:szCs w:val="20"/>
        </w:rPr>
        <w:t>.</w:t>
      </w:r>
    </w:p>
    <w:p w14:paraId="15B4F7B6" w14:textId="1FC2463A" w:rsidR="00D82087" w:rsidRDefault="00D82087">
      <w:pPr>
        <w:spacing w:after="160" w:line="259" w:lineRule="auto"/>
        <w:rPr>
          <w:rFonts w:ascii="Segoe UI" w:hAnsi="Segoe UI" w:cs="Segoe UI"/>
          <w:color w:val="666666"/>
          <w:sz w:val="20"/>
          <w:szCs w:val="20"/>
        </w:rPr>
      </w:pPr>
      <w:r>
        <w:rPr>
          <w:rFonts w:ascii="Segoe UI" w:hAnsi="Segoe UI" w:cs="Segoe UI"/>
          <w:color w:val="666666"/>
          <w:sz w:val="20"/>
          <w:szCs w:val="20"/>
        </w:rPr>
        <w:br w:type="page"/>
      </w:r>
    </w:p>
    <w:tbl>
      <w:tblPr>
        <w:tblW w:w="8280" w:type="dxa"/>
        <w:tblLook w:val="04A0" w:firstRow="1" w:lastRow="0" w:firstColumn="1" w:lastColumn="0" w:noHBand="0" w:noVBand="1"/>
      </w:tblPr>
      <w:tblGrid>
        <w:gridCol w:w="5360"/>
        <w:gridCol w:w="1540"/>
        <w:gridCol w:w="272"/>
        <w:gridCol w:w="1200"/>
      </w:tblGrid>
      <w:tr w:rsidR="00D82087" w:rsidRPr="00D82087" w14:paraId="68AA810F" w14:textId="77777777" w:rsidTr="00D82087">
        <w:trPr>
          <w:trHeight w:val="308"/>
        </w:trPr>
        <w:tc>
          <w:tcPr>
            <w:tcW w:w="5360" w:type="dxa"/>
            <w:tcBorders>
              <w:top w:val="nil"/>
              <w:left w:val="nil"/>
              <w:bottom w:val="nil"/>
              <w:right w:val="nil"/>
            </w:tcBorders>
            <w:shd w:val="clear" w:color="auto" w:fill="auto"/>
            <w:noWrap/>
            <w:vAlign w:val="bottom"/>
            <w:hideMark/>
          </w:tcPr>
          <w:p w14:paraId="1A33700C" w14:textId="77777777" w:rsidR="00D82087" w:rsidRDefault="00D82087" w:rsidP="00D82087">
            <w:pPr>
              <w:spacing w:after="0" w:line="240" w:lineRule="auto"/>
              <w:rPr>
                <w:rFonts w:ascii="Segoe UI" w:eastAsia="Times New Roman" w:hAnsi="Segoe UI" w:cs="Segoe UI"/>
                <w:b/>
                <w:bCs/>
                <w:color w:val="666666"/>
                <w:sz w:val="20"/>
                <w:szCs w:val="20"/>
              </w:rPr>
            </w:pPr>
            <w:bookmarkStart w:id="11" w:name="RANGE!A1"/>
            <w:bookmarkStart w:id="12" w:name="RANGE!A1:D32"/>
            <w:bookmarkEnd w:id="12"/>
          </w:p>
          <w:p w14:paraId="35EA4D8C" w14:textId="77777777" w:rsidR="00D82087" w:rsidRDefault="00D82087" w:rsidP="00D82087">
            <w:pPr>
              <w:spacing w:after="0" w:line="240" w:lineRule="auto"/>
              <w:rPr>
                <w:rFonts w:ascii="Segoe UI" w:eastAsia="Times New Roman" w:hAnsi="Segoe UI" w:cs="Segoe UI"/>
                <w:b/>
                <w:bCs/>
                <w:color w:val="666666"/>
                <w:sz w:val="20"/>
                <w:szCs w:val="20"/>
              </w:rPr>
            </w:pPr>
          </w:p>
          <w:p w14:paraId="6D090FDB" w14:textId="425E4783" w:rsidR="00D82087" w:rsidRPr="00D82087" w:rsidRDefault="00D82087" w:rsidP="00D82087">
            <w:pPr>
              <w:spacing w:after="0" w:line="240" w:lineRule="auto"/>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MICROSOFT CORPORATION</w:t>
            </w:r>
            <w:bookmarkEnd w:id="11"/>
          </w:p>
        </w:tc>
        <w:tc>
          <w:tcPr>
            <w:tcW w:w="1540" w:type="dxa"/>
            <w:tcBorders>
              <w:top w:val="nil"/>
              <w:left w:val="nil"/>
              <w:bottom w:val="nil"/>
              <w:right w:val="nil"/>
            </w:tcBorders>
            <w:shd w:val="clear" w:color="auto" w:fill="auto"/>
            <w:noWrap/>
            <w:vAlign w:val="bottom"/>
            <w:hideMark/>
          </w:tcPr>
          <w:p w14:paraId="0FB2491C" w14:textId="77777777" w:rsidR="00D82087" w:rsidRPr="00D82087" w:rsidRDefault="00D82087" w:rsidP="00D82087">
            <w:pPr>
              <w:spacing w:after="0" w:line="240" w:lineRule="auto"/>
              <w:rPr>
                <w:rFonts w:ascii="Segoe UI" w:eastAsia="Times New Roman" w:hAnsi="Segoe UI" w:cs="Segoe UI"/>
                <w:b/>
                <w:bCs/>
                <w:color w:val="666666"/>
                <w:sz w:val="20"/>
                <w:szCs w:val="20"/>
              </w:rPr>
            </w:pPr>
          </w:p>
        </w:tc>
        <w:tc>
          <w:tcPr>
            <w:tcW w:w="180" w:type="dxa"/>
            <w:tcBorders>
              <w:top w:val="nil"/>
              <w:left w:val="nil"/>
              <w:bottom w:val="nil"/>
              <w:right w:val="nil"/>
            </w:tcBorders>
            <w:shd w:val="clear" w:color="auto" w:fill="auto"/>
            <w:noWrap/>
            <w:vAlign w:val="bottom"/>
            <w:hideMark/>
          </w:tcPr>
          <w:p w14:paraId="45AB7716" w14:textId="77777777" w:rsidR="00D82087" w:rsidRPr="00D82087" w:rsidRDefault="00D82087" w:rsidP="00D82087">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5E045E82" w14:textId="77777777" w:rsidR="00D82087" w:rsidRPr="00D82087" w:rsidRDefault="00D82087" w:rsidP="00D82087">
            <w:pPr>
              <w:spacing w:after="0" w:line="240" w:lineRule="auto"/>
              <w:rPr>
                <w:rFonts w:ascii="Times New Roman" w:eastAsia="Times New Roman" w:hAnsi="Times New Roman"/>
                <w:sz w:val="20"/>
                <w:szCs w:val="20"/>
              </w:rPr>
            </w:pPr>
          </w:p>
        </w:tc>
      </w:tr>
      <w:tr w:rsidR="00D82087" w:rsidRPr="00D82087" w14:paraId="7A5C9204" w14:textId="77777777" w:rsidTr="00D82087">
        <w:trPr>
          <w:trHeight w:val="308"/>
        </w:trPr>
        <w:tc>
          <w:tcPr>
            <w:tcW w:w="5360" w:type="dxa"/>
            <w:tcBorders>
              <w:top w:val="nil"/>
              <w:left w:val="nil"/>
              <w:bottom w:val="nil"/>
              <w:right w:val="nil"/>
            </w:tcBorders>
            <w:shd w:val="clear" w:color="auto" w:fill="auto"/>
            <w:noWrap/>
            <w:vAlign w:val="bottom"/>
            <w:hideMark/>
          </w:tcPr>
          <w:p w14:paraId="70260280" w14:textId="77777777" w:rsidR="00D82087" w:rsidRPr="00D82087" w:rsidRDefault="00D82087" w:rsidP="00D82087">
            <w:pPr>
              <w:spacing w:after="0" w:line="240" w:lineRule="auto"/>
              <w:jc w:val="right"/>
              <w:rPr>
                <w:rFonts w:ascii="Times New Roman" w:eastAsia="Times New Roman" w:hAnsi="Times New Roman"/>
                <w:sz w:val="20"/>
                <w:szCs w:val="20"/>
              </w:rPr>
            </w:pPr>
          </w:p>
        </w:tc>
        <w:tc>
          <w:tcPr>
            <w:tcW w:w="1540" w:type="dxa"/>
            <w:tcBorders>
              <w:top w:val="nil"/>
              <w:left w:val="nil"/>
              <w:bottom w:val="nil"/>
              <w:right w:val="nil"/>
            </w:tcBorders>
            <w:shd w:val="clear" w:color="auto" w:fill="auto"/>
            <w:noWrap/>
            <w:vAlign w:val="bottom"/>
            <w:hideMark/>
          </w:tcPr>
          <w:p w14:paraId="7D3AD179" w14:textId="77777777" w:rsidR="00D82087" w:rsidRPr="00D82087" w:rsidRDefault="00D82087" w:rsidP="00D82087">
            <w:pPr>
              <w:spacing w:after="0" w:line="240" w:lineRule="auto"/>
              <w:rPr>
                <w:rFonts w:ascii="Times New Roman" w:eastAsia="Times New Roman" w:hAnsi="Times New Roman"/>
                <w:sz w:val="20"/>
                <w:szCs w:val="20"/>
              </w:rPr>
            </w:pPr>
          </w:p>
        </w:tc>
        <w:tc>
          <w:tcPr>
            <w:tcW w:w="180" w:type="dxa"/>
            <w:tcBorders>
              <w:top w:val="nil"/>
              <w:left w:val="nil"/>
              <w:bottom w:val="nil"/>
              <w:right w:val="nil"/>
            </w:tcBorders>
            <w:shd w:val="clear" w:color="auto" w:fill="auto"/>
            <w:noWrap/>
            <w:vAlign w:val="bottom"/>
            <w:hideMark/>
          </w:tcPr>
          <w:p w14:paraId="5482FB3A" w14:textId="77777777" w:rsidR="00D82087" w:rsidRPr="00D82087" w:rsidRDefault="00D82087" w:rsidP="00D82087">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3FECCC0B" w14:textId="77777777" w:rsidR="00D82087" w:rsidRPr="00D82087" w:rsidRDefault="00D82087" w:rsidP="00D82087">
            <w:pPr>
              <w:spacing w:after="0" w:line="240" w:lineRule="auto"/>
              <w:rPr>
                <w:rFonts w:ascii="Times New Roman" w:eastAsia="Times New Roman" w:hAnsi="Times New Roman"/>
                <w:sz w:val="20"/>
                <w:szCs w:val="20"/>
              </w:rPr>
            </w:pPr>
          </w:p>
        </w:tc>
      </w:tr>
      <w:tr w:rsidR="00D82087" w:rsidRPr="00D82087" w14:paraId="4C39B64B" w14:textId="77777777" w:rsidTr="00D82087">
        <w:trPr>
          <w:trHeight w:val="308"/>
        </w:trPr>
        <w:tc>
          <w:tcPr>
            <w:tcW w:w="8280" w:type="dxa"/>
            <w:gridSpan w:val="4"/>
            <w:tcBorders>
              <w:top w:val="nil"/>
              <w:left w:val="nil"/>
              <w:bottom w:val="nil"/>
              <w:right w:val="nil"/>
            </w:tcBorders>
            <w:shd w:val="clear" w:color="auto" w:fill="auto"/>
            <w:noWrap/>
            <w:vAlign w:val="bottom"/>
            <w:hideMark/>
          </w:tcPr>
          <w:p w14:paraId="4C5AA35B" w14:textId="77777777" w:rsidR="00D82087" w:rsidRPr="00D82087" w:rsidRDefault="00D82087" w:rsidP="00D82087">
            <w:pPr>
              <w:spacing w:after="0" w:line="240" w:lineRule="auto"/>
              <w:jc w:val="center"/>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INCOME STATEMENTS</w:t>
            </w:r>
          </w:p>
        </w:tc>
      </w:tr>
      <w:tr w:rsidR="00D82087" w:rsidRPr="00D82087" w14:paraId="485AD6F6" w14:textId="77777777" w:rsidTr="00D82087">
        <w:trPr>
          <w:trHeight w:val="308"/>
        </w:trPr>
        <w:tc>
          <w:tcPr>
            <w:tcW w:w="8280" w:type="dxa"/>
            <w:gridSpan w:val="4"/>
            <w:tcBorders>
              <w:top w:val="nil"/>
              <w:left w:val="nil"/>
              <w:bottom w:val="nil"/>
              <w:right w:val="nil"/>
            </w:tcBorders>
            <w:shd w:val="clear" w:color="auto" w:fill="auto"/>
            <w:noWrap/>
            <w:vAlign w:val="bottom"/>
            <w:hideMark/>
          </w:tcPr>
          <w:p w14:paraId="5D134C16" w14:textId="77777777" w:rsidR="00D82087" w:rsidRPr="00D82087" w:rsidRDefault="00D82087" w:rsidP="00D82087">
            <w:pPr>
              <w:spacing w:after="0" w:line="240" w:lineRule="auto"/>
              <w:jc w:val="center"/>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(In millions, except per share </w:t>
            </w:r>
            <w:proofErr w:type="gramStart"/>
            <w:r w:rsidRPr="00D82087">
              <w:rPr>
                <w:rFonts w:ascii="Segoe UI" w:eastAsia="Times New Roman" w:hAnsi="Segoe UI" w:cs="Segoe UI"/>
                <w:color w:val="666666"/>
                <w:sz w:val="20"/>
                <w:szCs w:val="20"/>
              </w:rPr>
              <w:t>amounts)(</w:t>
            </w:r>
            <w:proofErr w:type="gramEnd"/>
            <w:r w:rsidRPr="00D82087">
              <w:rPr>
                <w:rFonts w:ascii="Segoe UI" w:eastAsia="Times New Roman" w:hAnsi="Segoe UI" w:cs="Segoe UI"/>
                <w:color w:val="666666"/>
                <w:sz w:val="20"/>
                <w:szCs w:val="20"/>
              </w:rPr>
              <w:t>Unaudited)</w:t>
            </w:r>
          </w:p>
        </w:tc>
      </w:tr>
      <w:tr w:rsidR="00D82087" w:rsidRPr="00D82087" w14:paraId="142586D1" w14:textId="77777777" w:rsidTr="00D82087">
        <w:trPr>
          <w:trHeight w:val="308"/>
        </w:trPr>
        <w:tc>
          <w:tcPr>
            <w:tcW w:w="5360" w:type="dxa"/>
            <w:tcBorders>
              <w:top w:val="nil"/>
              <w:left w:val="nil"/>
              <w:bottom w:val="nil"/>
              <w:right w:val="nil"/>
            </w:tcBorders>
            <w:shd w:val="clear" w:color="auto" w:fill="auto"/>
            <w:noWrap/>
            <w:vAlign w:val="bottom"/>
            <w:hideMark/>
          </w:tcPr>
          <w:p w14:paraId="5FF57594" w14:textId="77777777" w:rsidR="00D82087" w:rsidRPr="00D82087" w:rsidRDefault="00D82087" w:rsidP="00D82087">
            <w:pPr>
              <w:spacing w:after="0" w:line="240" w:lineRule="auto"/>
              <w:jc w:val="center"/>
              <w:rPr>
                <w:rFonts w:ascii="Segoe UI" w:eastAsia="Times New Roman" w:hAnsi="Segoe UI" w:cs="Segoe UI"/>
                <w:color w:val="666666"/>
                <w:sz w:val="20"/>
                <w:szCs w:val="20"/>
              </w:rPr>
            </w:pPr>
          </w:p>
        </w:tc>
        <w:tc>
          <w:tcPr>
            <w:tcW w:w="1540" w:type="dxa"/>
            <w:tcBorders>
              <w:top w:val="nil"/>
              <w:left w:val="nil"/>
              <w:bottom w:val="nil"/>
              <w:right w:val="nil"/>
            </w:tcBorders>
            <w:shd w:val="clear" w:color="auto" w:fill="auto"/>
            <w:noWrap/>
            <w:vAlign w:val="bottom"/>
            <w:hideMark/>
          </w:tcPr>
          <w:p w14:paraId="66ACA347" w14:textId="77777777" w:rsidR="00D82087" w:rsidRPr="00D82087" w:rsidRDefault="00D82087" w:rsidP="00D82087">
            <w:pPr>
              <w:spacing w:after="0" w:line="240" w:lineRule="auto"/>
              <w:jc w:val="center"/>
              <w:rPr>
                <w:rFonts w:ascii="Times New Roman" w:eastAsia="Times New Roman" w:hAnsi="Times New Roman"/>
                <w:sz w:val="20"/>
                <w:szCs w:val="20"/>
              </w:rPr>
            </w:pPr>
          </w:p>
        </w:tc>
        <w:tc>
          <w:tcPr>
            <w:tcW w:w="180" w:type="dxa"/>
            <w:tcBorders>
              <w:top w:val="nil"/>
              <w:left w:val="nil"/>
              <w:bottom w:val="nil"/>
              <w:right w:val="nil"/>
            </w:tcBorders>
            <w:shd w:val="clear" w:color="auto" w:fill="auto"/>
            <w:noWrap/>
            <w:vAlign w:val="bottom"/>
            <w:hideMark/>
          </w:tcPr>
          <w:p w14:paraId="0800C5F2" w14:textId="77777777" w:rsidR="00D82087" w:rsidRPr="00D82087" w:rsidRDefault="00D82087" w:rsidP="00D82087">
            <w:pPr>
              <w:spacing w:after="0" w:line="240" w:lineRule="auto"/>
              <w:jc w:val="center"/>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20B67EA7" w14:textId="77777777" w:rsidR="00D82087" w:rsidRPr="00D82087" w:rsidRDefault="00D82087" w:rsidP="00D82087">
            <w:pPr>
              <w:spacing w:after="0" w:line="240" w:lineRule="auto"/>
              <w:jc w:val="center"/>
              <w:rPr>
                <w:rFonts w:ascii="Times New Roman" w:eastAsia="Times New Roman" w:hAnsi="Times New Roman"/>
                <w:sz w:val="20"/>
                <w:szCs w:val="20"/>
              </w:rPr>
            </w:pPr>
          </w:p>
        </w:tc>
      </w:tr>
      <w:tr w:rsidR="00D82087" w:rsidRPr="00D82087" w14:paraId="070C8686" w14:textId="77777777" w:rsidTr="00D82087">
        <w:trPr>
          <w:trHeight w:val="300"/>
        </w:trPr>
        <w:tc>
          <w:tcPr>
            <w:tcW w:w="5360" w:type="dxa"/>
            <w:tcBorders>
              <w:top w:val="nil"/>
              <w:left w:val="nil"/>
              <w:bottom w:val="nil"/>
              <w:right w:val="nil"/>
            </w:tcBorders>
            <w:shd w:val="clear" w:color="auto" w:fill="auto"/>
            <w:noWrap/>
            <w:vAlign w:val="bottom"/>
            <w:hideMark/>
          </w:tcPr>
          <w:p w14:paraId="7EB1B19A" w14:textId="77777777" w:rsidR="00D82087" w:rsidRPr="00D82087" w:rsidRDefault="00D82087" w:rsidP="00D82087">
            <w:pPr>
              <w:spacing w:after="0" w:line="240" w:lineRule="auto"/>
              <w:jc w:val="center"/>
              <w:rPr>
                <w:rFonts w:ascii="Times New Roman" w:eastAsia="Times New Roman" w:hAnsi="Times New Roman"/>
                <w:sz w:val="20"/>
                <w:szCs w:val="20"/>
              </w:rPr>
            </w:pPr>
          </w:p>
        </w:tc>
        <w:tc>
          <w:tcPr>
            <w:tcW w:w="2920" w:type="dxa"/>
            <w:gridSpan w:val="3"/>
            <w:vMerge w:val="restart"/>
            <w:tcBorders>
              <w:top w:val="nil"/>
              <w:left w:val="nil"/>
              <w:bottom w:val="nil"/>
              <w:right w:val="nil"/>
            </w:tcBorders>
            <w:shd w:val="clear" w:color="auto" w:fill="auto"/>
            <w:vAlign w:val="bottom"/>
            <w:hideMark/>
          </w:tcPr>
          <w:p w14:paraId="01F74B33"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Three Months Ended September 30,</w:t>
            </w:r>
          </w:p>
        </w:tc>
      </w:tr>
      <w:tr w:rsidR="00D82087" w:rsidRPr="00D82087" w14:paraId="7F152652" w14:textId="77777777" w:rsidTr="00D82087">
        <w:trPr>
          <w:trHeight w:val="308"/>
        </w:trPr>
        <w:tc>
          <w:tcPr>
            <w:tcW w:w="5360" w:type="dxa"/>
            <w:tcBorders>
              <w:top w:val="nil"/>
              <w:left w:val="nil"/>
              <w:bottom w:val="nil"/>
              <w:right w:val="nil"/>
            </w:tcBorders>
            <w:shd w:val="clear" w:color="auto" w:fill="auto"/>
            <w:noWrap/>
            <w:vAlign w:val="bottom"/>
            <w:hideMark/>
          </w:tcPr>
          <w:p w14:paraId="06916F7E"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2920" w:type="dxa"/>
            <w:gridSpan w:val="3"/>
            <w:vMerge/>
            <w:tcBorders>
              <w:top w:val="nil"/>
              <w:left w:val="nil"/>
              <w:bottom w:val="nil"/>
              <w:right w:val="nil"/>
            </w:tcBorders>
            <w:vAlign w:val="center"/>
            <w:hideMark/>
          </w:tcPr>
          <w:p w14:paraId="146EF0B6" w14:textId="77777777" w:rsidR="00D82087" w:rsidRPr="00D82087" w:rsidRDefault="00D82087" w:rsidP="00D82087">
            <w:pPr>
              <w:spacing w:after="0" w:line="240" w:lineRule="auto"/>
              <w:rPr>
                <w:rFonts w:ascii="Segoe UI" w:eastAsia="Times New Roman" w:hAnsi="Segoe UI" w:cs="Segoe UI"/>
                <w:b/>
                <w:bCs/>
                <w:color w:val="666666"/>
                <w:sz w:val="20"/>
                <w:szCs w:val="20"/>
              </w:rPr>
            </w:pPr>
          </w:p>
        </w:tc>
      </w:tr>
      <w:tr w:rsidR="00D82087" w:rsidRPr="00D82087" w14:paraId="59825B0D" w14:textId="77777777" w:rsidTr="00D82087">
        <w:trPr>
          <w:trHeight w:val="308"/>
        </w:trPr>
        <w:tc>
          <w:tcPr>
            <w:tcW w:w="5360" w:type="dxa"/>
            <w:tcBorders>
              <w:top w:val="nil"/>
              <w:left w:val="nil"/>
              <w:bottom w:val="single" w:sz="4" w:space="0" w:color="auto"/>
              <w:right w:val="nil"/>
            </w:tcBorders>
            <w:shd w:val="clear" w:color="auto" w:fill="auto"/>
            <w:noWrap/>
            <w:vAlign w:val="bottom"/>
            <w:hideMark/>
          </w:tcPr>
          <w:p w14:paraId="696C178A" w14:textId="77777777" w:rsidR="00D82087" w:rsidRPr="00D82087" w:rsidRDefault="00D82087" w:rsidP="00D82087">
            <w:pPr>
              <w:spacing w:after="0" w:line="240" w:lineRule="auto"/>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w:t>
            </w:r>
          </w:p>
        </w:tc>
        <w:tc>
          <w:tcPr>
            <w:tcW w:w="1540" w:type="dxa"/>
            <w:tcBorders>
              <w:top w:val="nil"/>
              <w:left w:val="nil"/>
              <w:bottom w:val="single" w:sz="4" w:space="0" w:color="auto"/>
              <w:right w:val="nil"/>
            </w:tcBorders>
            <w:shd w:val="clear" w:color="auto" w:fill="auto"/>
            <w:noWrap/>
            <w:vAlign w:val="bottom"/>
            <w:hideMark/>
          </w:tcPr>
          <w:p w14:paraId="72CFFDCB"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2017</w:t>
            </w:r>
          </w:p>
        </w:tc>
        <w:tc>
          <w:tcPr>
            <w:tcW w:w="180" w:type="dxa"/>
            <w:tcBorders>
              <w:top w:val="nil"/>
              <w:left w:val="nil"/>
              <w:bottom w:val="single" w:sz="4" w:space="0" w:color="auto"/>
              <w:right w:val="nil"/>
            </w:tcBorders>
            <w:shd w:val="clear" w:color="auto" w:fill="auto"/>
            <w:noWrap/>
            <w:vAlign w:val="bottom"/>
            <w:hideMark/>
          </w:tcPr>
          <w:p w14:paraId="30484DD5"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60DEAC3C"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2016</w:t>
            </w:r>
          </w:p>
        </w:tc>
      </w:tr>
      <w:tr w:rsidR="00D82087" w:rsidRPr="00D82087" w14:paraId="2BC4F6A5" w14:textId="77777777" w:rsidTr="00D82087">
        <w:trPr>
          <w:trHeight w:val="308"/>
        </w:trPr>
        <w:tc>
          <w:tcPr>
            <w:tcW w:w="5360" w:type="dxa"/>
            <w:tcBorders>
              <w:top w:val="nil"/>
              <w:left w:val="nil"/>
              <w:bottom w:val="nil"/>
              <w:right w:val="nil"/>
            </w:tcBorders>
            <w:shd w:val="clear" w:color="auto" w:fill="auto"/>
            <w:noWrap/>
            <w:vAlign w:val="bottom"/>
            <w:hideMark/>
          </w:tcPr>
          <w:p w14:paraId="78EBF915"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Revenue:</w:t>
            </w:r>
          </w:p>
        </w:tc>
        <w:tc>
          <w:tcPr>
            <w:tcW w:w="1540" w:type="dxa"/>
            <w:tcBorders>
              <w:top w:val="nil"/>
              <w:left w:val="nil"/>
              <w:bottom w:val="nil"/>
              <w:right w:val="nil"/>
            </w:tcBorders>
            <w:shd w:val="clear" w:color="auto" w:fill="auto"/>
            <w:noWrap/>
            <w:vAlign w:val="bottom"/>
            <w:hideMark/>
          </w:tcPr>
          <w:p w14:paraId="0FBF8209" w14:textId="77777777" w:rsidR="00D82087" w:rsidRPr="00D82087" w:rsidRDefault="00D82087" w:rsidP="00D82087">
            <w:pPr>
              <w:spacing w:after="0" w:line="240" w:lineRule="auto"/>
              <w:rPr>
                <w:rFonts w:ascii="Segoe UI" w:eastAsia="Times New Roman" w:hAnsi="Segoe UI" w:cs="Segoe UI"/>
                <w:color w:val="666666"/>
                <w:sz w:val="20"/>
                <w:szCs w:val="20"/>
              </w:rPr>
            </w:pPr>
          </w:p>
        </w:tc>
        <w:tc>
          <w:tcPr>
            <w:tcW w:w="180" w:type="dxa"/>
            <w:tcBorders>
              <w:top w:val="nil"/>
              <w:left w:val="nil"/>
              <w:bottom w:val="nil"/>
              <w:right w:val="nil"/>
            </w:tcBorders>
            <w:shd w:val="clear" w:color="auto" w:fill="auto"/>
            <w:noWrap/>
            <w:vAlign w:val="bottom"/>
            <w:hideMark/>
          </w:tcPr>
          <w:p w14:paraId="40EC39DC" w14:textId="77777777" w:rsidR="00D82087" w:rsidRPr="00D82087" w:rsidRDefault="00D82087" w:rsidP="00D82087">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4174754E" w14:textId="77777777" w:rsidR="00D82087" w:rsidRPr="00D82087" w:rsidRDefault="00D82087" w:rsidP="00D82087">
            <w:pPr>
              <w:spacing w:after="0" w:line="240" w:lineRule="auto"/>
              <w:jc w:val="right"/>
              <w:rPr>
                <w:rFonts w:ascii="Times New Roman" w:eastAsia="Times New Roman" w:hAnsi="Times New Roman"/>
                <w:sz w:val="20"/>
                <w:szCs w:val="20"/>
              </w:rPr>
            </w:pPr>
          </w:p>
        </w:tc>
      </w:tr>
      <w:tr w:rsidR="00D82087" w:rsidRPr="00D82087" w14:paraId="1F1EBD61" w14:textId="77777777" w:rsidTr="00D82087">
        <w:trPr>
          <w:trHeight w:val="308"/>
        </w:trPr>
        <w:tc>
          <w:tcPr>
            <w:tcW w:w="5360" w:type="dxa"/>
            <w:tcBorders>
              <w:top w:val="nil"/>
              <w:left w:val="nil"/>
              <w:bottom w:val="nil"/>
              <w:right w:val="nil"/>
            </w:tcBorders>
            <w:shd w:val="clear" w:color="auto" w:fill="auto"/>
            <w:noWrap/>
            <w:vAlign w:val="bottom"/>
            <w:hideMark/>
          </w:tcPr>
          <w:p w14:paraId="3E36F275"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Product</w:t>
            </w:r>
          </w:p>
        </w:tc>
        <w:tc>
          <w:tcPr>
            <w:tcW w:w="1540" w:type="dxa"/>
            <w:tcBorders>
              <w:top w:val="nil"/>
              <w:left w:val="nil"/>
              <w:bottom w:val="nil"/>
              <w:right w:val="nil"/>
            </w:tcBorders>
            <w:shd w:val="clear" w:color="auto" w:fill="auto"/>
            <w:noWrap/>
            <w:vAlign w:val="bottom"/>
            <w:hideMark/>
          </w:tcPr>
          <w:p w14:paraId="5D00362A"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 $14,298 </w:t>
            </w:r>
          </w:p>
        </w:tc>
        <w:tc>
          <w:tcPr>
            <w:tcW w:w="180" w:type="dxa"/>
            <w:tcBorders>
              <w:top w:val="nil"/>
              <w:left w:val="nil"/>
              <w:bottom w:val="nil"/>
              <w:right w:val="nil"/>
            </w:tcBorders>
            <w:shd w:val="clear" w:color="auto" w:fill="auto"/>
            <w:noWrap/>
            <w:vAlign w:val="bottom"/>
            <w:hideMark/>
          </w:tcPr>
          <w:p w14:paraId="6C2AC3EB"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3FAB0655"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$14,968 </w:t>
            </w:r>
          </w:p>
        </w:tc>
      </w:tr>
      <w:tr w:rsidR="00D82087" w:rsidRPr="00D82087" w14:paraId="6980008E" w14:textId="77777777" w:rsidTr="00D82087">
        <w:trPr>
          <w:trHeight w:val="308"/>
        </w:trPr>
        <w:tc>
          <w:tcPr>
            <w:tcW w:w="5360" w:type="dxa"/>
            <w:tcBorders>
              <w:top w:val="nil"/>
              <w:left w:val="nil"/>
              <w:bottom w:val="single" w:sz="4" w:space="0" w:color="auto"/>
              <w:right w:val="nil"/>
            </w:tcBorders>
            <w:shd w:val="clear" w:color="auto" w:fill="auto"/>
            <w:noWrap/>
            <w:vAlign w:val="bottom"/>
            <w:hideMark/>
          </w:tcPr>
          <w:p w14:paraId="7953E530"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Service and other</w:t>
            </w:r>
          </w:p>
        </w:tc>
        <w:tc>
          <w:tcPr>
            <w:tcW w:w="1540" w:type="dxa"/>
            <w:tcBorders>
              <w:top w:val="nil"/>
              <w:left w:val="nil"/>
              <w:bottom w:val="single" w:sz="4" w:space="0" w:color="auto"/>
              <w:right w:val="nil"/>
            </w:tcBorders>
            <w:shd w:val="clear" w:color="auto" w:fill="auto"/>
            <w:noWrap/>
            <w:vAlign w:val="bottom"/>
            <w:hideMark/>
          </w:tcPr>
          <w:p w14:paraId="228C500F"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10,240 </w:t>
            </w:r>
          </w:p>
        </w:tc>
        <w:tc>
          <w:tcPr>
            <w:tcW w:w="180" w:type="dxa"/>
            <w:tcBorders>
              <w:top w:val="nil"/>
              <w:left w:val="nil"/>
              <w:bottom w:val="nil"/>
              <w:right w:val="nil"/>
            </w:tcBorders>
            <w:shd w:val="clear" w:color="auto" w:fill="auto"/>
            <w:noWrap/>
            <w:vAlign w:val="bottom"/>
            <w:hideMark/>
          </w:tcPr>
          <w:p w14:paraId="7BE81F65"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13095EA1"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6,960 </w:t>
            </w:r>
          </w:p>
        </w:tc>
      </w:tr>
      <w:tr w:rsidR="00D82087" w:rsidRPr="00D82087" w14:paraId="72B72C54" w14:textId="77777777" w:rsidTr="00D82087">
        <w:trPr>
          <w:trHeight w:val="308"/>
        </w:trPr>
        <w:tc>
          <w:tcPr>
            <w:tcW w:w="5360" w:type="dxa"/>
            <w:tcBorders>
              <w:top w:val="nil"/>
              <w:left w:val="nil"/>
              <w:bottom w:val="single" w:sz="4" w:space="0" w:color="auto"/>
              <w:right w:val="nil"/>
            </w:tcBorders>
            <w:shd w:val="clear" w:color="auto" w:fill="auto"/>
            <w:noWrap/>
            <w:vAlign w:val="bottom"/>
            <w:hideMark/>
          </w:tcPr>
          <w:p w14:paraId="6EA23F05"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Total revenue</w:t>
            </w:r>
          </w:p>
        </w:tc>
        <w:tc>
          <w:tcPr>
            <w:tcW w:w="1540" w:type="dxa"/>
            <w:tcBorders>
              <w:top w:val="nil"/>
              <w:left w:val="nil"/>
              <w:bottom w:val="single" w:sz="4" w:space="0" w:color="auto"/>
              <w:right w:val="nil"/>
            </w:tcBorders>
            <w:shd w:val="clear" w:color="auto" w:fill="auto"/>
            <w:noWrap/>
            <w:vAlign w:val="bottom"/>
            <w:hideMark/>
          </w:tcPr>
          <w:p w14:paraId="6158912F"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24,538 </w:t>
            </w:r>
          </w:p>
        </w:tc>
        <w:tc>
          <w:tcPr>
            <w:tcW w:w="180" w:type="dxa"/>
            <w:tcBorders>
              <w:top w:val="nil"/>
              <w:left w:val="nil"/>
              <w:bottom w:val="nil"/>
              <w:right w:val="nil"/>
            </w:tcBorders>
            <w:shd w:val="clear" w:color="auto" w:fill="auto"/>
            <w:noWrap/>
            <w:vAlign w:val="bottom"/>
            <w:hideMark/>
          </w:tcPr>
          <w:p w14:paraId="1DC6A758"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690EAAB1"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21,928 </w:t>
            </w:r>
          </w:p>
        </w:tc>
      </w:tr>
      <w:tr w:rsidR="00D82087" w:rsidRPr="00D82087" w14:paraId="51A395E7" w14:textId="77777777" w:rsidTr="00D82087">
        <w:trPr>
          <w:trHeight w:val="308"/>
        </w:trPr>
        <w:tc>
          <w:tcPr>
            <w:tcW w:w="5360" w:type="dxa"/>
            <w:tcBorders>
              <w:top w:val="nil"/>
              <w:left w:val="nil"/>
              <w:bottom w:val="nil"/>
              <w:right w:val="nil"/>
            </w:tcBorders>
            <w:shd w:val="clear" w:color="auto" w:fill="auto"/>
            <w:noWrap/>
            <w:vAlign w:val="bottom"/>
            <w:hideMark/>
          </w:tcPr>
          <w:p w14:paraId="782C7F29"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Cost of revenue:</w:t>
            </w:r>
          </w:p>
        </w:tc>
        <w:tc>
          <w:tcPr>
            <w:tcW w:w="1540" w:type="dxa"/>
            <w:tcBorders>
              <w:top w:val="nil"/>
              <w:left w:val="nil"/>
              <w:bottom w:val="nil"/>
              <w:right w:val="nil"/>
            </w:tcBorders>
            <w:shd w:val="clear" w:color="auto" w:fill="auto"/>
            <w:noWrap/>
            <w:vAlign w:val="bottom"/>
            <w:hideMark/>
          </w:tcPr>
          <w:p w14:paraId="5E17306B" w14:textId="77777777" w:rsidR="00D82087" w:rsidRPr="00D82087" w:rsidRDefault="00D82087" w:rsidP="00D82087">
            <w:pPr>
              <w:spacing w:after="0" w:line="240" w:lineRule="auto"/>
              <w:rPr>
                <w:rFonts w:ascii="Segoe UI" w:eastAsia="Times New Roman" w:hAnsi="Segoe UI" w:cs="Segoe UI"/>
                <w:color w:val="666666"/>
                <w:sz w:val="20"/>
                <w:szCs w:val="20"/>
              </w:rPr>
            </w:pPr>
          </w:p>
        </w:tc>
        <w:tc>
          <w:tcPr>
            <w:tcW w:w="180" w:type="dxa"/>
            <w:tcBorders>
              <w:top w:val="nil"/>
              <w:left w:val="nil"/>
              <w:bottom w:val="nil"/>
              <w:right w:val="nil"/>
            </w:tcBorders>
            <w:shd w:val="clear" w:color="auto" w:fill="auto"/>
            <w:noWrap/>
            <w:vAlign w:val="bottom"/>
            <w:hideMark/>
          </w:tcPr>
          <w:p w14:paraId="3AA961B2" w14:textId="77777777" w:rsidR="00D82087" w:rsidRPr="00D82087" w:rsidRDefault="00D82087" w:rsidP="00D82087">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0F15C7ED" w14:textId="77777777" w:rsidR="00D82087" w:rsidRPr="00D82087" w:rsidRDefault="00D82087" w:rsidP="00D82087">
            <w:pPr>
              <w:spacing w:after="0" w:line="240" w:lineRule="auto"/>
              <w:jc w:val="right"/>
              <w:rPr>
                <w:rFonts w:ascii="Times New Roman" w:eastAsia="Times New Roman" w:hAnsi="Times New Roman"/>
                <w:sz w:val="20"/>
                <w:szCs w:val="20"/>
              </w:rPr>
            </w:pPr>
          </w:p>
        </w:tc>
      </w:tr>
      <w:tr w:rsidR="00D82087" w:rsidRPr="00D82087" w14:paraId="0F9938F6" w14:textId="77777777" w:rsidTr="00D82087">
        <w:trPr>
          <w:trHeight w:val="308"/>
        </w:trPr>
        <w:tc>
          <w:tcPr>
            <w:tcW w:w="5360" w:type="dxa"/>
            <w:tcBorders>
              <w:top w:val="nil"/>
              <w:left w:val="nil"/>
              <w:bottom w:val="nil"/>
              <w:right w:val="nil"/>
            </w:tcBorders>
            <w:shd w:val="clear" w:color="auto" w:fill="auto"/>
            <w:noWrap/>
            <w:vAlign w:val="bottom"/>
            <w:hideMark/>
          </w:tcPr>
          <w:p w14:paraId="0BBAB1B6"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Product</w:t>
            </w:r>
          </w:p>
        </w:tc>
        <w:tc>
          <w:tcPr>
            <w:tcW w:w="1540" w:type="dxa"/>
            <w:tcBorders>
              <w:top w:val="nil"/>
              <w:left w:val="nil"/>
              <w:bottom w:val="nil"/>
              <w:right w:val="nil"/>
            </w:tcBorders>
            <w:shd w:val="clear" w:color="auto" w:fill="auto"/>
            <w:noWrap/>
            <w:vAlign w:val="bottom"/>
            <w:hideMark/>
          </w:tcPr>
          <w:p w14:paraId="14405116"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2,980 </w:t>
            </w:r>
          </w:p>
        </w:tc>
        <w:tc>
          <w:tcPr>
            <w:tcW w:w="180" w:type="dxa"/>
            <w:tcBorders>
              <w:top w:val="nil"/>
              <w:left w:val="nil"/>
              <w:bottom w:val="nil"/>
              <w:right w:val="nil"/>
            </w:tcBorders>
            <w:shd w:val="clear" w:color="auto" w:fill="auto"/>
            <w:noWrap/>
            <w:vAlign w:val="bottom"/>
            <w:hideMark/>
          </w:tcPr>
          <w:p w14:paraId="027374CA"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22541AEA"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3,581 </w:t>
            </w:r>
          </w:p>
        </w:tc>
      </w:tr>
      <w:tr w:rsidR="00D82087" w:rsidRPr="00D82087" w14:paraId="1E8F5C00" w14:textId="77777777" w:rsidTr="00D82087">
        <w:trPr>
          <w:trHeight w:val="308"/>
        </w:trPr>
        <w:tc>
          <w:tcPr>
            <w:tcW w:w="5360" w:type="dxa"/>
            <w:tcBorders>
              <w:top w:val="nil"/>
              <w:left w:val="nil"/>
              <w:bottom w:val="single" w:sz="4" w:space="0" w:color="auto"/>
              <w:right w:val="nil"/>
            </w:tcBorders>
            <w:shd w:val="clear" w:color="auto" w:fill="auto"/>
            <w:noWrap/>
            <w:vAlign w:val="bottom"/>
            <w:hideMark/>
          </w:tcPr>
          <w:p w14:paraId="042AF775"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Service and other</w:t>
            </w:r>
          </w:p>
        </w:tc>
        <w:tc>
          <w:tcPr>
            <w:tcW w:w="1540" w:type="dxa"/>
            <w:tcBorders>
              <w:top w:val="nil"/>
              <w:left w:val="nil"/>
              <w:bottom w:val="single" w:sz="4" w:space="0" w:color="auto"/>
              <w:right w:val="nil"/>
            </w:tcBorders>
            <w:shd w:val="clear" w:color="auto" w:fill="auto"/>
            <w:noWrap/>
            <w:vAlign w:val="bottom"/>
            <w:hideMark/>
          </w:tcPr>
          <w:p w14:paraId="7F63FEEB"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5,298 </w:t>
            </w:r>
          </w:p>
        </w:tc>
        <w:tc>
          <w:tcPr>
            <w:tcW w:w="180" w:type="dxa"/>
            <w:tcBorders>
              <w:top w:val="nil"/>
              <w:left w:val="nil"/>
              <w:bottom w:val="nil"/>
              <w:right w:val="nil"/>
            </w:tcBorders>
            <w:shd w:val="clear" w:color="auto" w:fill="auto"/>
            <w:noWrap/>
            <w:vAlign w:val="bottom"/>
            <w:hideMark/>
          </w:tcPr>
          <w:p w14:paraId="3A377F26"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7E159F5B"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4,263 </w:t>
            </w:r>
          </w:p>
        </w:tc>
      </w:tr>
      <w:tr w:rsidR="00D82087" w:rsidRPr="00D82087" w14:paraId="26D58985" w14:textId="77777777" w:rsidTr="00D82087">
        <w:trPr>
          <w:trHeight w:val="308"/>
        </w:trPr>
        <w:tc>
          <w:tcPr>
            <w:tcW w:w="5360" w:type="dxa"/>
            <w:tcBorders>
              <w:top w:val="nil"/>
              <w:left w:val="nil"/>
              <w:bottom w:val="single" w:sz="4" w:space="0" w:color="auto"/>
              <w:right w:val="nil"/>
            </w:tcBorders>
            <w:shd w:val="clear" w:color="auto" w:fill="auto"/>
            <w:noWrap/>
            <w:vAlign w:val="bottom"/>
            <w:hideMark/>
          </w:tcPr>
          <w:p w14:paraId="7CC91BE0"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Total cost of revenue</w:t>
            </w:r>
          </w:p>
        </w:tc>
        <w:tc>
          <w:tcPr>
            <w:tcW w:w="1540" w:type="dxa"/>
            <w:tcBorders>
              <w:top w:val="nil"/>
              <w:left w:val="nil"/>
              <w:bottom w:val="single" w:sz="4" w:space="0" w:color="auto"/>
              <w:right w:val="nil"/>
            </w:tcBorders>
            <w:shd w:val="clear" w:color="auto" w:fill="auto"/>
            <w:noWrap/>
            <w:vAlign w:val="bottom"/>
            <w:hideMark/>
          </w:tcPr>
          <w:p w14:paraId="4A3F6333"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8,278 </w:t>
            </w:r>
          </w:p>
        </w:tc>
        <w:tc>
          <w:tcPr>
            <w:tcW w:w="180" w:type="dxa"/>
            <w:tcBorders>
              <w:top w:val="nil"/>
              <w:left w:val="nil"/>
              <w:bottom w:val="nil"/>
              <w:right w:val="nil"/>
            </w:tcBorders>
            <w:shd w:val="clear" w:color="auto" w:fill="auto"/>
            <w:noWrap/>
            <w:vAlign w:val="bottom"/>
            <w:hideMark/>
          </w:tcPr>
          <w:p w14:paraId="7CCD7B0F"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71F6DEFD"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7,844 </w:t>
            </w:r>
          </w:p>
        </w:tc>
      </w:tr>
      <w:tr w:rsidR="00D82087" w:rsidRPr="00D82087" w14:paraId="1B178375" w14:textId="77777777" w:rsidTr="00D82087">
        <w:trPr>
          <w:trHeight w:val="308"/>
        </w:trPr>
        <w:tc>
          <w:tcPr>
            <w:tcW w:w="5360" w:type="dxa"/>
            <w:tcBorders>
              <w:top w:val="nil"/>
              <w:left w:val="nil"/>
              <w:bottom w:val="nil"/>
              <w:right w:val="nil"/>
            </w:tcBorders>
            <w:shd w:val="clear" w:color="auto" w:fill="auto"/>
            <w:noWrap/>
            <w:vAlign w:val="bottom"/>
            <w:hideMark/>
          </w:tcPr>
          <w:p w14:paraId="690985A9"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Gross margin</w:t>
            </w:r>
          </w:p>
        </w:tc>
        <w:tc>
          <w:tcPr>
            <w:tcW w:w="1540" w:type="dxa"/>
            <w:tcBorders>
              <w:top w:val="nil"/>
              <w:left w:val="nil"/>
              <w:bottom w:val="nil"/>
              <w:right w:val="nil"/>
            </w:tcBorders>
            <w:shd w:val="clear" w:color="auto" w:fill="auto"/>
            <w:noWrap/>
            <w:vAlign w:val="bottom"/>
            <w:hideMark/>
          </w:tcPr>
          <w:p w14:paraId="2D599623"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16,260 </w:t>
            </w:r>
          </w:p>
        </w:tc>
        <w:tc>
          <w:tcPr>
            <w:tcW w:w="180" w:type="dxa"/>
            <w:tcBorders>
              <w:top w:val="nil"/>
              <w:left w:val="nil"/>
              <w:bottom w:val="nil"/>
              <w:right w:val="nil"/>
            </w:tcBorders>
            <w:shd w:val="clear" w:color="auto" w:fill="auto"/>
            <w:noWrap/>
            <w:vAlign w:val="bottom"/>
            <w:hideMark/>
          </w:tcPr>
          <w:p w14:paraId="60E18C36"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47CCE91B"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14,084 </w:t>
            </w:r>
          </w:p>
        </w:tc>
      </w:tr>
      <w:tr w:rsidR="00D82087" w:rsidRPr="00D82087" w14:paraId="66BA8B8E" w14:textId="77777777" w:rsidTr="00D82087">
        <w:trPr>
          <w:trHeight w:val="308"/>
        </w:trPr>
        <w:tc>
          <w:tcPr>
            <w:tcW w:w="5360" w:type="dxa"/>
            <w:tcBorders>
              <w:top w:val="nil"/>
              <w:left w:val="nil"/>
              <w:bottom w:val="nil"/>
              <w:right w:val="nil"/>
            </w:tcBorders>
            <w:shd w:val="clear" w:color="auto" w:fill="auto"/>
            <w:noWrap/>
            <w:vAlign w:val="bottom"/>
            <w:hideMark/>
          </w:tcPr>
          <w:p w14:paraId="701AE064"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Research and development </w:t>
            </w:r>
          </w:p>
        </w:tc>
        <w:tc>
          <w:tcPr>
            <w:tcW w:w="1540" w:type="dxa"/>
            <w:tcBorders>
              <w:top w:val="nil"/>
              <w:left w:val="nil"/>
              <w:bottom w:val="nil"/>
              <w:right w:val="nil"/>
            </w:tcBorders>
            <w:shd w:val="clear" w:color="auto" w:fill="auto"/>
            <w:noWrap/>
            <w:vAlign w:val="bottom"/>
            <w:hideMark/>
          </w:tcPr>
          <w:p w14:paraId="521F41B5"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3,574 </w:t>
            </w:r>
          </w:p>
        </w:tc>
        <w:tc>
          <w:tcPr>
            <w:tcW w:w="180" w:type="dxa"/>
            <w:tcBorders>
              <w:top w:val="nil"/>
              <w:left w:val="nil"/>
              <w:bottom w:val="nil"/>
              <w:right w:val="nil"/>
            </w:tcBorders>
            <w:shd w:val="clear" w:color="auto" w:fill="auto"/>
            <w:noWrap/>
            <w:vAlign w:val="bottom"/>
            <w:hideMark/>
          </w:tcPr>
          <w:p w14:paraId="14288D74"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72C766AA"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3,106 </w:t>
            </w:r>
          </w:p>
        </w:tc>
      </w:tr>
      <w:tr w:rsidR="00D82087" w:rsidRPr="00D82087" w14:paraId="6CE5DE9F" w14:textId="77777777" w:rsidTr="00D82087">
        <w:trPr>
          <w:trHeight w:val="308"/>
        </w:trPr>
        <w:tc>
          <w:tcPr>
            <w:tcW w:w="5360" w:type="dxa"/>
            <w:tcBorders>
              <w:top w:val="nil"/>
              <w:left w:val="nil"/>
              <w:bottom w:val="nil"/>
              <w:right w:val="nil"/>
            </w:tcBorders>
            <w:shd w:val="clear" w:color="auto" w:fill="auto"/>
            <w:noWrap/>
            <w:vAlign w:val="bottom"/>
            <w:hideMark/>
          </w:tcPr>
          <w:p w14:paraId="1D88B3E9"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Sales and marketing</w:t>
            </w:r>
          </w:p>
        </w:tc>
        <w:tc>
          <w:tcPr>
            <w:tcW w:w="1540" w:type="dxa"/>
            <w:tcBorders>
              <w:top w:val="nil"/>
              <w:left w:val="nil"/>
              <w:bottom w:val="nil"/>
              <w:right w:val="nil"/>
            </w:tcBorders>
            <w:shd w:val="clear" w:color="auto" w:fill="auto"/>
            <w:noWrap/>
            <w:vAlign w:val="bottom"/>
            <w:hideMark/>
          </w:tcPr>
          <w:p w14:paraId="206AA5A6"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3,812 </w:t>
            </w:r>
          </w:p>
        </w:tc>
        <w:tc>
          <w:tcPr>
            <w:tcW w:w="180" w:type="dxa"/>
            <w:tcBorders>
              <w:top w:val="nil"/>
              <w:left w:val="nil"/>
              <w:bottom w:val="nil"/>
              <w:right w:val="nil"/>
            </w:tcBorders>
            <w:shd w:val="clear" w:color="auto" w:fill="auto"/>
            <w:noWrap/>
            <w:vAlign w:val="bottom"/>
            <w:hideMark/>
          </w:tcPr>
          <w:p w14:paraId="36618707"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5685FA72"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3,218 </w:t>
            </w:r>
          </w:p>
        </w:tc>
      </w:tr>
      <w:tr w:rsidR="00D82087" w:rsidRPr="00D82087" w14:paraId="2658ADEA" w14:textId="77777777" w:rsidTr="00D82087">
        <w:trPr>
          <w:trHeight w:val="308"/>
        </w:trPr>
        <w:tc>
          <w:tcPr>
            <w:tcW w:w="5360" w:type="dxa"/>
            <w:tcBorders>
              <w:top w:val="nil"/>
              <w:left w:val="nil"/>
              <w:bottom w:val="nil"/>
              <w:right w:val="nil"/>
            </w:tcBorders>
            <w:shd w:val="clear" w:color="auto" w:fill="auto"/>
            <w:noWrap/>
            <w:vAlign w:val="bottom"/>
            <w:hideMark/>
          </w:tcPr>
          <w:p w14:paraId="499A7997"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General and administrative </w:t>
            </w:r>
          </w:p>
        </w:tc>
        <w:tc>
          <w:tcPr>
            <w:tcW w:w="1540" w:type="dxa"/>
            <w:tcBorders>
              <w:top w:val="nil"/>
              <w:left w:val="nil"/>
              <w:bottom w:val="nil"/>
              <w:right w:val="nil"/>
            </w:tcBorders>
            <w:shd w:val="clear" w:color="auto" w:fill="auto"/>
            <w:noWrap/>
            <w:vAlign w:val="bottom"/>
            <w:hideMark/>
          </w:tcPr>
          <w:p w14:paraId="46376B33"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1,166 </w:t>
            </w:r>
          </w:p>
        </w:tc>
        <w:tc>
          <w:tcPr>
            <w:tcW w:w="180" w:type="dxa"/>
            <w:tcBorders>
              <w:top w:val="nil"/>
              <w:left w:val="nil"/>
              <w:bottom w:val="nil"/>
              <w:right w:val="nil"/>
            </w:tcBorders>
            <w:shd w:val="clear" w:color="auto" w:fill="auto"/>
            <w:noWrap/>
            <w:vAlign w:val="bottom"/>
            <w:hideMark/>
          </w:tcPr>
          <w:p w14:paraId="57185918"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5C1ED831"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1,045 </w:t>
            </w:r>
          </w:p>
        </w:tc>
      </w:tr>
      <w:tr w:rsidR="00D82087" w:rsidRPr="00D82087" w14:paraId="0A425781" w14:textId="77777777" w:rsidTr="00D82087">
        <w:trPr>
          <w:trHeight w:val="308"/>
        </w:trPr>
        <w:tc>
          <w:tcPr>
            <w:tcW w:w="5360" w:type="dxa"/>
            <w:tcBorders>
              <w:top w:val="single" w:sz="4" w:space="0" w:color="auto"/>
              <w:left w:val="nil"/>
              <w:bottom w:val="nil"/>
              <w:right w:val="nil"/>
            </w:tcBorders>
            <w:shd w:val="clear" w:color="auto" w:fill="auto"/>
            <w:noWrap/>
            <w:vAlign w:val="bottom"/>
            <w:hideMark/>
          </w:tcPr>
          <w:p w14:paraId="3314A2E1"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Operating income</w:t>
            </w:r>
          </w:p>
        </w:tc>
        <w:tc>
          <w:tcPr>
            <w:tcW w:w="1540" w:type="dxa"/>
            <w:tcBorders>
              <w:top w:val="single" w:sz="4" w:space="0" w:color="auto"/>
              <w:left w:val="nil"/>
              <w:bottom w:val="nil"/>
              <w:right w:val="nil"/>
            </w:tcBorders>
            <w:shd w:val="clear" w:color="auto" w:fill="auto"/>
            <w:noWrap/>
            <w:vAlign w:val="bottom"/>
            <w:hideMark/>
          </w:tcPr>
          <w:p w14:paraId="39B96668"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7,708 </w:t>
            </w:r>
          </w:p>
        </w:tc>
        <w:tc>
          <w:tcPr>
            <w:tcW w:w="180" w:type="dxa"/>
            <w:tcBorders>
              <w:top w:val="nil"/>
              <w:left w:val="nil"/>
              <w:bottom w:val="nil"/>
              <w:right w:val="nil"/>
            </w:tcBorders>
            <w:shd w:val="clear" w:color="auto" w:fill="auto"/>
            <w:noWrap/>
            <w:vAlign w:val="bottom"/>
            <w:hideMark/>
          </w:tcPr>
          <w:p w14:paraId="189A875D"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single" w:sz="4" w:space="0" w:color="auto"/>
              <w:left w:val="nil"/>
              <w:bottom w:val="nil"/>
              <w:right w:val="nil"/>
            </w:tcBorders>
            <w:shd w:val="clear" w:color="auto" w:fill="auto"/>
            <w:noWrap/>
            <w:vAlign w:val="bottom"/>
            <w:hideMark/>
          </w:tcPr>
          <w:p w14:paraId="7B47BD9E"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6,715 </w:t>
            </w:r>
          </w:p>
        </w:tc>
      </w:tr>
      <w:tr w:rsidR="00D82087" w:rsidRPr="00D82087" w14:paraId="767733D1" w14:textId="77777777" w:rsidTr="00D82087">
        <w:trPr>
          <w:trHeight w:val="308"/>
        </w:trPr>
        <w:tc>
          <w:tcPr>
            <w:tcW w:w="5360" w:type="dxa"/>
            <w:tcBorders>
              <w:top w:val="nil"/>
              <w:left w:val="nil"/>
              <w:bottom w:val="single" w:sz="4" w:space="0" w:color="auto"/>
              <w:right w:val="nil"/>
            </w:tcBorders>
            <w:shd w:val="clear" w:color="auto" w:fill="auto"/>
            <w:noWrap/>
            <w:vAlign w:val="bottom"/>
            <w:hideMark/>
          </w:tcPr>
          <w:p w14:paraId="2E23A224"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Other income, net</w:t>
            </w:r>
          </w:p>
        </w:tc>
        <w:tc>
          <w:tcPr>
            <w:tcW w:w="1540" w:type="dxa"/>
            <w:tcBorders>
              <w:top w:val="nil"/>
              <w:left w:val="nil"/>
              <w:bottom w:val="single" w:sz="4" w:space="0" w:color="auto"/>
              <w:right w:val="nil"/>
            </w:tcBorders>
            <w:shd w:val="clear" w:color="auto" w:fill="auto"/>
            <w:noWrap/>
            <w:vAlign w:val="bottom"/>
            <w:hideMark/>
          </w:tcPr>
          <w:p w14:paraId="28101459"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276 </w:t>
            </w:r>
          </w:p>
        </w:tc>
        <w:tc>
          <w:tcPr>
            <w:tcW w:w="180" w:type="dxa"/>
            <w:tcBorders>
              <w:top w:val="nil"/>
              <w:left w:val="nil"/>
              <w:bottom w:val="nil"/>
              <w:right w:val="nil"/>
            </w:tcBorders>
            <w:shd w:val="clear" w:color="auto" w:fill="auto"/>
            <w:noWrap/>
            <w:vAlign w:val="bottom"/>
            <w:hideMark/>
          </w:tcPr>
          <w:p w14:paraId="0BE968EF"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146B610F"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112 </w:t>
            </w:r>
          </w:p>
        </w:tc>
      </w:tr>
      <w:tr w:rsidR="00D82087" w:rsidRPr="00D82087" w14:paraId="0C5996F5" w14:textId="77777777" w:rsidTr="00D82087">
        <w:trPr>
          <w:trHeight w:val="308"/>
        </w:trPr>
        <w:tc>
          <w:tcPr>
            <w:tcW w:w="5360" w:type="dxa"/>
            <w:tcBorders>
              <w:top w:val="nil"/>
              <w:left w:val="nil"/>
              <w:bottom w:val="nil"/>
              <w:right w:val="nil"/>
            </w:tcBorders>
            <w:shd w:val="clear" w:color="auto" w:fill="auto"/>
            <w:noWrap/>
            <w:vAlign w:val="bottom"/>
            <w:hideMark/>
          </w:tcPr>
          <w:p w14:paraId="560BE20B"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Income before income taxes</w:t>
            </w:r>
          </w:p>
        </w:tc>
        <w:tc>
          <w:tcPr>
            <w:tcW w:w="1540" w:type="dxa"/>
            <w:tcBorders>
              <w:top w:val="nil"/>
              <w:left w:val="nil"/>
              <w:bottom w:val="nil"/>
              <w:right w:val="nil"/>
            </w:tcBorders>
            <w:shd w:val="clear" w:color="auto" w:fill="auto"/>
            <w:noWrap/>
            <w:vAlign w:val="bottom"/>
            <w:hideMark/>
          </w:tcPr>
          <w:p w14:paraId="20EBA96C"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7,984 </w:t>
            </w:r>
          </w:p>
        </w:tc>
        <w:tc>
          <w:tcPr>
            <w:tcW w:w="180" w:type="dxa"/>
            <w:tcBorders>
              <w:top w:val="nil"/>
              <w:left w:val="nil"/>
              <w:bottom w:val="nil"/>
              <w:right w:val="nil"/>
            </w:tcBorders>
            <w:shd w:val="clear" w:color="auto" w:fill="auto"/>
            <w:noWrap/>
            <w:vAlign w:val="bottom"/>
            <w:hideMark/>
          </w:tcPr>
          <w:p w14:paraId="0BCF5D85"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2D435D28"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6,827 </w:t>
            </w:r>
          </w:p>
        </w:tc>
      </w:tr>
      <w:tr w:rsidR="00D82087" w:rsidRPr="00D82087" w14:paraId="1CE3C9F6" w14:textId="77777777" w:rsidTr="00D82087">
        <w:trPr>
          <w:trHeight w:val="308"/>
        </w:trPr>
        <w:tc>
          <w:tcPr>
            <w:tcW w:w="5360" w:type="dxa"/>
            <w:tcBorders>
              <w:top w:val="nil"/>
              <w:left w:val="nil"/>
              <w:bottom w:val="single" w:sz="4" w:space="0" w:color="auto"/>
              <w:right w:val="nil"/>
            </w:tcBorders>
            <w:shd w:val="clear" w:color="auto" w:fill="auto"/>
            <w:noWrap/>
            <w:vAlign w:val="bottom"/>
            <w:hideMark/>
          </w:tcPr>
          <w:p w14:paraId="6400FD28"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Provision for income taxes</w:t>
            </w:r>
          </w:p>
        </w:tc>
        <w:tc>
          <w:tcPr>
            <w:tcW w:w="1540" w:type="dxa"/>
            <w:tcBorders>
              <w:top w:val="nil"/>
              <w:left w:val="nil"/>
              <w:bottom w:val="single" w:sz="4" w:space="0" w:color="auto"/>
              <w:right w:val="nil"/>
            </w:tcBorders>
            <w:shd w:val="clear" w:color="auto" w:fill="auto"/>
            <w:noWrap/>
            <w:vAlign w:val="bottom"/>
            <w:hideMark/>
          </w:tcPr>
          <w:p w14:paraId="14FCE4AA"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1,408 </w:t>
            </w:r>
          </w:p>
        </w:tc>
        <w:tc>
          <w:tcPr>
            <w:tcW w:w="180" w:type="dxa"/>
            <w:tcBorders>
              <w:top w:val="nil"/>
              <w:left w:val="nil"/>
              <w:bottom w:val="nil"/>
              <w:right w:val="nil"/>
            </w:tcBorders>
            <w:shd w:val="clear" w:color="auto" w:fill="auto"/>
            <w:noWrap/>
            <w:vAlign w:val="bottom"/>
            <w:hideMark/>
          </w:tcPr>
          <w:p w14:paraId="44DD0E45"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6F7955F7"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1,160 </w:t>
            </w:r>
          </w:p>
        </w:tc>
      </w:tr>
      <w:tr w:rsidR="00D82087" w:rsidRPr="00D82087" w14:paraId="78BB2B50" w14:textId="77777777" w:rsidTr="00D82087">
        <w:trPr>
          <w:trHeight w:val="315"/>
        </w:trPr>
        <w:tc>
          <w:tcPr>
            <w:tcW w:w="5360" w:type="dxa"/>
            <w:tcBorders>
              <w:top w:val="nil"/>
              <w:left w:val="nil"/>
              <w:bottom w:val="nil"/>
              <w:right w:val="nil"/>
            </w:tcBorders>
            <w:shd w:val="clear" w:color="auto" w:fill="auto"/>
            <w:noWrap/>
            <w:vAlign w:val="bottom"/>
            <w:hideMark/>
          </w:tcPr>
          <w:p w14:paraId="69C7A520"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Net income</w:t>
            </w:r>
          </w:p>
        </w:tc>
        <w:tc>
          <w:tcPr>
            <w:tcW w:w="1540" w:type="dxa"/>
            <w:tcBorders>
              <w:top w:val="nil"/>
              <w:left w:val="nil"/>
              <w:bottom w:val="single" w:sz="8" w:space="0" w:color="auto"/>
              <w:right w:val="nil"/>
            </w:tcBorders>
            <w:shd w:val="clear" w:color="auto" w:fill="auto"/>
            <w:noWrap/>
            <w:vAlign w:val="bottom"/>
            <w:hideMark/>
          </w:tcPr>
          <w:p w14:paraId="2B16B6C2"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 $6,576 </w:t>
            </w:r>
          </w:p>
        </w:tc>
        <w:tc>
          <w:tcPr>
            <w:tcW w:w="180" w:type="dxa"/>
            <w:tcBorders>
              <w:top w:val="nil"/>
              <w:left w:val="nil"/>
              <w:bottom w:val="nil"/>
              <w:right w:val="nil"/>
            </w:tcBorders>
            <w:shd w:val="clear" w:color="auto" w:fill="auto"/>
            <w:noWrap/>
            <w:vAlign w:val="bottom"/>
            <w:hideMark/>
          </w:tcPr>
          <w:p w14:paraId="216E0D2A"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8" w:space="0" w:color="auto"/>
              <w:right w:val="nil"/>
            </w:tcBorders>
            <w:shd w:val="clear" w:color="auto" w:fill="auto"/>
            <w:noWrap/>
            <w:vAlign w:val="bottom"/>
            <w:hideMark/>
          </w:tcPr>
          <w:p w14:paraId="15FBD230"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$5,667 </w:t>
            </w:r>
          </w:p>
        </w:tc>
      </w:tr>
      <w:tr w:rsidR="00D82087" w:rsidRPr="00D82087" w14:paraId="5992509C" w14:textId="77777777" w:rsidTr="00D82087">
        <w:trPr>
          <w:trHeight w:val="308"/>
        </w:trPr>
        <w:tc>
          <w:tcPr>
            <w:tcW w:w="5360" w:type="dxa"/>
            <w:tcBorders>
              <w:top w:val="nil"/>
              <w:left w:val="nil"/>
              <w:bottom w:val="nil"/>
              <w:right w:val="nil"/>
            </w:tcBorders>
            <w:shd w:val="clear" w:color="auto" w:fill="auto"/>
            <w:noWrap/>
            <w:vAlign w:val="bottom"/>
            <w:hideMark/>
          </w:tcPr>
          <w:p w14:paraId="3F799EE3"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Earnings per share:</w:t>
            </w:r>
          </w:p>
        </w:tc>
        <w:tc>
          <w:tcPr>
            <w:tcW w:w="1540" w:type="dxa"/>
            <w:tcBorders>
              <w:top w:val="nil"/>
              <w:left w:val="nil"/>
              <w:bottom w:val="nil"/>
              <w:right w:val="nil"/>
            </w:tcBorders>
            <w:shd w:val="clear" w:color="auto" w:fill="auto"/>
            <w:noWrap/>
            <w:vAlign w:val="bottom"/>
            <w:hideMark/>
          </w:tcPr>
          <w:p w14:paraId="37D14A00" w14:textId="77777777" w:rsidR="00D82087" w:rsidRPr="00D82087" w:rsidRDefault="00D82087" w:rsidP="00D82087">
            <w:pPr>
              <w:spacing w:after="0" w:line="240" w:lineRule="auto"/>
              <w:rPr>
                <w:rFonts w:ascii="Segoe UI" w:eastAsia="Times New Roman" w:hAnsi="Segoe UI" w:cs="Segoe UI"/>
                <w:color w:val="666666"/>
                <w:sz w:val="20"/>
                <w:szCs w:val="20"/>
              </w:rPr>
            </w:pPr>
          </w:p>
        </w:tc>
        <w:tc>
          <w:tcPr>
            <w:tcW w:w="180" w:type="dxa"/>
            <w:tcBorders>
              <w:top w:val="nil"/>
              <w:left w:val="nil"/>
              <w:bottom w:val="nil"/>
              <w:right w:val="nil"/>
            </w:tcBorders>
            <w:shd w:val="clear" w:color="auto" w:fill="auto"/>
            <w:noWrap/>
            <w:vAlign w:val="bottom"/>
            <w:hideMark/>
          </w:tcPr>
          <w:p w14:paraId="7310AC2D" w14:textId="77777777" w:rsidR="00D82087" w:rsidRPr="00D82087" w:rsidRDefault="00D82087" w:rsidP="00D82087">
            <w:pPr>
              <w:spacing w:after="0" w:line="240" w:lineRule="auto"/>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61AA33CE" w14:textId="77777777" w:rsidR="00D82087" w:rsidRPr="00D82087" w:rsidRDefault="00D82087" w:rsidP="00D82087">
            <w:pPr>
              <w:spacing w:after="0" w:line="240" w:lineRule="auto"/>
              <w:jc w:val="right"/>
              <w:rPr>
                <w:rFonts w:ascii="Times New Roman" w:eastAsia="Times New Roman" w:hAnsi="Times New Roman"/>
                <w:sz w:val="20"/>
                <w:szCs w:val="20"/>
              </w:rPr>
            </w:pPr>
          </w:p>
        </w:tc>
      </w:tr>
      <w:tr w:rsidR="00D82087" w:rsidRPr="00D82087" w14:paraId="4F610505" w14:textId="77777777" w:rsidTr="00D82087">
        <w:trPr>
          <w:trHeight w:val="308"/>
        </w:trPr>
        <w:tc>
          <w:tcPr>
            <w:tcW w:w="5360" w:type="dxa"/>
            <w:tcBorders>
              <w:top w:val="nil"/>
              <w:left w:val="nil"/>
              <w:bottom w:val="nil"/>
              <w:right w:val="nil"/>
            </w:tcBorders>
            <w:shd w:val="clear" w:color="auto" w:fill="auto"/>
            <w:noWrap/>
            <w:vAlign w:val="bottom"/>
            <w:hideMark/>
          </w:tcPr>
          <w:p w14:paraId="5D2B444A"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Basic</w:t>
            </w:r>
          </w:p>
        </w:tc>
        <w:tc>
          <w:tcPr>
            <w:tcW w:w="1540" w:type="dxa"/>
            <w:tcBorders>
              <w:top w:val="nil"/>
              <w:left w:val="nil"/>
              <w:bottom w:val="nil"/>
              <w:right w:val="nil"/>
            </w:tcBorders>
            <w:shd w:val="clear" w:color="auto" w:fill="auto"/>
            <w:noWrap/>
            <w:vAlign w:val="bottom"/>
            <w:hideMark/>
          </w:tcPr>
          <w:p w14:paraId="5FE7BFFE"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 $0.85 </w:t>
            </w:r>
          </w:p>
        </w:tc>
        <w:tc>
          <w:tcPr>
            <w:tcW w:w="180" w:type="dxa"/>
            <w:tcBorders>
              <w:top w:val="nil"/>
              <w:left w:val="nil"/>
              <w:bottom w:val="nil"/>
              <w:right w:val="nil"/>
            </w:tcBorders>
            <w:shd w:val="clear" w:color="auto" w:fill="auto"/>
            <w:noWrap/>
            <w:vAlign w:val="bottom"/>
            <w:hideMark/>
          </w:tcPr>
          <w:p w14:paraId="58BD6FCE"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76770753"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$0.73 </w:t>
            </w:r>
          </w:p>
        </w:tc>
      </w:tr>
      <w:tr w:rsidR="00D82087" w:rsidRPr="00D82087" w14:paraId="011D3330" w14:textId="77777777" w:rsidTr="00D82087">
        <w:trPr>
          <w:trHeight w:val="308"/>
        </w:trPr>
        <w:tc>
          <w:tcPr>
            <w:tcW w:w="5360" w:type="dxa"/>
            <w:tcBorders>
              <w:top w:val="nil"/>
              <w:left w:val="nil"/>
              <w:bottom w:val="nil"/>
              <w:right w:val="nil"/>
            </w:tcBorders>
            <w:shd w:val="clear" w:color="auto" w:fill="auto"/>
            <w:noWrap/>
            <w:vAlign w:val="bottom"/>
            <w:hideMark/>
          </w:tcPr>
          <w:p w14:paraId="580A730C"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Diluted</w:t>
            </w:r>
          </w:p>
        </w:tc>
        <w:tc>
          <w:tcPr>
            <w:tcW w:w="1540" w:type="dxa"/>
            <w:tcBorders>
              <w:top w:val="nil"/>
              <w:left w:val="nil"/>
              <w:bottom w:val="nil"/>
              <w:right w:val="nil"/>
            </w:tcBorders>
            <w:shd w:val="clear" w:color="auto" w:fill="auto"/>
            <w:noWrap/>
            <w:vAlign w:val="bottom"/>
            <w:hideMark/>
          </w:tcPr>
          <w:p w14:paraId="23EC7238"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 $0.84 </w:t>
            </w:r>
          </w:p>
        </w:tc>
        <w:tc>
          <w:tcPr>
            <w:tcW w:w="180" w:type="dxa"/>
            <w:tcBorders>
              <w:top w:val="nil"/>
              <w:left w:val="nil"/>
              <w:bottom w:val="nil"/>
              <w:right w:val="nil"/>
            </w:tcBorders>
            <w:shd w:val="clear" w:color="auto" w:fill="auto"/>
            <w:noWrap/>
            <w:vAlign w:val="bottom"/>
            <w:hideMark/>
          </w:tcPr>
          <w:p w14:paraId="40E6A689"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6B8FA797"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$0.72 </w:t>
            </w:r>
          </w:p>
        </w:tc>
      </w:tr>
      <w:tr w:rsidR="00D82087" w:rsidRPr="00D82087" w14:paraId="749FBE97" w14:textId="77777777" w:rsidTr="00D82087">
        <w:trPr>
          <w:trHeight w:val="308"/>
        </w:trPr>
        <w:tc>
          <w:tcPr>
            <w:tcW w:w="5360" w:type="dxa"/>
            <w:tcBorders>
              <w:top w:val="nil"/>
              <w:left w:val="nil"/>
              <w:bottom w:val="nil"/>
              <w:right w:val="nil"/>
            </w:tcBorders>
            <w:shd w:val="clear" w:color="auto" w:fill="auto"/>
            <w:noWrap/>
            <w:vAlign w:val="bottom"/>
            <w:hideMark/>
          </w:tcPr>
          <w:p w14:paraId="58415822"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Weighted average shares outstanding:</w:t>
            </w:r>
          </w:p>
        </w:tc>
        <w:tc>
          <w:tcPr>
            <w:tcW w:w="1540" w:type="dxa"/>
            <w:tcBorders>
              <w:top w:val="nil"/>
              <w:left w:val="nil"/>
              <w:bottom w:val="nil"/>
              <w:right w:val="nil"/>
            </w:tcBorders>
            <w:shd w:val="clear" w:color="auto" w:fill="auto"/>
            <w:noWrap/>
            <w:vAlign w:val="bottom"/>
            <w:hideMark/>
          </w:tcPr>
          <w:p w14:paraId="5DDEE3D2" w14:textId="77777777" w:rsidR="00D82087" w:rsidRPr="00D82087" w:rsidRDefault="00D82087" w:rsidP="00D82087">
            <w:pPr>
              <w:spacing w:after="0" w:line="240" w:lineRule="auto"/>
              <w:rPr>
                <w:rFonts w:ascii="Segoe UI" w:eastAsia="Times New Roman" w:hAnsi="Segoe UI" w:cs="Segoe UI"/>
                <w:color w:val="666666"/>
                <w:sz w:val="20"/>
                <w:szCs w:val="20"/>
              </w:rPr>
            </w:pPr>
          </w:p>
        </w:tc>
        <w:tc>
          <w:tcPr>
            <w:tcW w:w="180" w:type="dxa"/>
            <w:tcBorders>
              <w:top w:val="nil"/>
              <w:left w:val="nil"/>
              <w:bottom w:val="nil"/>
              <w:right w:val="nil"/>
            </w:tcBorders>
            <w:shd w:val="clear" w:color="auto" w:fill="auto"/>
            <w:noWrap/>
            <w:vAlign w:val="bottom"/>
            <w:hideMark/>
          </w:tcPr>
          <w:p w14:paraId="4AD6E1EE" w14:textId="77777777" w:rsidR="00D82087" w:rsidRPr="00D82087" w:rsidRDefault="00D82087" w:rsidP="00D82087">
            <w:pPr>
              <w:spacing w:after="0" w:line="240" w:lineRule="auto"/>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30A63DDB" w14:textId="77777777" w:rsidR="00D82087" w:rsidRPr="00D82087" w:rsidRDefault="00D82087" w:rsidP="00D82087">
            <w:pPr>
              <w:spacing w:after="0" w:line="240" w:lineRule="auto"/>
              <w:jc w:val="right"/>
              <w:rPr>
                <w:rFonts w:ascii="Times New Roman" w:eastAsia="Times New Roman" w:hAnsi="Times New Roman"/>
                <w:sz w:val="20"/>
                <w:szCs w:val="20"/>
              </w:rPr>
            </w:pPr>
          </w:p>
        </w:tc>
      </w:tr>
      <w:tr w:rsidR="00D82087" w:rsidRPr="00D82087" w14:paraId="2FB0D8DE" w14:textId="77777777" w:rsidTr="00D82087">
        <w:trPr>
          <w:trHeight w:val="308"/>
        </w:trPr>
        <w:tc>
          <w:tcPr>
            <w:tcW w:w="5360" w:type="dxa"/>
            <w:tcBorders>
              <w:top w:val="nil"/>
              <w:left w:val="nil"/>
              <w:bottom w:val="nil"/>
              <w:right w:val="nil"/>
            </w:tcBorders>
            <w:shd w:val="clear" w:color="auto" w:fill="auto"/>
            <w:noWrap/>
            <w:vAlign w:val="bottom"/>
            <w:hideMark/>
          </w:tcPr>
          <w:p w14:paraId="2F5FA45D"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Basic</w:t>
            </w:r>
          </w:p>
        </w:tc>
        <w:tc>
          <w:tcPr>
            <w:tcW w:w="1540" w:type="dxa"/>
            <w:tcBorders>
              <w:top w:val="nil"/>
              <w:left w:val="nil"/>
              <w:bottom w:val="nil"/>
              <w:right w:val="nil"/>
            </w:tcBorders>
            <w:shd w:val="clear" w:color="auto" w:fill="auto"/>
            <w:noWrap/>
            <w:vAlign w:val="bottom"/>
            <w:hideMark/>
          </w:tcPr>
          <w:p w14:paraId="033140DB"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7,708 </w:t>
            </w:r>
          </w:p>
        </w:tc>
        <w:tc>
          <w:tcPr>
            <w:tcW w:w="180" w:type="dxa"/>
            <w:tcBorders>
              <w:top w:val="nil"/>
              <w:left w:val="nil"/>
              <w:bottom w:val="nil"/>
              <w:right w:val="nil"/>
            </w:tcBorders>
            <w:shd w:val="clear" w:color="auto" w:fill="auto"/>
            <w:noWrap/>
            <w:vAlign w:val="bottom"/>
            <w:hideMark/>
          </w:tcPr>
          <w:p w14:paraId="1391C676"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5A77597C"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7,789 </w:t>
            </w:r>
          </w:p>
        </w:tc>
      </w:tr>
      <w:tr w:rsidR="00D82087" w:rsidRPr="00D82087" w14:paraId="4AFF2FF6" w14:textId="77777777" w:rsidTr="00D82087">
        <w:trPr>
          <w:trHeight w:val="308"/>
        </w:trPr>
        <w:tc>
          <w:tcPr>
            <w:tcW w:w="5360" w:type="dxa"/>
            <w:tcBorders>
              <w:top w:val="nil"/>
              <w:left w:val="nil"/>
              <w:bottom w:val="nil"/>
              <w:right w:val="nil"/>
            </w:tcBorders>
            <w:shd w:val="clear" w:color="auto" w:fill="auto"/>
            <w:noWrap/>
            <w:vAlign w:val="bottom"/>
            <w:hideMark/>
          </w:tcPr>
          <w:p w14:paraId="2E7C88ED"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Diluted</w:t>
            </w:r>
          </w:p>
        </w:tc>
        <w:tc>
          <w:tcPr>
            <w:tcW w:w="1540" w:type="dxa"/>
            <w:tcBorders>
              <w:top w:val="nil"/>
              <w:left w:val="nil"/>
              <w:bottom w:val="nil"/>
              <w:right w:val="nil"/>
            </w:tcBorders>
            <w:shd w:val="clear" w:color="auto" w:fill="auto"/>
            <w:noWrap/>
            <w:vAlign w:val="bottom"/>
            <w:hideMark/>
          </w:tcPr>
          <w:p w14:paraId="7A9DC27D"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7,799 </w:t>
            </w:r>
          </w:p>
        </w:tc>
        <w:tc>
          <w:tcPr>
            <w:tcW w:w="180" w:type="dxa"/>
            <w:tcBorders>
              <w:top w:val="nil"/>
              <w:left w:val="nil"/>
              <w:bottom w:val="nil"/>
              <w:right w:val="nil"/>
            </w:tcBorders>
            <w:shd w:val="clear" w:color="auto" w:fill="auto"/>
            <w:noWrap/>
            <w:vAlign w:val="bottom"/>
            <w:hideMark/>
          </w:tcPr>
          <w:p w14:paraId="113B1FD0"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24401F58"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7,876 </w:t>
            </w:r>
          </w:p>
        </w:tc>
      </w:tr>
      <w:tr w:rsidR="00D82087" w:rsidRPr="00D82087" w14:paraId="2A0575AA" w14:textId="77777777" w:rsidTr="00D82087">
        <w:trPr>
          <w:trHeight w:val="308"/>
        </w:trPr>
        <w:tc>
          <w:tcPr>
            <w:tcW w:w="5360" w:type="dxa"/>
            <w:tcBorders>
              <w:top w:val="nil"/>
              <w:left w:val="nil"/>
              <w:bottom w:val="single" w:sz="4" w:space="0" w:color="auto"/>
              <w:right w:val="nil"/>
            </w:tcBorders>
            <w:shd w:val="clear" w:color="auto" w:fill="auto"/>
            <w:vAlign w:val="bottom"/>
            <w:hideMark/>
          </w:tcPr>
          <w:p w14:paraId="3ADFC4AA"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Cash dividends declared per common share</w:t>
            </w:r>
          </w:p>
        </w:tc>
        <w:tc>
          <w:tcPr>
            <w:tcW w:w="1540" w:type="dxa"/>
            <w:tcBorders>
              <w:top w:val="nil"/>
              <w:left w:val="nil"/>
              <w:bottom w:val="single" w:sz="4" w:space="0" w:color="auto"/>
              <w:right w:val="nil"/>
            </w:tcBorders>
            <w:shd w:val="clear" w:color="auto" w:fill="auto"/>
            <w:noWrap/>
            <w:vAlign w:val="bottom"/>
            <w:hideMark/>
          </w:tcPr>
          <w:p w14:paraId="35886E7F"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 $0.42 </w:t>
            </w:r>
          </w:p>
        </w:tc>
        <w:tc>
          <w:tcPr>
            <w:tcW w:w="180" w:type="dxa"/>
            <w:tcBorders>
              <w:top w:val="nil"/>
              <w:left w:val="nil"/>
              <w:bottom w:val="single" w:sz="4" w:space="0" w:color="auto"/>
              <w:right w:val="nil"/>
            </w:tcBorders>
            <w:shd w:val="clear" w:color="auto" w:fill="auto"/>
            <w:noWrap/>
            <w:vAlign w:val="bottom"/>
            <w:hideMark/>
          </w:tcPr>
          <w:p w14:paraId="4E03D594"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042567A2"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$0.39 </w:t>
            </w:r>
          </w:p>
        </w:tc>
      </w:tr>
    </w:tbl>
    <w:p w14:paraId="75824BFD" w14:textId="77777777" w:rsidR="00D82087" w:rsidRDefault="00D82087">
      <w:pPr>
        <w:spacing w:after="160" w:line="259" w:lineRule="auto"/>
        <w:rPr>
          <w:rFonts w:ascii="Segoe UI" w:hAnsi="Segoe UI" w:cs="Segoe UI"/>
          <w:color w:val="666666"/>
          <w:sz w:val="20"/>
          <w:szCs w:val="20"/>
        </w:rPr>
      </w:pPr>
    </w:p>
    <w:p w14:paraId="73F83ADD" w14:textId="77777777" w:rsidR="00D82087" w:rsidRDefault="00D82087">
      <w:pPr>
        <w:spacing w:after="160" w:line="259" w:lineRule="auto"/>
        <w:rPr>
          <w:rFonts w:ascii="Segoe UI" w:hAnsi="Segoe UI" w:cs="Segoe UI"/>
          <w:color w:val="666666"/>
          <w:sz w:val="20"/>
          <w:szCs w:val="20"/>
        </w:rPr>
      </w:pPr>
      <w:r>
        <w:rPr>
          <w:rFonts w:ascii="Segoe UI" w:hAnsi="Segoe UI" w:cs="Segoe UI"/>
          <w:color w:val="666666"/>
          <w:sz w:val="20"/>
          <w:szCs w:val="20"/>
        </w:rPr>
        <w:br w:type="page"/>
      </w:r>
    </w:p>
    <w:tbl>
      <w:tblPr>
        <w:tblpPr w:leftFromText="180" w:rightFromText="180" w:horzAnchor="margin" w:tblpY="668"/>
        <w:tblW w:w="8372" w:type="dxa"/>
        <w:tblLook w:val="04A0" w:firstRow="1" w:lastRow="0" w:firstColumn="1" w:lastColumn="0" w:noHBand="0" w:noVBand="1"/>
      </w:tblPr>
      <w:tblGrid>
        <w:gridCol w:w="5360"/>
        <w:gridCol w:w="1540"/>
        <w:gridCol w:w="272"/>
        <w:gridCol w:w="1200"/>
      </w:tblGrid>
      <w:tr w:rsidR="00D82087" w:rsidRPr="00D82087" w14:paraId="53DB26E7" w14:textId="77777777" w:rsidTr="00D82087">
        <w:trPr>
          <w:trHeight w:val="308"/>
        </w:trPr>
        <w:tc>
          <w:tcPr>
            <w:tcW w:w="5360" w:type="dxa"/>
            <w:tcBorders>
              <w:top w:val="nil"/>
              <w:left w:val="nil"/>
              <w:bottom w:val="nil"/>
              <w:right w:val="nil"/>
            </w:tcBorders>
            <w:shd w:val="clear" w:color="auto" w:fill="auto"/>
            <w:noWrap/>
            <w:vAlign w:val="bottom"/>
            <w:hideMark/>
          </w:tcPr>
          <w:p w14:paraId="356E74E2" w14:textId="77777777" w:rsidR="00D82087" w:rsidRPr="00D82087" w:rsidRDefault="00D82087" w:rsidP="00D82087">
            <w:pPr>
              <w:spacing w:after="0" w:line="240" w:lineRule="auto"/>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lastRenderedPageBreak/>
              <w:t>MICROSOFT CORPORATION</w:t>
            </w:r>
          </w:p>
        </w:tc>
        <w:tc>
          <w:tcPr>
            <w:tcW w:w="1540" w:type="dxa"/>
            <w:tcBorders>
              <w:top w:val="nil"/>
              <w:left w:val="nil"/>
              <w:bottom w:val="nil"/>
              <w:right w:val="nil"/>
            </w:tcBorders>
            <w:shd w:val="clear" w:color="auto" w:fill="auto"/>
            <w:noWrap/>
            <w:vAlign w:val="bottom"/>
            <w:hideMark/>
          </w:tcPr>
          <w:p w14:paraId="6986E4A1" w14:textId="77777777" w:rsidR="00D82087" w:rsidRPr="00D82087" w:rsidRDefault="00D82087" w:rsidP="00D82087">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76FDEF38" w14:textId="77777777" w:rsidR="00D82087" w:rsidRPr="00D82087" w:rsidRDefault="00D82087" w:rsidP="00D82087">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06CF256B" w14:textId="77777777" w:rsidR="00D82087" w:rsidRPr="00D82087" w:rsidRDefault="00D82087" w:rsidP="00D82087">
            <w:pPr>
              <w:spacing w:after="0" w:line="240" w:lineRule="auto"/>
              <w:rPr>
                <w:rFonts w:ascii="Times New Roman" w:eastAsia="Times New Roman" w:hAnsi="Times New Roman"/>
                <w:sz w:val="20"/>
                <w:szCs w:val="20"/>
              </w:rPr>
            </w:pPr>
          </w:p>
        </w:tc>
      </w:tr>
      <w:tr w:rsidR="00D82087" w:rsidRPr="00D82087" w14:paraId="0DB5D273" w14:textId="77777777" w:rsidTr="00D82087">
        <w:trPr>
          <w:trHeight w:val="308"/>
        </w:trPr>
        <w:tc>
          <w:tcPr>
            <w:tcW w:w="5360" w:type="dxa"/>
            <w:tcBorders>
              <w:top w:val="nil"/>
              <w:left w:val="nil"/>
              <w:bottom w:val="nil"/>
              <w:right w:val="nil"/>
            </w:tcBorders>
            <w:shd w:val="clear" w:color="auto" w:fill="auto"/>
            <w:noWrap/>
            <w:vAlign w:val="bottom"/>
            <w:hideMark/>
          </w:tcPr>
          <w:p w14:paraId="19704C21" w14:textId="77777777" w:rsidR="00D82087" w:rsidRPr="00D82087" w:rsidRDefault="00D82087" w:rsidP="00D82087">
            <w:pPr>
              <w:spacing w:after="0" w:line="240" w:lineRule="auto"/>
              <w:jc w:val="right"/>
              <w:rPr>
                <w:rFonts w:ascii="Times New Roman" w:eastAsia="Times New Roman" w:hAnsi="Times New Roman"/>
                <w:sz w:val="20"/>
                <w:szCs w:val="20"/>
              </w:rPr>
            </w:pPr>
          </w:p>
        </w:tc>
        <w:tc>
          <w:tcPr>
            <w:tcW w:w="1540" w:type="dxa"/>
            <w:tcBorders>
              <w:top w:val="nil"/>
              <w:left w:val="nil"/>
              <w:bottom w:val="nil"/>
              <w:right w:val="nil"/>
            </w:tcBorders>
            <w:shd w:val="clear" w:color="auto" w:fill="auto"/>
            <w:noWrap/>
            <w:vAlign w:val="bottom"/>
            <w:hideMark/>
          </w:tcPr>
          <w:p w14:paraId="04254A29" w14:textId="77777777" w:rsidR="00D82087" w:rsidRPr="00D82087" w:rsidRDefault="00D82087" w:rsidP="00D82087">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259AB4E7" w14:textId="77777777" w:rsidR="00D82087" w:rsidRPr="00D82087" w:rsidRDefault="00D82087" w:rsidP="00D82087">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3B1AC9A0" w14:textId="77777777" w:rsidR="00D82087" w:rsidRPr="00D82087" w:rsidRDefault="00D82087" w:rsidP="00D82087">
            <w:pPr>
              <w:spacing w:after="0" w:line="240" w:lineRule="auto"/>
              <w:rPr>
                <w:rFonts w:ascii="Times New Roman" w:eastAsia="Times New Roman" w:hAnsi="Times New Roman"/>
                <w:sz w:val="20"/>
                <w:szCs w:val="20"/>
              </w:rPr>
            </w:pPr>
          </w:p>
        </w:tc>
      </w:tr>
      <w:tr w:rsidR="00D82087" w:rsidRPr="00D82087" w14:paraId="14254553" w14:textId="77777777" w:rsidTr="00D82087">
        <w:trPr>
          <w:trHeight w:val="308"/>
        </w:trPr>
        <w:tc>
          <w:tcPr>
            <w:tcW w:w="8372" w:type="dxa"/>
            <w:gridSpan w:val="4"/>
            <w:tcBorders>
              <w:top w:val="nil"/>
              <w:left w:val="nil"/>
              <w:bottom w:val="nil"/>
              <w:right w:val="nil"/>
            </w:tcBorders>
            <w:shd w:val="clear" w:color="auto" w:fill="auto"/>
            <w:noWrap/>
            <w:vAlign w:val="bottom"/>
            <w:hideMark/>
          </w:tcPr>
          <w:p w14:paraId="135738A8" w14:textId="77777777" w:rsidR="00D82087" w:rsidRPr="00D82087" w:rsidRDefault="00D82087" w:rsidP="00D82087">
            <w:pPr>
              <w:spacing w:after="0" w:line="240" w:lineRule="auto"/>
              <w:jc w:val="center"/>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COMPREHENSIVE INCOME STATEMENTS</w:t>
            </w:r>
          </w:p>
        </w:tc>
      </w:tr>
      <w:tr w:rsidR="00D82087" w:rsidRPr="00D82087" w14:paraId="7DCCA03E" w14:textId="77777777" w:rsidTr="00D82087">
        <w:trPr>
          <w:trHeight w:val="308"/>
        </w:trPr>
        <w:tc>
          <w:tcPr>
            <w:tcW w:w="8372" w:type="dxa"/>
            <w:gridSpan w:val="4"/>
            <w:tcBorders>
              <w:top w:val="nil"/>
              <w:left w:val="nil"/>
              <w:bottom w:val="nil"/>
              <w:right w:val="nil"/>
            </w:tcBorders>
            <w:shd w:val="clear" w:color="auto" w:fill="auto"/>
            <w:noWrap/>
            <w:vAlign w:val="bottom"/>
            <w:hideMark/>
          </w:tcPr>
          <w:p w14:paraId="74E12EC8" w14:textId="77777777" w:rsidR="00D82087" w:rsidRPr="00D82087" w:rsidRDefault="00D82087" w:rsidP="00D82087">
            <w:pPr>
              <w:spacing w:after="0" w:line="240" w:lineRule="auto"/>
              <w:jc w:val="center"/>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(In </w:t>
            </w:r>
            <w:proofErr w:type="gramStart"/>
            <w:r w:rsidRPr="00D82087">
              <w:rPr>
                <w:rFonts w:ascii="Segoe UI" w:eastAsia="Times New Roman" w:hAnsi="Segoe UI" w:cs="Segoe UI"/>
                <w:color w:val="666666"/>
                <w:sz w:val="20"/>
                <w:szCs w:val="20"/>
              </w:rPr>
              <w:t>millions)(</w:t>
            </w:r>
            <w:proofErr w:type="gramEnd"/>
            <w:r w:rsidRPr="00D82087">
              <w:rPr>
                <w:rFonts w:ascii="Segoe UI" w:eastAsia="Times New Roman" w:hAnsi="Segoe UI" w:cs="Segoe UI"/>
                <w:color w:val="666666"/>
                <w:sz w:val="20"/>
                <w:szCs w:val="20"/>
              </w:rPr>
              <w:t>Unaudited)</w:t>
            </w:r>
          </w:p>
        </w:tc>
      </w:tr>
      <w:tr w:rsidR="00D82087" w:rsidRPr="00D82087" w14:paraId="37387FDE" w14:textId="77777777" w:rsidTr="00D82087">
        <w:trPr>
          <w:trHeight w:val="308"/>
        </w:trPr>
        <w:tc>
          <w:tcPr>
            <w:tcW w:w="5360" w:type="dxa"/>
            <w:tcBorders>
              <w:top w:val="nil"/>
              <w:left w:val="nil"/>
              <w:bottom w:val="nil"/>
              <w:right w:val="nil"/>
            </w:tcBorders>
            <w:shd w:val="clear" w:color="auto" w:fill="auto"/>
            <w:noWrap/>
            <w:vAlign w:val="bottom"/>
            <w:hideMark/>
          </w:tcPr>
          <w:p w14:paraId="2E2C78D0" w14:textId="77777777" w:rsidR="00D82087" w:rsidRPr="00D82087" w:rsidRDefault="00D82087" w:rsidP="00D82087">
            <w:pPr>
              <w:spacing w:after="0" w:line="240" w:lineRule="auto"/>
              <w:jc w:val="center"/>
              <w:rPr>
                <w:rFonts w:ascii="Segoe UI" w:eastAsia="Times New Roman" w:hAnsi="Segoe UI" w:cs="Segoe UI"/>
                <w:color w:val="666666"/>
                <w:sz w:val="20"/>
                <w:szCs w:val="20"/>
              </w:rPr>
            </w:pPr>
          </w:p>
        </w:tc>
        <w:tc>
          <w:tcPr>
            <w:tcW w:w="1540" w:type="dxa"/>
            <w:tcBorders>
              <w:top w:val="nil"/>
              <w:left w:val="nil"/>
              <w:bottom w:val="nil"/>
              <w:right w:val="nil"/>
            </w:tcBorders>
            <w:shd w:val="clear" w:color="auto" w:fill="auto"/>
            <w:noWrap/>
            <w:vAlign w:val="bottom"/>
            <w:hideMark/>
          </w:tcPr>
          <w:p w14:paraId="7B239B00" w14:textId="77777777" w:rsidR="00D82087" w:rsidRPr="00D82087" w:rsidRDefault="00D82087" w:rsidP="00D82087">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1FFE4E3B" w14:textId="77777777" w:rsidR="00D82087" w:rsidRPr="00D82087" w:rsidRDefault="00D82087" w:rsidP="00D82087">
            <w:pPr>
              <w:spacing w:after="0" w:line="240" w:lineRule="auto"/>
              <w:jc w:val="center"/>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7A0BF164" w14:textId="77777777" w:rsidR="00D82087" w:rsidRPr="00D82087" w:rsidRDefault="00D82087" w:rsidP="00D82087">
            <w:pPr>
              <w:spacing w:after="0" w:line="240" w:lineRule="auto"/>
              <w:jc w:val="center"/>
              <w:rPr>
                <w:rFonts w:ascii="Times New Roman" w:eastAsia="Times New Roman" w:hAnsi="Times New Roman"/>
                <w:sz w:val="20"/>
                <w:szCs w:val="20"/>
              </w:rPr>
            </w:pPr>
          </w:p>
        </w:tc>
      </w:tr>
      <w:tr w:rsidR="00D82087" w:rsidRPr="00D82087" w14:paraId="03EA94E3" w14:textId="77777777" w:rsidTr="00D82087">
        <w:trPr>
          <w:trHeight w:val="300"/>
        </w:trPr>
        <w:tc>
          <w:tcPr>
            <w:tcW w:w="5360" w:type="dxa"/>
            <w:tcBorders>
              <w:top w:val="nil"/>
              <w:left w:val="nil"/>
              <w:bottom w:val="nil"/>
              <w:right w:val="nil"/>
            </w:tcBorders>
            <w:shd w:val="clear" w:color="auto" w:fill="auto"/>
            <w:noWrap/>
            <w:vAlign w:val="bottom"/>
            <w:hideMark/>
          </w:tcPr>
          <w:p w14:paraId="0D8E28EA" w14:textId="77777777" w:rsidR="00D82087" w:rsidRPr="00D82087" w:rsidRDefault="00D82087" w:rsidP="00D82087">
            <w:pPr>
              <w:spacing w:after="0" w:line="240" w:lineRule="auto"/>
              <w:jc w:val="center"/>
              <w:rPr>
                <w:rFonts w:ascii="Times New Roman" w:eastAsia="Times New Roman" w:hAnsi="Times New Roman"/>
                <w:sz w:val="20"/>
                <w:szCs w:val="20"/>
              </w:rPr>
            </w:pPr>
          </w:p>
        </w:tc>
        <w:tc>
          <w:tcPr>
            <w:tcW w:w="3012" w:type="dxa"/>
            <w:gridSpan w:val="3"/>
            <w:vMerge w:val="restart"/>
            <w:tcBorders>
              <w:top w:val="nil"/>
              <w:left w:val="nil"/>
              <w:bottom w:val="nil"/>
              <w:right w:val="nil"/>
            </w:tcBorders>
            <w:shd w:val="clear" w:color="auto" w:fill="auto"/>
            <w:vAlign w:val="bottom"/>
            <w:hideMark/>
          </w:tcPr>
          <w:p w14:paraId="21C45481"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Three Months Ended September 30,</w:t>
            </w:r>
          </w:p>
        </w:tc>
      </w:tr>
      <w:tr w:rsidR="00D82087" w:rsidRPr="00D82087" w14:paraId="5F16A86A" w14:textId="77777777" w:rsidTr="00D82087">
        <w:trPr>
          <w:trHeight w:val="308"/>
        </w:trPr>
        <w:tc>
          <w:tcPr>
            <w:tcW w:w="5360" w:type="dxa"/>
            <w:tcBorders>
              <w:top w:val="nil"/>
              <w:left w:val="nil"/>
              <w:bottom w:val="nil"/>
              <w:right w:val="nil"/>
            </w:tcBorders>
            <w:shd w:val="clear" w:color="auto" w:fill="auto"/>
            <w:noWrap/>
            <w:vAlign w:val="bottom"/>
            <w:hideMark/>
          </w:tcPr>
          <w:p w14:paraId="595E6888"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3012" w:type="dxa"/>
            <w:gridSpan w:val="3"/>
            <w:vMerge/>
            <w:tcBorders>
              <w:top w:val="nil"/>
              <w:left w:val="nil"/>
              <w:bottom w:val="nil"/>
              <w:right w:val="nil"/>
            </w:tcBorders>
            <w:vAlign w:val="center"/>
            <w:hideMark/>
          </w:tcPr>
          <w:p w14:paraId="15DD1FB9" w14:textId="77777777" w:rsidR="00D82087" w:rsidRPr="00D82087" w:rsidRDefault="00D82087" w:rsidP="00D82087">
            <w:pPr>
              <w:spacing w:after="0" w:line="240" w:lineRule="auto"/>
              <w:rPr>
                <w:rFonts w:ascii="Segoe UI" w:eastAsia="Times New Roman" w:hAnsi="Segoe UI" w:cs="Segoe UI"/>
                <w:b/>
                <w:bCs/>
                <w:color w:val="666666"/>
                <w:sz w:val="20"/>
                <w:szCs w:val="20"/>
              </w:rPr>
            </w:pPr>
          </w:p>
        </w:tc>
      </w:tr>
      <w:tr w:rsidR="00D82087" w:rsidRPr="00D82087" w14:paraId="7B063C63" w14:textId="77777777" w:rsidTr="00D82087">
        <w:trPr>
          <w:trHeight w:val="308"/>
        </w:trPr>
        <w:tc>
          <w:tcPr>
            <w:tcW w:w="5360" w:type="dxa"/>
            <w:tcBorders>
              <w:top w:val="nil"/>
              <w:left w:val="nil"/>
              <w:bottom w:val="single" w:sz="4" w:space="0" w:color="auto"/>
              <w:right w:val="nil"/>
            </w:tcBorders>
            <w:shd w:val="clear" w:color="auto" w:fill="auto"/>
            <w:noWrap/>
            <w:vAlign w:val="bottom"/>
            <w:hideMark/>
          </w:tcPr>
          <w:p w14:paraId="0347CACB" w14:textId="77777777" w:rsidR="00D82087" w:rsidRPr="00D82087" w:rsidRDefault="00D82087" w:rsidP="00D82087">
            <w:pPr>
              <w:spacing w:after="0" w:line="240" w:lineRule="auto"/>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w:t>
            </w:r>
          </w:p>
        </w:tc>
        <w:tc>
          <w:tcPr>
            <w:tcW w:w="1540" w:type="dxa"/>
            <w:tcBorders>
              <w:top w:val="nil"/>
              <w:left w:val="nil"/>
              <w:bottom w:val="single" w:sz="4" w:space="0" w:color="auto"/>
              <w:right w:val="nil"/>
            </w:tcBorders>
            <w:shd w:val="clear" w:color="auto" w:fill="auto"/>
            <w:noWrap/>
            <w:vAlign w:val="bottom"/>
            <w:hideMark/>
          </w:tcPr>
          <w:p w14:paraId="743B90E1"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2017</w:t>
            </w:r>
          </w:p>
        </w:tc>
        <w:tc>
          <w:tcPr>
            <w:tcW w:w="272" w:type="dxa"/>
            <w:tcBorders>
              <w:top w:val="nil"/>
              <w:left w:val="nil"/>
              <w:bottom w:val="single" w:sz="4" w:space="0" w:color="auto"/>
              <w:right w:val="nil"/>
            </w:tcBorders>
            <w:shd w:val="clear" w:color="auto" w:fill="auto"/>
            <w:noWrap/>
            <w:vAlign w:val="bottom"/>
            <w:hideMark/>
          </w:tcPr>
          <w:p w14:paraId="2C31FE5B"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14F7A1C8"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2016</w:t>
            </w:r>
          </w:p>
        </w:tc>
      </w:tr>
      <w:tr w:rsidR="00D82087" w:rsidRPr="00D82087" w14:paraId="11567CA4" w14:textId="77777777" w:rsidTr="00D82087">
        <w:trPr>
          <w:trHeight w:val="308"/>
        </w:trPr>
        <w:tc>
          <w:tcPr>
            <w:tcW w:w="5360" w:type="dxa"/>
            <w:tcBorders>
              <w:top w:val="nil"/>
              <w:left w:val="nil"/>
              <w:bottom w:val="nil"/>
              <w:right w:val="nil"/>
            </w:tcBorders>
            <w:shd w:val="clear" w:color="auto" w:fill="auto"/>
            <w:noWrap/>
            <w:vAlign w:val="bottom"/>
            <w:hideMark/>
          </w:tcPr>
          <w:p w14:paraId="39478DCA"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Net income</w:t>
            </w:r>
          </w:p>
        </w:tc>
        <w:tc>
          <w:tcPr>
            <w:tcW w:w="1540" w:type="dxa"/>
            <w:tcBorders>
              <w:top w:val="nil"/>
              <w:left w:val="nil"/>
              <w:bottom w:val="single" w:sz="4" w:space="0" w:color="auto"/>
              <w:right w:val="nil"/>
            </w:tcBorders>
            <w:shd w:val="clear" w:color="auto" w:fill="auto"/>
            <w:noWrap/>
            <w:vAlign w:val="bottom"/>
            <w:hideMark/>
          </w:tcPr>
          <w:p w14:paraId="0917408C"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 $6,576 </w:t>
            </w:r>
          </w:p>
        </w:tc>
        <w:tc>
          <w:tcPr>
            <w:tcW w:w="272" w:type="dxa"/>
            <w:tcBorders>
              <w:top w:val="nil"/>
              <w:left w:val="nil"/>
              <w:bottom w:val="nil"/>
              <w:right w:val="nil"/>
            </w:tcBorders>
            <w:shd w:val="clear" w:color="auto" w:fill="auto"/>
            <w:noWrap/>
            <w:vAlign w:val="bottom"/>
            <w:hideMark/>
          </w:tcPr>
          <w:p w14:paraId="5C13FD3F"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05E7312F"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$5,667 </w:t>
            </w:r>
          </w:p>
        </w:tc>
      </w:tr>
      <w:tr w:rsidR="00D82087" w:rsidRPr="00D82087" w14:paraId="58519007" w14:textId="77777777" w:rsidTr="00D82087">
        <w:trPr>
          <w:trHeight w:val="308"/>
        </w:trPr>
        <w:tc>
          <w:tcPr>
            <w:tcW w:w="5360" w:type="dxa"/>
            <w:tcBorders>
              <w:top w:val="nil"/>
              <w:left w:val="nil"/>
              <w:bottom w:val="nil"/>
              <w:right w:val="nil"/>
            </w:tcBorders>
            <w:shd w:val="clear" w:color="auto" w:fill="auto"/>
            <w:noWrap/>
            <w:vAlign w:val="bottom"/>
            <w:hideMark/>
          </w:tcPr>
          <w:p w14:paraId="3DF86BA1"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Other comprehensive income (loss), net of tax:</w:t>
            </w:r>
          </w:p>
        </w:tc>
        <w:tc>
          <w:tcPr>
            <w:tcW w:w="1540" w:type="dxa"/>
            <w:tcBorders>
              <w:top w:val="nil"/>
              <w:left w:val="nil"/>
              <w:bottom w:val="nil"/>
              <w:right w:val="nil"/>
            </w:tcBorders>
            <w:shd w:val="clear" w:color="auto" w:fill="auto"/>
            <w:noWrap/>
            <w:vAlign w:val="bottom"/>
            <w:hideMark/>
          </w:tcPr>
          <w:p w14:paraId="7E45E756" w14:textId="77777777" w:rsidR="00D82087" w:rsidRPr="00D82087" w:rsidRDefault="00D82087" w:rsidP="00D82087">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5AC8C501" w14:textId="77777777" w:rsidR="00D82087" w:rsidRPr="00D82087" w:rsidRDefault="00D82087" w:rsidP="00D82087">
            <w:pPr>
              <w:spacing w:after="0" w:line="240" w:lineRule="auto"/>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633A8D74" w14:textId="77777777" w:rsidR="00D82087" w:rsidRPr="00D82087" w:rsidRDefault="00D82087" w:rsidP="00D82087">
            <w:pPr>
              <w:spacing w:after="0" w:line="240" w:lineRule="auto"/>
              <w:jc w:val="right"/>
              <w:rPr>
                <w:rFonts w:ascii="Times New Roman" w:eastAsia="Times New Roman" w:hAnsi="Times New Roman"/>
                <w:sz w:val="20"/>
                <w:szCs w:val="20"/>
              </w:rPr>
            </w:pPr>
          </w:p>
        </w:tc>
      </w:tr>
      <w:tr w:rsidR="00D82087" w:rsidRPr="00D82087" w14:paraId="487BFA1A" w14:textId="77777777" w:rsidTr="00D82087">
        <w:trPr>
          <w:trHeight w:val="308"/>
        </w:trPr>
        <w:tc>
          <w:tcPr>
            <w:tcW w:w="5360" w:type="dxa"/>
            <w:tcBorders>
              <w:top w:val="nil"/>
              <w:left w:val="nil"/>
              <w:bottom w:val="nil"/>
              <w:right w:val="nil"/>
            </w:tcBorders>
            <w:shd w:val="clear" w:color="auto" w:fill="auto"/>
            <w:vAlign w:val="bottom"/>
            <w:hideMark/>
          </w:tcPr>
          <w:p w14:paraId="4C0F442B"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Net change related to derivatives</w:t>
            </w:r>
          </w:p>
        </w:tc>
        <w:tc>
          <w:tcPr>
            <w:tcW w:w="1540" w:type="dxa"/>
            <w:tcBorders>
              <w:top w:val="nil"/>
              <w:left w:val="nil"/>
              <w:bottom w:val="nil"/>
              <w:right w:val="nil"/>
            </w:tcBorders>
            <w:shd w:val="clear" w:color="auto" w:fill="auto"/>
            <w:noWrap/>
            <w:vAlign w:val="bottom"/>
            <w:hideMark/>
          </w:tcPr>
          <w:p w14:paraId="00B7077B"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(106)</w:t>
            </w:r>
          </w:p>
        </w:tc>
        <w:tc>
          <w:tcPr>
            <w:tcW w:w="272" w:type="dxa"/>
            <w:tcBorders>
              <w:top w:val="nil"/>
              <w:left w:val="nil"/>
              <w:bottom w:val="nil"/>
              <w:right w:val="nil"/>
            </w:tcBorders>
            <w:shd w:val="clear" w:color="auto" w:fill="auto"/>
            <w:noWrap/>
            <w:vAlign w:val="bottom"/>
            <w:hideMark/>
          </w:tcPr>
          <w:p w14:paraId="08A6B5B4"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7E9580D2"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(37)</w:t>
            </w:r>
          </w:p>
        </w:tc>
      </w:tr>
      <w:tr w:rsidR="00D82087" w:rsidRPr="00D82087" w14:paraId="04C96B33" w14:textId="77777777" w:rsidTr="00D82087">
        <w:trPr>
          <w:trHeight w:val="308"/>
        </w:trPr>
        <w:tc>
          <w:tcPr>
            <w:tcW w:w="5360" w:type="dxa"/>
            <w:tcBorders>
              <w:top w:val="nil"/>
              <w:left w:val="nil"/>
              <w:bottom w:val="nil"/>
              <w:right w:val="nil"/>
            </w:tcBorders>
            <w:shd w:val="clear" w:color="auto" w:fill="auto"/>
            <w:vAlign w:val="bottom"/>
            <w:hideMark/>
          </w:tcPr>
          <w:p w14:paraId="573698C7"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Net change related to investments</w:t>
            </w:r>
          </w:p>
        </w:tc>
        <w:tc>
          <w:tcPr>
            <w:tcW w:w="1540" w:type="dxa"/>
            <w:tcBorders>
              <w:top w:val="nil"/>
              <w:left w:val="nil"/>
              <w:bottom w:val="nil"/>
              <w:right w:val="nil"/>
            </w:tcBorders>
            <w:shd w:val="clear" w:color="auto" w:fill="auto"/>
            <w:noWrap/>
            <w:vAlign w:val="bottom"/>
            <w:hideMark/>
          </w:tcPr>
          <w:p w14:paraId="648FE242"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(288)</w:t>
            </w:r>
          </w:p>
        </w:tc>
        <w:tc>
          <w:tcPr>
            <w:tcW w:w="272" w:type="dxa"/>
            <w:tcBorders>
              <w:top w:val="nil"/>
              <w:left w:val="nil"/>
              <w:bottom w:val="nil"/>
              <w:right w:val="nil"/>
            </w:tcBorders>
            <w:shd w:val="clear" w:color="auto" w:fill="auto"/>
            <w:noWrap/>
            <w:vAlign w:val="bottom"/>
            <w:hideMark/>
          </w:tcPr>
          <w:p w14:paraId="7EE7E141"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20B96E4E"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83 </w:t>
            </w:r>
          </w:p>
        </w:tc>
      </w:tr>
      <w:tr w:rsidR="00D82087" w:rsidRPr="00D82087" w14:paraId="21C57CF0" w14:textId="77777777" w:rsidTr="00D82087">
        <w:trPr>
          <w:trHeight w:val="308"/>
        </w:trPr>
        <w:tc>
          <w:tcPr>
            <w:tcW w:w="5360" w:type="dxa"/>
            <w:tcBorders>
              <w:top w:val="nil"/>
              <w:left w:val="nil"/>
              <w:bottom w:val="single" w:sz="4" w:space="0" w:color="auto"/>
              <w:right w:val="nil"/>
            </w:tcBorders>
            <w:shd w:val="clear" w:color="auto" w:fill="auto"/>
            <w:vAlign w:val="bottom"/>
            <w:hideMark/>
          </w:tcPr>
          <w:p w14:paraId="3E22343B"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Translation adjustments and other</w:t>
            </w:r>
          </w:p>
        </w:tc>
        <w:tc>
          <w:tcPr>
            <w:tcW w:w="1540" w:type="dxa"/>
            <w:tcBorders>
              <w:top w:val="nil"/>
              <w:left w:val="nil"/>
              <w:bottom w:val="single" w:sz="4" w:space="0" w:color="auto"/>
              <w:right w:val="nil"/>
            </w:tcBorders>
            <w:shd w:val="clear" w:color="auto" w:fill="auto"/>
            <w:noWrap/>
            <w:vAlign w:val="bottom"/>
            <w:hideMark/>
          </w:tcPr>
          <w:p w14:paraId="413A97D2"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293 </w:t>
            </w:r>
          </w:p>
        </w:tc>
        <w:tc>
          <w:tcPr>
            <w:tcW w:w="272" w:type="dxa"/>
            <w:tcBorders>
              <w:top w:val="nil"/>
              <w:left w:val="nil"/>
              <w:bottom w:val="nil"/>
              <w:right w:val="nil"/>
            </w:tcBorders>
            <w:shd w:val="clear" w:color="auto" w:fill="auto"/>
            <w:noWrap/>
            <w:vAlign w:val="bottom"/>
            <w:hideMark/>
          </w:tcPr>
          <w:p w14:paraId="7FDF2BB3"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2F9C7F1E"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118 </w:t>
            </w:r>
          </w:p>
        </w:tc>
      </w:tr>
      <w:tr w:rsidR="00D82087" w:rsidRPr="00D82087" w14:paraId="45E87D7B" w14:textId="77777777" w:rsidTr="00D82087">
        <w:trPr>
          <w:trHeight w:val="308"/>
        </w:trPr>
        <w:tc>
          <w:tcPr>
            <w:tcW w:w="5360" w:type="dxa"/>
            <w:tcBorders>
              <w:top w:val="nil"/>
              <w:left w:val="nil"/>
              <w:bottom w:val="single" w:sz="4" w:space="0" w:color="auto"/>
              <w:right w:val="nil"/>
            </w:tcBorders>
            <w:shd w:val="clear" w:color="auto" w:fill="auto"/>
            <w:vAlign w:val="bottom"/>
            <w:hideMark/>
          </w:tcPr>
          <w:p w14:paraId="3056D144"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Other comprehensive income (loss)</w:t>
            </w:r>
          </w:p>
        </w:tc>
        <w:tc>
          <w:tcPr>
            <w:tcW w:w="1540" w:type="dxa"/>
            <w:tcBorders>
              <w:top w:val="nil"/>
              <w:left w:val="nil"/>
              <w:bottom w:val="single" w:sz="4" w:space="0" w:color="auto"/>
              <w:right w:val="nil"/>
            </w:tcBorders>
            <w:shd w:val="clear" w:color="auto" w:fill="auto"/>
            <w:noWrap/>
            <w:vAlign w:val="bottom"/>
            <w:hideMark/>
          </w:tcPr>
          <w:p w14:paraId="0DA6DB86"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(101)</w:t>
            </w:r>
          </w:p>
        </w:tc>
        <w:tc>
          <w:tcPr>
            <w:tcW w:w="272" w:type="dxa"/>
            <w:tcBorders>
              <w:top w:val="nil"/>
              <w:left w:val="nil"/>
              <w:bottom w:val="nil"/>
              <w:right w:val="nil"/>
            </w:tcBorders>
            <w:shd w:val="clear" w:color="auto" w:fill="auto"/>
            <w:noWrap/>
            <w:vAlign w:val="bottom"/>
            <w:hideMark/>
          </w:tcPr>
          <w:p w14:paraId="55405189"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1F84D4E8"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164 </w:t>
            </w:r>
          </w:p>
        </w:tc>
      </w:tr>
      <w:tr w:rsidR="00D82087" w:rsidRPr="00D82087" w14:paraId="34F77AC1" w14:textId="77777777" w:rsidTr="00D82087">
        <w:trPr>
          <w:trHeight w:val="315"/>
        </w:trPr>
        <w:tc>
          <w:tcPr>
            <w:tcW w:w="5360" w:type="dxa"/>
            <w:tcBorders>
              <w:top w:val="nil"/>
              <w:left w:val="nil"/>
              <w:bottom w:val="nil"/>
              <w:right w:val="nil"/>
            </w:tcBorders>
            <w:shd w:val="clear" w:color="auto" w:fill="auto"/>
            <w:noWrap/>
            <w:vAlign w:val="bottom"/>
            <w:hideMark/>
          </w:tcPr>
          <w:p w14:paraId="0322B02E"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Comprehensive income</w:t>
            </w:r>
          </w:p>
        </w:tc>
        <w:tc>
          <w:tcPr>
            <w:tcW w:w="1540" w:type="dxa"/>
            <w:tcBorders>
              <w:top w:val="nil"/>
              <w:left w:val="nil"/>
              <w:bottom w:val="single" w:sz="8" w:space="0" w:color="auto"/>
              <w:right w:val="nil"/>
            </w:tcBorders>
            <w:shd w:val="clear" w:color="auto" w:fill="auto"/>
            <w:noWrap/>
            <w:vAlign w:val="bottom"/>
            <w:hideMark/>
          </w:tcPr>
          <w:p w14:paraId="64CD75AD"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 $6,475 </w:t>
            </w:r>
          </w:p>
        </w:tc>
        <w:tc>
          <w:tcPr>
            <w:tcW w:w="272" w:type="dxa"/>
            <w:tcBorders>
              <w:top w:val="nil"/>
              <w:left w:val="nil"/>
              <w:bottom w:val="nil"/>
              <w:right w:val="nil"/>
            </w:tcBorders>
            <w:shd w:val="clear" w:color="auto" w:fill="auto"/>
            <w:noWrap/>
            <w:vAlign w:val="bottom"/>
            <w:hideMark/>
          </w:tcPr>
          <w:p w14:paraId="39286B0E"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8" w:space="0" w:color="auto"/>
              <w:right w:val="nil"/>
            </w:tcBorders>
            <w:shd w:val="clear" w:color="auto" w:fill="auto"/>
            <w:noWrap/>
            <w:vAlign w:val="bottom"/>
            <w:hideMark/>
          </w:tcPr>
          <w:p w14:paraId="5E9FD692"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$5,831 </w:t>
            </w:r>
          </w:p>
        </w:tc>
      </w:tr>
    </w:tbl>
    <w:p w14:paraId="3A558DB1" w14:textId="28CC47DD" w:rsidR="00D82087" w:rsidRDefault="00D82087">
      <w:pPr>
        <w:spacing w:after="160" w:line="259" w:lineRule="auto"/>
        <w:rPr>
          <w:rFonts w:ascii="Segoe UI" w:hAnsi="Segoe UI" w:cs="Segoe UI"/>
          <w:color w:val="666666"/>
          <w:sz w:val="20"/>
          <w:szCs w:val="20"/>
        </w:rPr>
      </w:pPr>
    </w:p>
    <w:p w14:paraId="3EF85ADB" w14:textId="77777777" w:rsidR="00D82087" w:rsidRDefault="00D82087">
      <w:bookmarkStart w:id="13" w:name="RANGE!A1:D46"/>
      <w:bookmarkEnd w:id="13"/>
      <w:r>
        <w:br w:type="page"/>
      </w:r>
      <w:bookmarkStart w:id="14" w:name="_GoBack"/>
      <w:bookmarkEnd w:id="14"/>
    </w:p>
    <w:tbl>
      <w:tblPr>
        <w:tblW w:w="8352" w:type="dxa"/>
        <w:tblLook w:val="04A0" w:firstRow="1" w:lastRow="0" w:firstColumn="1" w:lastColumn="0" w:noHBand="0" w:noVBand="1"/>
      </w:tblPr>
      <w:tblGrid>
        <w:gridCol w:w="5240"/>
        <w:gridCol w:w="1640"/>
        <w:gridCol w:w="272"/>
        <w:gridCol w:w="1200"/>
      </w:tblGrid>
      <w:tr w:rsidR="00D82087" w:rsidRPr="00D82087" w14:paraId="0F8998B6" w14:textId="77777777" w:rsidTr="00D82087">
        <w:trPr>
          <w:trHeight w:val="308"/>
        </w:trPr>
        <w:tc>
          <w:tcPr>
            <w:tcW w:w="5240" w:type="dxa"/>
            <w:tcBorders>
              <w:top w:val="nil"/>
              <w:left w:val="nil"/>
              <w:bottom w:val="nil"/>
              <w:right w:val="nil"/>
            </w:tcBorders>
            <w:shd w:val="clear" w:color="auto" w:fill="auto"/>
            <w:noWrap/>
            <w:vAlign w:val="bottom"/>
            <w:hideMark/>
          </w:tcPr>
          <w:p w14:paraId="48A03AD1" w14:textId="78ADCF58" w:rsidR="00D82087" w:rsidRPr="00D82087" w:rsidRDefault="00D82087" w:rsidP="00D82087">
            <w:pPr>
              <w:spacing w:after="0" w:line="240" w:lineRule="auto"/>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lastRenderedPageBreak/>
              <w:t>MICROSOFT CORPORATION</w:t>
            </w:r>
          </w:p>
        </w:tc>
        <w:tc>
          <w:tcPr>
            <w:tcW w:w="1640" w:type="dxa"/>
            <w:tcBorders>
              <w:top w:val="nil"/>
              <w:left w:val="nil"/>
              <w:bottom w:val="nil"/>
              <w:right w:val="nil"/>
            </w:tcBorders>
            <w:shd w:val="clear" w:color="auto" w:fill="auto"/>
            <w:noWrap/>
            <w:vAlign w:val="bottom"/>
            <w:hideMark/>
          </w:tcPr>
          <w:p w14:paraId="45FD516F" w14:textId="77777777" w:rsidR="00D82087" w:rsidRPr="00D82087" w:rsidRDefault="00D82087" w:rsidP="00D82087">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2229E7E4" w14:textId="77777777" w:rsidR="00D82087" w:rsidRPr="00D82087" w:rsidRDefault="00D82087" w:rsidP="00D82087">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3CB1E421" w14:textId="77777777" w:rsidR="00D82087" w:rsidRPr="00D82087" w:rsidRDefault="00D82087" w:rsidP="00D82087">
            <w:pPr>
              <w:spacing w:after="0" w:line="240" w:lineRule="auto"/>
              <w:rPr>
                <w:rFonts w:ascii="Times New Roman" w:eastAsia="Times New Roman" w:hAnsi="Times New Roman"/>
                <w:sz w:val="20"/>
                <w:szCs w:val="20"/>
              </w:rPr>
            </w:pPr>
          </w:p>
        </w:tc>
      </w:tr>
      <w:tr w:rsidR="00D82087" w:rsidRPr="00D82087" w14:paraId="1BBE69FA" w14:textId="77777777" w:rsidTr="00D82087">
        <w:trPr>
          <w:trHeight w:val="308"/>
        </w:trPr>
        <w:tc>
          <w:tcPr>
            <w:tcW w:w="8352" w:type="dxa"/>
            <w:gridSpan w:val="4"/>
            <w:tcBorders>
              <w:top w:val="nil"/>
              <w:left w:val="nil"/>
              <w:bottom w:val="nil"/>
              <w:right w:val="nil"/>
            </w:tcBorders>
            <w:shd w:val="clear" w:color="auto" w:fill="auto"/>
            <w:noWrap/>
            <w:vAlign w:val="bottom"/>
            <w:hideMark/>
          </w:tcPr>
          <w:p w14:paraId="4E90955A" w14:textId="77777777" w:rsidR="00D82087" w:rsidRPr="00D82087" w:rsidRDefault="00D82087" w:rsidP="00D82087">
            <w:pPr>
              <w:spacing w:after="0" w:line="240" w:lineRule="auto"/>
              <w:jc w:val="center"/>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BALANCE SHEETS</w:t>
            </w:r>
          </w:p>
        </w:tc>
      </w:tr>
      <w:tr w:rsidR="00D82087" w:rsidRPr="00D82087" w14:paraId="210EAE3B" w14:textId="77777777" w:rsidTr="00D82087">
        <w:trPr>
          <w:trHeight w:val="225"/>
        </w:trPr>
        <w:tc>
          <w:tcPr>
            <w:tcW w:w="8352" w:type="dxa"/>
            <w:gridSpan w:val="4"/>
            <w:tcBorders>
              <w:top w:val="nil"/>
              <w:left w:val="nil"/>
              <w:bottom w:val="nil"/>
              <w:right w:val="nil"/>
            </w:tcBorders>
            <w:shd w:val="clear" w:color="auto" w:fill="auto"/>
            <w:noWrap/>
            <w:vAlign w:val="bottom"/>
            <w:hideMark/>
          </w:tcPr>
          <w:p w14:paraId="72F44BD9" w14:textId="77777777" w:rsidR="00D82087" w:rsidRPr="00D82087" w:rsidRDefault="00D82087" w:rsidP="00D82087">
            <w:pPr>
              <w:spacing w:after="0" w:line="240" w:lineRule="auto"/>
              <w:jc w:val="center"/>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(In </w:t>
            </w:r>
            <w:proofErr w:type="gramStart"/>
            <w:r w:rsidRPr="00D82087">
              <w:rPr>
                <w:rFonts w:ascii="Segoe UI" w:eastAsia="Times New Roman" w:hAnsi="Segoe UI" w:cs="Segoe UI"/>
                <w:color w:val="666666"/>
                <w:sz w:val="20"/>
                <w:szCs w:val="20"/>
              </w:rPr>
              <w:t>millions)(</w:t>
            </w:r>
            <w:proofErr w:type="gramEnd"/>
            <w:r w:rsidRPr="00D82087">
              <w:rPr>
                <w:rFonts w:ascii="Segoe UI" w:eastAsia="Times New Roman" w:hAnsi="Segoe UI" w:cs="Segoe UI"/>
                <w:color w:val="666666"/>
                <w:sz w:val="20"/>
                <w:szCs w:val="20"/>
              </w:rPr>
              <w:t>Unaudited)</w:t>
            </w:r>
          </w:p>
        </w:tc>
      </w:tr>
      <w:tr w:rsidR="00D82087" w:rsidRPr="00D82087" w14:paraId="0ADDFF91" w14:textId="77777777" w:rsidTr="00D82087">
        <w:trPr>
          <w:trHeight w:val="50"/>
        </w:trPr>
        <w:tc>
          <w:tcPr>
            <w:tcW w:w="5240" w:type="dxa"/>
            <w:tcBorders>
              <w:top w:val="nil"/>
              <w:left w:val="nil"/>
              <w:bottom w:val="nil"/>
              <w:right w:val="nil"/>
            </w:tcBorders>
            <w:shd w:val="clear" w:color="auto" w:fill="auto"/>
            <w:noWrap/>
            <w:vAlign w:val="bottom"/>
            <w:hideMark/>
          </w:tcPr>
          <w:p w14:paraId="4B3EE493" w14:textId="77777777" w:rsidR="00D82087" w:rsidRPr="00D82087" w:rsidRDefault="00D82087" w:rsidP="00D82087">
            <w:pPr>
              <w:spacing w:after="0" w:line="240" w:lineRule="auto"/>
              <w:jc w:val="center"/>
              <w:rPr>
                <w:rFonts w:ascii="Segoe UI" w:eastAsia="Times New Roman" w:hAnsi="Segoe UI" w:cs="Segoe UI"/>
                <w:color w:val="666666"/>
                <w:sz w:val="20"/>
                <w:szCs w:val="20"/>
              </w:rPr>
            </w:pPr>
          </w:p>
        </w:tc>
        <w:tc>
          <w:tcPr>
            <w:tcW w:w="1640" w:type="dxa"/>
            <w:tcBorders>
              <w:top w:val="nil"/>
              <w:left w:val="nil"/>
              <w:bottom w:val="nil"/>
              <w:right w:val="nil"/>
            </w:tcBorders>
            <w:shd w:val="clear" w:color="auto" w:fill="auto"/>
            <w:noWrap/>
            <w:vAlign w:val="bottom"/>
            <w:hideMark/>
          </w:tcPr>
          <w:p w14:paraId="46D3BEC2" w14:textId="77777777" w:rsidR="00D82087" w:rsidRPr="00D82087" w:rsidRDefault="00D82087" w:rsidP="00D82087">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4449ECC5" w14:textId="77777777" w:rsidR="00D82087" w:rsidRPr="00D82087" w:rsidRDefault="00D82087" w:rsidP="00D82087">
            <w:pPr>
              <w:spacing w:after="0" w:line="240" w:lineRule="auto"/>
              <w:jc w:val="center"/>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630D28AA" w14:textId="77777777" w:rsidR="00D82087" w:rsidRPr="00D82087" w:rsidRDefault="00D82087" w:rsidP="00D82087">
            <w:pPr>
              <w:spacing w:after="0" w:line="240" w:lineRule="auto"/>
              <w:jc w:val="center"/>
              <w:rPr>
                <w:rFonts w:ascii="Times New Roman" w:eastAsia="Times New Roman" w:hAnsi="Times New Roman"/>
                <w:sz w:val="20"/>
                <w:szCs w:val="20"/>
              </w:rPr>
            </w:pPr>
          </w:p>
        </w:tc>
      </w:tr>
      <w:tr w:rsidR="00D82087" w:rsidRPr="00D82087" w14:paraId="3677DCF4" w14:textId="77777777" w:rsidTr="00D82087">
        <w:trPr>
          <w:trHeight w:val="615"/>
        </w:trPr>
        <w:tc>
          <w:tcPr>
            <w:tcW w:w="5240" w:type="dxa"/>
            <w:tcBorders>
              <w:top w:val="nil"/>
              <w:left w:val="nil"/>
              <w:bottom w:val="single" w:sz="4" w:space="0" w:color="auto"/>
              <w:right w:val="nil"/>
            </w:tcBorders>
            <w:shd w:val="clear" w:color="auto" w:fill="auto"/>
            <w:noWrap/>
            <w:vAlign w:val="bottom"/>
            <w:hideMark/>
          </w:tcPr>
          <w:p w14:paraId="01A2102E" w14:textId="77777777" w:rsidR="00D82087" w:rsidRPr="00D82087" w:rsidRDefault="00D82087" w:rsidP="00D82087">
            <w:pPr>
              <w:spacing w:after="0" w:line="240" w:lineRule="auto"/>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w:t>
            </w:r>
          </w:p>
        </w:tc>
        <w:tc>
          <w:tcPr>
            <w:tcW w:w="1640" w:type="dxa"/>
            <w:tcBorders>
              <w:top w:val="nil"/>
              <w:left w:val="nil"/>
              <w:bottom w:val="single" w:sz="4" w:space="0" w:color="auto"/>
              <w:right w:val="nil"/>
            </w:tcBorders>
            <w:shd w:val="clear" w:color="auto" w:fill="auto"/>
            <w:vAlign w:val="bottom"/>
            <w:hideMark/>
          </w:tcPr>
          <w:p w14:paraId="41537885"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September 30,</w:t>
            </w:r>
            <w:r w:rsidRPr="00D82087">
              <w:rPr>
                <w:rFonts w:ascii="Segoe UI" w:eastAsia="Times New Roman" w:hAnsi="Segoe UI" w:cs="Segoe UI"/>
                <w:b/>
                <w:bCs/>
                <w:color w:val="666666"/>
                <w:sz w:val="20"/>
                <w:szCs w:val="20"/>
              </w:rPr>
              <w:br/>
              <w:t>2017</w:t>
            </w:r>
          </w:p>
        </w:tc>
        <w:tc>
          <w:tcPr>
            <w:tcW w:w="272" w:type="dxa"/>
            <w:tcBorders>
              <w:top w:val="nil"/>
              <w:left w:val="nil"/>
              <w:bottom w:val="single" w:sz="4" w:space="0" w:color="auto"/>
              <w:right w:val="nil"/>
            </w:tcBorders>
            <w:shd w:val="clear" w:color="auto" w:fill="auto"/>
            <w:vAlign w:val="bottom"/>
            <w:hideMark/>
          </w:tcPr>
          <w:p w14:paraId="3A436EEB"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vAlign w:val="bottom"/>
            <w:hideMark/>
          </w:tcPr>
          <w:p w14:paraId="48030231"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June 30, 2017</w:t>
            </w:r>
          </w:p>
        </w:tc>
      </w:tr>
      <w:tr w:rsidR="00D82087" w:rsidRPr="00D82087" w14:paraId="3A9A523F" w14:textId="77777777" w:rsidTr="00D82087">
        <w:trPr>
          <w:trHeight w:val="308"/>
        </w:trPr>
        <w:tc>
          <w:tcPr>
            <w:tcW w:w="5240" w:type="dxa"/>
            <w:tcBorders>
              <w:top w:val="nil"/>
              <w:left w:val="nil"/>
              <w:bottom w:val="nil"/>
              <w:right w:val="nil"/>
            </w:tcBorders>
            <w:shd w:val="clear" w:color="auto" w:fill="auto"/>
            <w:noWrap/>
            <w:vAlign w:val="bottom"/>
            <w:hideMark/>
          </w:tcPr>
          <w:p w14:paraId="2F645D99" w14:textId="77777777" w:rsidR="00D82087" w:rsidRPr="00D82087" w:rsidRDefault="00D82087" w:rsidP="00D82087">
            <w:pPr>
              <w:spacing w:after="0" w:line="240" w:lineRule="auto"/>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Assets</w:t>
            </w:r>
          </w:p>
        </w:tc>
        <w:tc>
          <w:tcPr>
            <w:tcW w:w="1640" w:type="dxa"/>
            <w:tcBorders>
              <w:top w:val="nil"/>
              <w:left w:val="nil"/>
              <w:bottom w:val="nil"/>
              <w:right w:val="nil"/>
            </w:tcBorders>
            <w:shd w:val="clear" w:color="auto" w:fill="auto"/>
            <w:noWrap/>
            <w:vAlign w:val="bottom"/>
            <w:hideMark/>
          </w:tcPr>
          <w:p w14:paraId="38679212" w14:textId="77777777" w:rsidR="00D82087" w:rsidRPr="00D82087" w:rsidRDefault="00D82087" w:rsidP="00D82087">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785B8E0F" w14:textId="77777777" w:rsidR="00D82087" w:rsidRPr="00D82087" w:rsidRDefault="00D82087" w:rsidP="00D82087">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6B65C743" w14:textId="77777777" w:rsidR="00D82087" w:rsidRPr="00D82087" w:rsidRDefault="00D82087" w:rsidP="00D82087">
            <w:pPr>
              <w:spacing w:after="0" w:line="240" w:lineRule="auto"/>
              <w:rPr>
                <w:rFonts w:ascii="Times New Roman" w:eastAsia="Times New Roman" w:hAnsi="Times New Roman"/>
                <w:sz w:val="20"/>
                <w:szCs w:val="20"/>
              </w:rPr>
            </w:pPr>
          </w:p>
        </w:tc>
      </w:tr>
      <w:tr w:rsidR="00D82087" w:rsidRPr="00D82087" w14:paraId="7996922C" w14:textId="77777777" w:rsidTr="00D82087">
        <w:trPr>
          <w:trHeight w:val="308"/>
        </w:trPr>
        <w:tc>
          <w:tcPr>
            <w:tcW w:w="5240" w:type="dxa"/>
            <w:tcBorders>
              <w:top w:val="nil"/>
              <w:left w:val="nil"/>
              <w:bottom w:val="nil"/>
              <w:right w:val="nil"/>
            </w:tcBorders>
            <w:shd w:val="clear" w:color="auto" w:fill="auto"/>
            <w:noWrap/>
            <w:vAlign w:val="bottom"/>
            <w:hideMark/>
          </w:tcPr>
          <w:p w14:paraId="4D520CEF"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Current assets:</w:t>
            </w:r>
          </w:p>
        </w:tc>
        <w:tc>
          <w:tcPr>
            <w:tcW w:w="1640" w:type="dxa"/>
            <w:tcBorders>
              <w:top w:val="nil"/>
              <w:left w:val="nil"/>
              <w:bottom w:val="nil"/>
              <w:right w:val="nil"/>
            </w:tcBorders>
            <w:shd w:val="clear" w:color="auto" w:fill="auto"/>
            <w:noWrap/>
            <w:vAlign w:val="bottom"/>
            <w:hideMark/>
          </w:tcPr>
          <w:p w14:paraId="5FC702B1" w14:textId="77777777" w:rsidR="00D82087" w:rsidRPr="00D82087" w:rsidRDefault="00D82087" w:rsidP="00D82087">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70BF2048" w14:textId="77777777" w:rsidR="00D82087" w:rsidRPr="00D82087" w:rsidRDefault="00D82087" w:rsidP="00D82087">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6F465E25" w14:textId="77777777" w:rsidR="00D82087" w:rsidRPr="00D82087" w:rsidRDefault="00D82087" w:rsidP="00D82087">
            <w:pPr>
              <w:spacing w:after="0" w:line="240" w:lineRule="auto"/>
              <w:rPr>
                <w:rFonts w:ascii="Times New Roman" w:eastAsia="Times New Roman" w:hAnsi="Times New Roman"/>
                <w:sz w:val="20"/>
                <w:szCs w:val="20"/>
              </w:rPr>
            </w:pPr>
          </w:p>
        </w:tc>
      </w:tr>
      <w:tr w:rsidR="00D82087" w:rsidRPr="00D82087" w14:paraId="7DA0F99F" w14:textId="77777777" w:rsidTr="00D82087">
        <w:trPr>
          <w:trHeight w:val="308"/>
        </w:trPr>
        <w:tc>
          <w:tcPr>
            <w:tcW w:w="5240" w:type="dxa"/>
            <w:tcBorders>
              <w:top w:val="nil"/>
              <w:left w:val="nil"/>
              <w:bottom w:val="nil"/>
              <w:right w:val="nil"/>
            </w:tcBorders>
            <w:shd w:val="clear" w:color="auto" w:fill="auto"/>
            <w:noWrap/>
            <w:vAlign w:val="bottom"/>
            <w:hideMark/>
          </w:tcPr>
          <w:p w14:paraId="20728F02"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Cash and cash equivalents</w:t>
            </w:r>
          </w:p>
        </w:tc>
        <w:tc>
          <w:tcPr>
            <w:tcW w:w="1640" w:type="dxa"/>
            <w:tcBorders>
              <w:top w:val="nil"/>
              <w:left w:val="nil"/>
              <w:bottom w:val="nil"/>
              <w:right w:val="nil"/>
            </w:tcBorders>
            <w:shd w:val="clear" w:color="auto" w:fill="auto"/>
            <w:noWrap/>
            <w:vAlign w:val="bottom"/>
            <w:hideMark/>
          </w:tcPr>
          <w:p w14:paraId="65E4FE4A"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 $6,884 </w:t>
            </w:r>
          </w:p>
        </w:tc>
        <w:tc>
          <w:tcPr>
            <w:tcW w:w="272" w:type="dxa"/>
            <w:tcBorders>
              <w:top w:val="nil"/>
              <w:left w:val="nil"/>
              <w:bottom w:val="nil"/>
              <w:right w:val="nil"/>
            </w:tcBorders>
            <w:shd w:val="clear" w:color="auto" w:fill="auto"/>
            <w:noWrap/>
            <w:vAlign w:val="bottom"/>
            <w:hideMark/>
          </w:tcPr>
          <w:p w14:paraId="1CFC506D"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16A61C86"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$7,663 </w:t>
            </w:r>
          </w:p>
        </w:tc>
      </w:tr>
      <w:tr w:rsidR="00D82087" w:rsidRPr="00D82087" w14:paraId="2250C269" w14:textId="77777777" w:rsidTr="00D82087">
        <w:trPr>
          <w:trHeight w:val="615"/>
        </w:trPr>
        <w:tc>
          <w:tcPr>
            <w:tcW w:w="5240" w:type="dxa"/>
            <w:tcBorders>
              <w:top w:val="nil"/>
              <w:left w:val="nil"/>
              <w:bottom w:val="single" w:sz="4" w:space="0" w:color="auto"/>
              <w:right w:val="nil"/>
            </w:tcBorders>
            <w:shd w:val="clear" w:color="auto" w:fill="auto"/>
            <w:vAlign w:val="bottom"/>
            <w:hideMark/>
          </w:tcPr>
          <w:p w14:paraId="23954AC4"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Short-term investments (including securities</w:t>
            </w:r>
            <w:r w:rsidRPr="00D82087">
              <w:rPr>
                <w:rFonts w:ascii="Segoe UI" w:eastAsia="Times New Roman" w:hAnsi="Segoe UI" w:cs="Segoe UI"/>
                <w:color w:val="666666"/>
                <w:sz w:val="20"/>
                <w:szCs w:val="20"/>
              </w:rPr>
              <w:br/>
              <w:t xml:space="preserve">      loaned of </w:t>
            </w:r>
            <w:r w:rsidRPr="00D82087">
              <w:rPr>
                <w:rFonts w:ascii="Segoe UI" w:eastAsia="Times New Roman" w:hAnsi="Segoe UI" w:cs="Segoe UI"/>
                <w:b/>
                <w:bCs/>
                <w:color w:val="666666"/>
                <w:sz w:val="20"/>
                <w:szCs w:val="20"/>
              </w:rPr>
              <w:t>$4,774</w:t>
            </w:r>
            <w:r w:rsidRPr="00D82087">
              <w:rPr>
                <w:rFonts w:ascii="Segoe UI" w:eastAsia="Times New Roman" w:hAnsi="Segoe UI" w:cs="Segoe UI"/>
                <w:color w:val="666666"/>
                <w:sz w:val="20"/>
                <w:szCs w:val="20"/>
              </w:rPr>
              <w:t xml:space="preserve"> and $3,694)</w:t>
            </w:r>
          </w:p>
        </w:tc>
        <w:tc>
          <w:tcPr>
            <w:tcW w:w="1640" w:type="dxa"/>
            <w:tcBorders>
              <w:top w:val="nil"/>
              <w:left w:val="nil"/>
              <w:bottom w:val="single" w:sz="4" w:space="0" w:color="auto"/>
              <w:right w:val="nil"/>
            </w:tcBorders>
            <w:shd w:val="clear" w:color="auto" w:fill="auto"/>
            <w:noWrap/>
            <w:vAlign w:val="bottom"/>
            <w:hideMark/>
          </w:tcPr>
          <w:p w14:paraId="3161FA60"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131,587 </w:t>
            </w:r>
          </w:p>
        </w:tc>
        <w:tc>
          <w:tcPr>
            <w:tcW w:w="272" w:type="dxa"/>
            <w:tcBorders>
              <w:top w:val="nil"/>
              <w:left w:val="nil"/>
              <w:bottom w:val="nil"/>
              <w:right w:val="nil"/>
            </w:tcBorders>
            <w:shd w:val="clear" w:color="auto" w:fill="auto"/>
            <w:noWrap/>
            <w:vAlign w:val="bottom"/>
            <w:hideMark/>
          </w:tcPr>
          <w:p w14:paraId="16CEFF0F"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1E1B8F2F"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125,318 </w:t>
            </w:r>
          </w:p>
        </w:tc>
      </w:tr>
      <w:tr w:rsidR="00D82087" w:rsidRPr="00D82087" w14:paraId="012D8E5D" w14:textId="77777777" w:rsidTr="00D82087">
        <w:trPr>
          <w:trHeight w:val="615"/>
        </w:trPr>
        <w:tc>
          <w:tcPr>
            <w:tcW w:w="5240" w:type="dxa"/>
            <w:tcBorders>
              <w:top w:val="nil"/>
              <w:left w:val="nil"/>
              <w:bottom w:val="nil"/>
              <w:right w:val="nil"/>
            </w:tcBorders>
            <w:shd w:val="clear" w:color="auto" w:fill="auto"/>
            <w:vAlign w:val="bottom"/>
            <w:hideMark/>
          </w:tcPr>
          <w:p w14:paraId="0F3F02CD"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Total cash, cash equivalents, and short-term </w:t>
            </w:r>
            <w:r w:rsidRPr="00D82087">
              <w:rPr>
                <w:rFonts w:ascii="Segoe UI" w:eastAsia="Times New Roman" w:hAnsi="Segoe UI" w:cs="Segoe UI"/>
                <w:color w:val="666666"/>
                <w:sz w:val="20"/>
                <w:szCs w:val="20"/>
              </w:rPr>
              <w:br/>
              <w:t xml:space="preserve">         investments</w:t>
            </w:r>
          </w:p>
        </w:tc>
        <w:tc>
          <w:tcPr>
            <w:tcW w:w="1640" w:type="dxa"/>
            <w:tcBorders>
              <w:top w:val="nil"/>
              <w:left w:val="nil"/>
              <w:bottom w:val="nil"/>
              <w:right w:val="nil"/>
            </w:tcBorders>
            <w:shd w:val="clear" w:color="auto" w:fill="auto"/>
            <w:noWrap/>
            <w:vAlign w:val="bottom"/>
            <w:hideMark/>
          </w:tcPr>
          <w:p w14:paraId="7F5B1EFA"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138,471 </w:t>
            </w:r>
          </w:p>
        </w:tc>
        <w:tc>
          <w:tcPr>
            <w:tcW w:w="272" w:type="dxa"/>
            <w:tcBorders>
              <w:top w:val="nil"/>
              <w:left w:val="nil"/>
              <w:bottom w:val="nil"/>
              <w:right w:val="nil"/>
            </w:tcBorders>
            <w:shd w:val="clear" w:color="auto" w:fill="auto"/>
            <w:noWrap/>
            <w:vAlign w:val="bottom"/>
            <w:hideMark/>
          </w:tcPr>
          <w:p w14:paraId="65C058F9"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1F2247EA"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132,981 </w:t>
            </w:r>
          </w:p>
        </w:tc>
      </w:tr>
      <w:tr w:rsidR="00D82087" w:rsidRPr="00D82087" w14:paraId="1648387B" w14:textId="77777777" w:rsidTr="00D82087">
        <w:trPr>
          <w:trHeight w:val="615"/>
        </w:trPr>
        <w:tc>
          <w:tcPr>
            <w:tcW w:w="5240" w:type="dxa"/>
            <w:tcBorders>
              <w:top w:val="nil"/>
              <w:left w:val="nil"/>
              <w:bottom w:val="nil"/>
              <w:right w:val="nil"/>
            </w:tcBorders>
            <w:shd w:val="clear" w:color="auto" w:fill="auto"/>
            <w:vAlign w:val="bottom"/>
            <w:hideMark/>
          </w:tcPr>
          <w:p w14:paraId="4BBB3BA9"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Accounts receivable, net of allowance for doubtful</w:t>
            </w:r>
            <w:r w:rsidRPr="00D82087">
              <w:rPr>
                <w:rFonts w:ascii="Segoe UI" w:eastAsia="Times New Roman" w:hAnsi="Segoe UI" w:cs="Segoe UI"/>
                <w:color w:val="666666"/>
                <w:sz w:val="20"/>
                <w:szCs w:val="20"/>
              </w:rPr>
              <w:br/>
              <w:t xml:space="preserve">      accounts of </w:t>
            </w:r>
            <w:r w:rsidRPr="00D82087">
              <w:rPr>
                <w:rFonts w:ascii="Segoe UI" w:eastAsia="Times New Roman" w:hAnsi="Segoe UI" w:cs="Segoe UI"/>
                <w:b/>
                <w:bCs/>
                <w:color w:val="666666"/>
                <w:sz w:val="20"/>
                <w:szCs w:val="20"/>
              </w:rPr>
              <w:t>$285</w:t>
            </w:r>
            <w:r w:rsidRPr="00D82087">
              <w:rPr>
                <w:rFonts w:ascii="Segoe UI" w:eastAsia="Times New Roman" w:hAnsi="Segoe UI" w:cs="Segoe UI"/>
                <w:color w:val="666666"/>
                <w:sz w:val="20"/>
                <w:szCs w:val="20"/>
              </w:rPr>
              <w:t xml:space="preserve"> and $345</w:t>
            </w:r>
          </w:p>
        </w:tc>
        <w:tc>
          <w:tcPr>
            <w:tcW w:w="1640" w:type="dxa"/>
            <w:tcBorders>
              <w:top w:val="nil"/>
              <w:left w:val="nil"/>
              <w:bottom w:val="nil"/>
              <w:right w:val="nil"/>
            </w:tcBorders>
            <w:shd w:val="clear" w:color="auto" w:fill="auto"/>
            <w:noWrap/>
            <w:vAlign w:val="bottom"/>
            <w:hideMark/>
          </w:tcPr>
          <w:p w14:paraId="68EC8CDF"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14,561 </w:t>
            </w:r>
          </w:p>
        </w:tc>
        <w:tc>
          <w:tcPr>
            <w:tcW w:w="272" w:type="dxa"/>
            <w:tcBorders>
              <w:top w:val="nil"/>
              <w:left w:val="nil"/>
              <w:bottom w:val="nil"/>
              <w:right w:val="nil"/>
            </w:tcBorders>
            <w:shd w:val="clear" w:color="auto" w:fill="auto"/>
            <w:noWrap/>
            <w:vAlign w:val="bottom"/>
            <w:hideMark/>
          </w:tcPr>
          <w:p w14:paraId="55E54172"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570C849C"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22,431 </w:t>
            </w:r>
          </w:p>
        </w:tc>
      </w:tr>
      <w:tr w:rsidR="00D82087" w:rsidRPr="00D82087" w14:paraId="5A0ECE9E" w14:textId="77777777" w:rsidTr="00D82087">
        <w:trPr>
          <w:trHeight w:val="308"/>
        </w:trPr>
        <w:tc>
          <w:tcPr>
            <w:tcW w:w="5240" w:type="dxa"/>
            <w:tcBorders>
              <w:top w:val="nil"/>
              <w:left w:val="nil"/>
              <w:bottom w:val="nil"/>
              <w:right w:val="nil"/>
            </w:tcBorders>
            <w:shd w:val="clear" w:color="auto" w:fill="auto"/>
            <w:noWrap/>
            <w:vAlign w:val="bottom"/>
            <w:hideMark/>
          </w:tcPr>
          <w:p w14:paraId="6BAB780F"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Inventories</w:t>
            </w:r>
          </w:p>
        </w:tc>
        <w:tc>
          <w:tcPr>
            <w:tcW w:w="1640" w:type="dxa"/>
            <w:tcBorders>
              <w:top w:val="nil"/>
              <w:left w:val="nil"/>
              <w:bottom w:val="nil"/>
              <w:right w:val="nil"/>
            </w:tcBorders>
            <w:shd w:val="clear" w:color="auto" w:fill="auto"/>
            <w:noWrap/>
            <w:vAlign w:val="bottom"/>
            <w:hideMark/>
          </w:tcPr>
          <w:p w14:paraId="2C29CC30"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3,211 </w:t>
            </w:r>
          </w:p>
        </w:tc>
        <w:tc>
          <w:tcPr>
            <w:tcW w:w="272" w:type="dxa"/>
            <w:tcBorders>
              <w:top w:val="nil"/>
              <w:left w:val="nil"/>
              <w:bottom w:val="nil"/>
              <w:right w:val="nil"/>
            </w:tcBorders>
            <w:shd w:val="clear" w:color="auto" w:fill="auto"/>
            <w:noWrap/>
            <w:vAlign w:val="bottom"/>
            <w:hideMark/>
          </w:tcPr>
          <w:p w14:paraId="5A8B2746"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276EA077"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2,181 </w:t>
            </w:r>
          </w:p>
        </w:tc>
      </w:tr>
      <w:tr w:rsidR="00D82087" w:rsidRPr="00D82087" w14:paraId="3AF94F3B" w14:textId="77777777" w:rsidTr="00D82087">
        <w:trPr>
          <w:trHeight w:val="308"/>
        </w:trPr>
        <w:tc>
          <w:tcPr>
            <w:tcW w:w="5240" w:type="dxa"/>
            <w:tcBorders>
              <w:top w:val="nil"/>
              <w:left w:val="nil"/>
              <w:bottom w:val="single" w:sz="4" w:space="0" w:color="auto"/>
              <w:right w:val="nil"/>
            </w:tcBorders>
            <w:shd w:val="clear" w:color="auto" w:fill="auto"/>
            <w:noWrap/>
            <w:vAlign w:val="center"/>
            <w:hideMark/>
          </w:tcPr>
          <w:p w14:paraId="051977FE"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Other</w:t>
            </w:r>
          </w:p>
        </w:tc>
        <w:tc>
          <w:tcPr>
            <w:tcW w:w="1640" w:type="dxa"/>
            <w:tcBorders>
              <w:top w:val="nil"/>
              <w:left w:val="nil"/>
              <w:bottom w:val="single" w:sz="4" w:space="0" w:color="auto"/>
              <w:right w:val="nil"/>
            </w:tcBorders>
            <w:shd w:val="clear" w:color="auto" w:fill="auto"/>
            <w:noWrap/>
            <w:vAlign w:val="bottom"/>
            <w:hideMark/>
          </w:tcPr>
          <w:p w14:paraId="3D1CF0AA"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4,788 </w:t>
            </w:r>
          </w:p>
        </w:tc>
        <w:tc>
          <w:tcPr>
            <w:tcW w:w="272" w:type="dxa"/>
            <w:tcBorders>
              <w:top w:val="nil"/>
              <w:left w:val="nil"/>
              <w:bottom w:val="nil"/>
              <w:right w:val="nil"/>
            </w:tcBorders>
            <w:shd w:val="clear" w:color="auto" w:fill="auto"/>
            <w:noWrap/>
            <w:vAlign w:val="bottom"/>
            <w:hideMark/>
          </w:tcPr>
          <w:p w14:paraId="1A4975BD"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0F368E2F"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5,103 </w:t>
            </w:r>
          </w:p>
        </w:tc>
      </w:tr>
      <w:tr w:rsidR="00D82087" w:rsidRPr="00D82087" w14:paraId="40C3190E" w14:textId="77777777" w:rsidTr="00D82087">
        <w:trPr>
          <w:trHeight w:val="308"/>
        </w:trPr>
        <w:tc>
          <w:tcPr>
            <w:tcW w:w="5240" w:type="dxa"/>
            <w:tcBorders>
              <w:top w:val="nil"/>
              <w:left w:val="nil"/>
              <w:bottom w:val="nil"/>
              <w:right w:val="nil"/>
            </w:tcBorders>
            <w:shd w:val="clear" w:color="auto" w:fill="auto"/>
            <w:noWrap/>
            <w:vAlign w:val="bottom"/>
            <w:hideMark/>
          </w:tcPr>
          <w:p w14:paraId="09616015"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Total current assets</w:t>
            </w:r>
          </w:p>
        </w:tc>
        <w:tc>
          <w:tcPr>
            <w:tcW w:w="1640" w:type="dxa"/>
            <w:tcBorders>
              <w:top w:val="nil"/>
              <w:left w:val="nil"/>
              <w:bottom w:val="nil"/>
              <w:right w:val="nil"/>
            </w:tcBorders>
            <w:shd w:val="clear" w:color="auto" w:fill="auto"/>
            <w:noWrap/>
            <w:vAlign w:val="bottom"/>
            <w:hideMark/>
          </w:tcPr>
          <w:p w14:paraId="77AFAA57"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161,031 </w:t>
            </w:r>
          </w:p>
        </w:tc>
        <w:tc>
          <w:tcPr>
            <w:tcW w:w="272" w:type="dxa"/>
            <w:tcBorders>
              <w:top w:val="nil"/>
              <w:left w:val="nil"/>
              <w:bottom w:val="nil"/>
              <w:right w:val="nil"/>
            </w:tcBorders>
            <w:shd w:val="clear" w:color="auto" w:fill="auto"/>
            <w:noWrap/>
            <w:vAlign w:val="bottom"/>
            <w:hideMark/>
          </w:tcPr>
          <w:p w14:paraId="2926CBF6"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506B55B0"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162,696 </w:t>
            </w:r>
          </w:p>
        </w:tc>
      </w:tr>
      <w:tr w:rsidR="00D82087" w:rsidRPr="00D82087" w14:paraId="52B7E063" w14:textId="77777777" w:rsidTr="00D82087">
        <w:trPr>
          <w:trHeight w:val="615"/>
        </w:trPr>
        <w:tc>
          <w:tcPr>
            <w:tcW w:w="5240" w:type="dxa"/>
            <w:tcBorders>
              <w:top w:val="nil"/>
              <w:left w:val="nil"/>
              <w:bottom w:val="nil"/>
              <w:right w:val="nil"/>
            </w:tcBorders>
            <w:shd w:val="clear" w:color="auto" w:fill="auto"/>
            <w:vAlign w:val="bottom"/>
            <w:hideMark/>
          </w:tcPr>
          <w:p w14:paraId="17A4F8F1"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Property and equipment, net of accumulated</w:t>
            </w:r>
            <w:r w:rsidRPr="00D82087">
              <w:rPr>
                <w:rFonts w:ascii="Segoe UI" w:eastAsia="Times New Roman" w:hAnsi="Segoe UI" w:cs="Segoe UI"/>
                <w:color w:val="666666"/>
                <w:sz w:val="20"/>
                <w:szCs w:val="20"/>
              </w:rPr>
              <w:br/>
              <w:t xml:space="preserve">   depreciation of </w:t>
            </w:r>
            <w:r w:rsidRPr="00D82087">
              <w:rPr>
                <w:rFonts w:ascii="Segoe UI" w:eastAsia="Times New Roman" w:hAnsi="Segoe UI" w:cs="Segoe UI"/>
                <w:b/>
                <w:bCs/>
                <w:color w:val="666666"/>
                <w:sz w:val="20"/>
                <w:szCs w:val="20"/>
              </w:rPr>
              <w:t>$25,523</w:t>
            </w:r>
            <w:r w:rsidRPr="00D82087">
              <w:rPr>
                <w:rFonts w:ascii="Segoe UI" w:eastAsia="Times New Roman" w:hAnsi="Segoe UI" w:cs="Segoe UI"/>
                <w:color w:val="666666"/>
                <w:sz w:val="20"/>
                <w:szCs w:val="20"/>
              </w:rPr>
              <w:t xml:space="preserve"> and $24,179</w:t>
            </w:r>
          </w:p>
        </w:tc>
        <w:tc>
          <w:tcPr>
            <w:tcW w:w="1640" w:type="dxa"/>
            <w:tcBorders>
              <w:top w:val="nil"/>
              <w:left w:val="nil"/>
              <w:bottom w:val="nil"/>
              <w:right w:val="nil"/>
            </w:tcBorders>
            <w:shd w:val="clear" w:color="auto" w:fill="auto"/>
            <w:noWrap/>
            <w:vAlign w:val="bottom"/>
            <w:hideMark/>
          </w:tcPr>
          <w:p w14:paraId="2EEEFAA3"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24,809 </w:t>
            </w:r>
          </w:p>
        </w:tc>
        <w:tc>
          <w:tcPr>
            <w:tcW w:w="272" w:type="dxa"/>
            <w:tcBorders>
              <w:top w:val="nil"/>
              <w:left w:val="nil"/>
              <w:bottom w:val="nil"/>
              <w:right w:val="nil"/>
            </w:tcBorders>
            <w:shd w:val="clear" w:color="auto" w:fill="auto"/>
            <w:noWrap/>
            <w:vAlign w:val="bottom"/>
            <w:hideMark/>
          </w:tcPr>
          <w:p w14:paraId="211204D3"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4B4FE2AD"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23,734 </w:t>
            </w:r>
          </w:p>
        </w:tc>
      </w:tr>
      <w:tr w:rsidR="00D82087" w:rsidRPr="00D82087" w14:paraId="2EE59635" w14:textId="77777777" w:rsidTr="00D82087">
        <w:trPr>
          <w:trHeight w:val="308"/>
        </w:trPr>
        <w:tc>
          <w:tcPr>
            <w:tcW w:w="5240" w:type="dxa"/>
            <w:tcBorders>
              <w:top w:val="nil"/>
              <w:left w:val="nil"/>
              <w:bottom w:val="nil"/>
              <w:right w:val="nil"/>
            </w:tcBorders>
            <w:shd w:val="clear" w:color="auto" w:fill="auto"/>
            <w:vAlign w:val="bottom"/>
            <w:hideMark/>
          </w:tcPr>
          <w:p w14:paraId="73281220"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Operating lease right-of-use assets</w:t>
            </w:r>
          </w:p>
        </w:tc>
        <w:tc>
          <w:tcPr>
            <w:tcW w:w="1640" w:type="dxa"/>
            <w:tcBorders>
              <w:top w:val="nil"/>
              <w:left w:val="nil"/>
              <w:bottom w:val="nil"/>
              <w:right w:val="nil"/>
            </w:tcBorders>
            <w:shd w:val="clear" w:color="auto" w:fill="auto"/>
            <w:noWrap/>
            <w:vAlign w:val="bottom"/>
            <w:hideMark/>
          </w:tcPr>
          <w:p w14:paraId="634C3F7F"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6,844 </w:t>
            </w:r>
          </w:p>
        </w:tc>
        <w:tc>
          <w:tcPr>
            <w:tcW w:w="272" w:type="dxa"/>
            <w:tcBorders>
              <w:top w:val="nil"/>
              <w:left w:val="nil"/>
              <w:bottom w:val="nil"/>
              <w:right w:val="nil"/>
            </w:tcBorders>
            <w:shd w:val="clear" w:color="auto" w:fill="auto"/>
            <w:noWrap/>
            <w:vAlign w:val="bottom"/>
            <w:hideMark/>
          </w:tcPr>
          <w:p w14:paraId="7F2CDE4C"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775910C7"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6,555 </w:t>
            </w:r>
          </w:p>
        </w:tc>
      </w:tr>
      <w:tr w:rsidR="00D82087" w:rsidRPr="00D82087" w14:paraId="41B8A34B" w14:textId="77777777" w:rsidTr="00D82087">
        <w:trPr>
          <w:trHeight w:val="308"/>
        </w:trPr>
        <w:tc>
          <w:tcPr>
            <w:tcW w:w="5240" w:type="dxa"/>
            <w:tcBorders>
              <w:top w:val="nil"/>
              <w:left w:val="nil"/>
              <w:bottom w:val="nil"/>
              <w:right w:val="nil"/>
            </w:tcBorders>
            <w:shd w:val="clear" w:color="auto" w:fill="auto"/>
            <w:noWrap/>
            <w:vAlign w:val="bottom"/>
            <w:hideMark/>
          </w:tcPr>
          <w:p w14:paraId="38C04918"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Equity and other investments</w:t>
            </w:r>
          </w:p>
        </w:tc>
        <w:tc>
          <w:tcPr>
            <w:tcW w:w="1640" w:type="dxa"/>
            <w:tcBorders>
              <w:top w:val="nil"/>
              <w:left w:val="nil"/>
              <w:bottom w:val="nil"/>
              <w:right w:val="nil"/>
            </w:tcBorders>
            <w:shd w:val="clear" w:color="auto" w:fill="auto"/>
            <w:noWrap/>
            <w:vAlign w:val="bottom"/>
            <w:hideMark/>
          </w:tcPr>
          <w:p w14:paraId="43C0EF64"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5,343 </w:t>
            </w:r>
          </w:p>
        </w:tc>
        <w:tc>
          <w:tcPr>
            <w:tcW w:w="272" w:type="dxa"/>
            <w:tcBorders>
              <w:top w:val="nil"/>
              <w:left w:val="nil"/>
              <w:bottom w:val="nil"/>
              <w:right w:val="nil"/>
            </w:tcBorders>
            <w:shd w:val="clear" w:color="auto" w:fill="auto"/>
            <w:noWrap/>
            <w:vAlign w:val="bottom"/>
            <w:hideMark/>
          </w:tcPr>
          <w:p w14:paraId="5BACA8B7"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09D16913"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6,023 </w:t>
            </w:r>
          </w:p>
        </w:tc>
      </w:tr>
      <w:tr w:rsidR="00D82087" w:rsidRPr="00D82087" w14:paraId="5D704565" w14:textId="77777777" w:rsidTr="00D82087">
        <w:trPr>
          <w:trHeight w:val="308"/>
        </w:trPr>
        <w:tc>
          <w:tcPr>
            <w:tcW w:w="5240" w:type="dxa"/>
            <w:tcBorders>
              <w:top w:val="nil"/>
              <w:left w:val="nil"/>
              <w:bottom w:val="nil"/>
              <w:right w:val="nil"/>
            </w:tcBorders>
            <w:shd w:val="clear" w:color="auto" w:fill="auto"/>
            <w:noWrap/>
            <w:vAlign w:val="bottom"/>
            <w:hideMark/>
          </w:tcPr>
          <w:p w14:paraId="635D4039"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Goodwill</w:t>
            </w:r>
          </w:p>
        </w:tc>
        <w:tc>
          <w:tcPr>
            <w:tcW w:w="1640" w:type="dxa"/>
            <w:tcBorders>
              <w:top w:val="nil"/>
              <w:left w:val="nil"/>
              <w:bottom w:val="nil"/>
              <w:right w:val="nil"/>
            </w:tcBorders>
            <w:shd w:val="clear" w:color="auto" w:fill="auto"/>
            <w:noWrap/>
            <w:vAlign w:val="bottom"/>
            <w:hideMark/>
          </w:tcPr>
          <w:p w14:paraId="0B75AB98"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35,389 </w:t>
            </w:r>
          </w:p>
        </w:tc>
        <w:tc>
          <w:tcPr>
            <w:tcW w:w="272" w:type="dxa"/>
            <w:tcBorders>
              <w:top w:val="nil"/>
              <w:left w:val="nil"/>
              <w:bottom w:val="nil"/>
              <w:right w:val="nil"/>
            </w:tcBorders>
            <w:shd w:val="clear" w:color="auto" w:fill="auto"/>
            <w:noWrap/>
            <w:vAlign w:val="bottom"/>
            <w:hideMark/>
          </w:tcPr>
          <w:p w14:paraId="3C449460"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2DFCFC85"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35,122 </w:t>
            </w:r>
          </w:p>
        </w:tc>
      </w:tr>
      <w:tr w:rsidR="00D82087" w:rsidRPr="00D82087" w14:paraId="00A5C179" w14:textId="77777777" w:rsidTr="00D82087">
        <w:trPr>
          <w:trHeight w:val="308"/>
        </w:trPr>
        <w:tc>
          <w:tcPr>
            <w:tcW w:w="5240" w:type="dxa"/>
            <w:tcBorders>
              <w:top w:val="nil"/>
              <w:left w:val="nil"/>
              <w:bottom w:val="nil"/>
              <w:right w:val="nil"/>
            </w:tcBorders>
            <w:shd w:val="clear" w:color="auto" w:fill="auto"/>
            <w:noWrap/>
            <w:vAlign w:val="bottom"/>
            <w:hideMark/>
          </w:tcPr>
          <w:p w14:paraId="37230DAE"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Intangible assets, net</w:t>
            </w:r>
          </w:p>
        </w:tc>
        <w:tc>
          <w:tcPr>
            <w:tcW w:w="1640" w:type="dxa"/>
            <w:tcBorders>
              <w:top w:val="nil"/>
              <w:left w:val="nil"/>
              <w:bottom w:val="nil"/>
              <w:right w:val="nil"/>
            </w:tcBorders>
            <w:shd w:val="clear" w:color="auto" w:fill="auto"/>
            <w:noWrap/>
            <w:vAlign w:val="bottom"/>
            <w:hideMark/>
          </w:tcPr>
          <w:p w14:paraId="56D0ABD2"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9,598 </w:t>
            </w:r>
          </w:p>
        </w:tc>
        <w:tc>
          <w:tcPr>
            <w:tcW w:w="272" w:type="dxa"/>
            <w:tcBorders>
              <w:top w:val="nil"/>
              <w:left w:val="nil"/>
              <w:bottom w:val="nil"/>
              <w:right w:val="nil"/>
            </w:tcBorders>
            <w:shd w:val="clear" w:color="auto" w:fill="auto"/>
            <w:noWrap/>
            <w:vAlign w:val="bottom"/>
            <w:hideMark/>
          </w:tcPr>
          <w:p w14:paraId="1E5C6870"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5A1F5FA9"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10,106 </w:t>
            </w:r>
          </w:p>
        </w:tc>
      </w:tr>
      <w:tr w:rsidR="00D82087" w:rsidRPr="00D82087" w14:paraId="79766615" w14:textId="77777777" w:rsidTr="00D82087">
        <w:trPr>
          <w:trHeight w:val="308"/>
        </w:trPr>
        <w:tc>
          <w:tcPr>
            <w:tcW w:w="5240" w:type="dxa"/>
            <w:tcBorders>
              <w:top w:val="nil"/>
              <w:left w:val="nil"/>
              <w:bottom w:val="single" w:sz="4" w:space="0" w:color="auto"/>
              <w:right w:val="nil"/>
            </w:tcBorders>
            <w:shd w:val="clear" w:color="auto" w:fill="auto"/>
            <w:noWrap/>
            <w:vAlign w:val="bottom"/>
            <w:hideMark/>
          </w:tcPr>
          <w:p w14:paraId="71FBE1B9"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Other long-term assets</w:t>
            </w:r>
          </w:p>
        </w:tc>
        <w:tc>
          <w:tcPr>
            <w:tcW w:w="1640" w:type="dxa"/>
            <w:tcBorders>
              <w:top w:val="nil"/>
              <w:left w:val="nil"/>
              <w:bottom w:val="single" w:sz="4" w:space="0" w:color="auto"/>
              <w:right w:val="nil"/>
            </w:tcBorders>
            <w:shd w:val="clear" w:color="auto" w:fill="auto"/>
            <w:noWrap/>
            <w:vAlign w:val="bottom"/>
            <w:hideMark/>
          </w:tcPr>
          <w:p w14:paraId="670F5AD6"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6,083 </w:t>
            </w:r>
          </w:p>
        </w:tc>
        <w:tc>
          <w:tcPr>
            <w:tcW w:w="272" w:type="dxa"/>
            <w:tcBorders>
              <w:top w:val="nil"/>
              <w:left w:val="nil"/>
              <w:bottom w:val="nil"/>
              <w:right w:val="nil"/>
            </w:tcBorders>
            <w:shd w:val="clear" w:color="auto" w:fill="auto"/>
            <w:noWrap/>
            <w:vAlign w:val="bottom"/>
            <w:hideMark/>
          </w:tcPr>
          <w:p w14:paraId="531CA705"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0D405E82"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6,076 </w:t>
            </w:r>
          </w:p>
        </w:tc>
      </w:tr>
      <w:tr w:rsidR="00D82087" w:rsidRPr="00D82087" w14:paraId="1FB9D259" w14:textId="77777777" w:rsidTr="00D82087">
        <w:trPr>
          <w:trHeight w:val="315"/>
        </w:trPr>
        <w:tc>
          <w:tcPr>
            <w:tcW w:w="5240" w:type="dxa"/>
            <w:tcBorders>
              <w:top w:val="nil"/>
              <w:left w:val="nil"/>
              <w:bottom w:val="nil"/>
              <w:right w:val="nil"/>
            </w:tcBorders>
            <w:shd w:val="clear" w:color="auto" w:fill="auto"/>
            <w:noWrap/>
            <w:vAlign w:val="bottom"/>
            <w:hideMark/>
          </w:tcPr>
          <w:p w14:paraId="4E37310F" w14:textId="77777777" w:rsidR="00D82087" w:rsidRPr="00D82087" w:rsidRDefault="00D82087" w:rsidP="00D82087">
            <w:pPr>
              <w:spacing w:after="0" w:line="240" w:lineRule="auto"/>
              <w:ind w:firstLineChars="100" w:firstLine="200"/>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Total assets</w:t>
            </w:r>
          </w:p>
        </w:tc>
        <w:tc>
          <w:tcPr>
            <w:tcW w:w="1640" w:type="dxa"/>
            <w:tcBorders>
              <w:top w:val="nil"/>
              <w:left w:val="nil"/>
              <w:bottom w:val="single" w:sz="8" w:space="0" w:color="auto"/>
              <w:right w:val="nil"/>
            </w:tcBorders>
            <w:shd w:val="clear" w:color="auto" w:fill="auto"/>
            <w:noWrap/>
            <w:vAlign w:val="bottom"/>
            <w:hideMark/>
          </w:tcPr>
          <w:p w14:paraId="3661E8FD"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 $249,097 </w:t>
            </w:r>
          </w:p>
        </w:tc>
        <w:tc>
          <w:tcPr>
            <w:tcW w:w="272" w:type="dxa"/>
            <w:tcBorders>
              <w:top w:val="nil"/>
              <w:left w:val="nil"/>
              <w:bottom w:val="nil"/>
              <w:right w:val="nil"/>
            </w:tcBorders>
            <w:shd w:val="clear" w:color="auto" w:fill="auto"/>
            <w:noWrap/>
            <w:vAlign w:val="bottom"/>
            <w:hideMark/>
          </w:tcPr>
          <w:p w14:paraId="6533F1E6"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8" w:space="0" w:color="auto"/>
              <w:right w:val="nil"/>
            </w:tcBorders>
            <w:shd w:val="clear" w:color="auto" w:fill="auto"/>
            <w:noWrap/>
            <w:vAlign w:val="bottom"/>
            <w:hideMark/>
          </w:tcPr>
          <w:p w14:paraId="14D3E30B"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$250,312 </w:t>
            </w:r>
          </w:p>
        </w:tc>
      </w:tr>
      <w:tr w:rsidR="00D82087" w:rsidRPr="00D82087" w14:paraId="2EB559B0" w14:textId="77777777" w:rsidTr="00D82087">
        <w:trPr>
          <w:trHeight w:val="308"/>
        </w:trPr>
        <w:tc>
          <w:tcPr>
            <w:tcW w:w="5240" w:type="dxa"/>
            <w:tcBorders>
              <w:top w:val="nil"/>
              <w:left w:val="nil"/>
              <w:bottom w:val="nil"/>
              <w:right w:val="nil"/>
            </w:tcBorders>
            <w:shd w:val="clear" w:color="auto" w:fill="auto"/>
            <w:noWrap/>
            <w:vAlign w:val="bottom"/>
            <w:hideMark/>
          </w:tcPr>
          <w:p w14:paraId="36C76066" w14:textId="77777777" w:rsidR="00D82087" w:rsidRPr="00D82087" w:rsidRDefault="00D82087" w:rsidP="00D82087">
            <w:pPr>
              <w:spacing w:after="0" w:line="240" w:lineRule="auto"/>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Liabilities and stockholders' equity</w:t>
            </w:r>
          </w:p>
        </w:tc>
        <w:tc>
          <w:tcPr>
            <w:tcW w:w="1640" w:type="dxa"/>
            <w:tcBorders>
              <w:top w:val="nil"/>
              <w:left w:val="nil"/>
              <w:bottom w:val="nil"/>
              <w:right w:val="nil"/>
            </w:tcBorders>
            <w:shd w:val="clear" w:color="auto" w:fill="auto"/>
            <w:noWrap/>
            <w:vAlign w:val="bottom"/>
            <w:hideMark/>
          </w:tcPr>
          <w:p w14:paraId="19C9E826" w14:textId="77777777" w:rsidR="00D82087" w:rsidRPr="00D82087" w:rsidRDefault="00D82087" w:rsidP="00D82087">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71DBAB08" w14:textId="77777777" w:rsidR="00D82087" w:rsidRPr="00D82087" w:rsidRDefault="00D82087" w:rsidP="00D82087">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133D38B6" w14:textId="77777777" w:rsidR="00D82087" w:rsidRPr="00D82087" w:rsidRDefault="00D82087" w:rsidP="00D82087">
            <w:pPr>
              <w:spacing w:after="0" w:line="240" w:lineRule="auto"/>
              <w:rPr>
                <w:rFonts w:ascii="Times New Roman" w:eastAsia="Times New Roman" w:hAnsi="Times New Roman"/>
                <w:sz w:val="20"/>
                <w:szCs w:val="20"/>
              </w:rPr>
            </w:pPr>
          </w:p>
        </w:tc>
      </w:tr>
      <w:tr w:rsidR="00D82087" w:rsidRPr="00D82087" w14:paraId="49DEC282" w14:textId="77777777" w:rsidTr="00D82087">
        <w:trPr>
          <w:trHeight w:val="308"/>
        </w:trPr>
        <w:tc>
          <w:tcPr>
            <w:tcW w:w="5240" w:type="dxa"/>
            <w:tcBorders>
              <w:top w:val="nil"/>
              <w:left w:val="nil"/>
              <w:bottom w:val="nil"/>
              <w:right w:val="nil"/>
            </w:tcBorders>
            <w:shd w:val="clear" w:color="auto" w:fill="auto"/>
            <w:noWrap/>
            <w:vAlign w:val="bottom"/>
            <w:hideMark/>
          </w:tcPr>
          <w:p w14:paraId="7E3E77EC"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Current liabilities:</w:t>
            </w:r>
          </w:p>
        </w:tc>
        <w:tc>
          <w:tcPr>
            <w:tcW w:w="1640" w:type="dxa"/>
            <w:tcBorders>
              <w:top w:val="nil"/>
              <w:left w:val="nil"/>
              <w:bottom w:val="nil"/>
              <w:right w:val="nil"/>
            </w:tcBorders>
            <w:shd w:val="clear" w:color="auto" w:fill="auto"/>
            <w:noWrap/>
            <w:vAlign w:val="bottom"/>
            <w:hideMark/>
          </w:tcPr>
          <w:p w14:paraId="3D8B8169" w14:textId="77777777" w:rsidR="00D82087" w:rsidRPr="00D82087" w:rsidRDefault="00D82087" w:rsidP="00D82087">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2BF0698B" w14:textId="77777777" w:rsidR="00D82087" w:rsidRPr="00D82087" w:rsidRDefault="00D82087" w:rsidP="00D82087">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410DCF84" w14:textId="77777777" w:rsidR="00D82087" w:rsidRPr="00D82087" w:rsidRDefault="00D82087" w:rsidP="00D82087">
            <w:pPr>
              <w:spacing w:after="0" w:line="240" w:lineRule="auto"/>
              <w:rPr>
                <w:rFonts w:ascii="Times New Roman" w:eastAsia="Times New Roman" w:hAnsi="Times New Roman"/>
                <w:sz w:val="20"/>
                <w:szCs w:val="20"/>
              </w:rPr>
            </w:pPr>
          </w:p>
        </w:tc>
      </w:tr>
      <w:tr w:rsidR="00D82087" w:rsidRPr="00D82087" w14:paraId="13E39BF0" w14:textId="77777777" w:rsidTr="00D82087">
        <w:trPr>
          <w:trHeight w:val="308"/>
        </w:trPr>
        <w:tc>
          <w:tcPr>
            <w:tcW w:w="5240" w:type="dxa"/>
            <w:tcBorders>
              <w:top w:val="nil"/>
              <w:left w:val="nil"/>
              <w:bottom w:val="nil"/>
              <w:right w:val="nil"/>
            </w:tcBorders>
            <w:shd w:val="clear" w:color="auto" w:fill="auto"/>
            <w:noWrap/>
            <w:vAlign w:val="bottom"/>
            <w:hideMark/>
          </w:tcPr>
          <w:p w14:paraId="01D8E0FA"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Accounts payable</w:t>
            </w:r>
          </w:p>
        </w:tc>
        <w:tc>
          <w:tcPr>
            <w:tcW w:w="1640" w:type="dxa"/>
            <w:tcBorders>
              <w:top w:val="nil"/>
              <w:left w:val="nil"/>
              <w:bottom w:val="nil"/>
              <w:right w:val="nil"/>
            </w:tcBorders>
            <w:shd w:val="clear" w:color="auto" w:fill="auto"/>
            <w:noWrap/>
            <w:vAlign w:val="bottom"/>
            <w:hideMark/>
          </w:tcPr>
          <w:p w14:paraId="783B91F0"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 $6,866 </w:t>
            </w:r>
          </w:p>
        </w:tc>
        <w:tc>
          <w:tcPr>
            <w:tcW w:w="272" w:type="dxa"/>
            <w:tcBorders>
              <w:top w:val="nil"/>
              <w:left w:val="nil"/>
              <w:bottom w:val="nil"/>
              <w:right w:val="nil"/>
            </w:tcBorders>
            <w:shd w:val="clear" w:color="auto" w:fill="auto"/>
            <w:noWrap/>
            <w:vAlign w:val="bottom"/>
            <w:hideMark/>
          </w:tcPr>
          <w:p w14:paraId="205A8A18"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4C708679"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$7,390 </w:t>
            </w:r>
          </w:p>
        </w:tc>
      </w:tr>
      <w:tr w:rsidR="00D82087" w:rsidRPr="00D82087" w14:paraId="5A93B42D" w14:textId="77777777" w:rsidTr="00D82087">
        <w:trPr>
          <w:trHeight w:val="308"/>
        </w:trPr>
        <w:tc>
          <w:tcPr>
            <w:tcW w:w="5240" w:type="dxa"/>
            <w:tcBorders>
              <w:top w:val="nil"/>
              <w:left w:val="nil"/>
              <w:bottom w:val="nil"/>
              <w:right w:val="nil"/>
            </w:tcBorders>
            <w:shd w:val="clear" w:color="auto" w:fill="auto"/>
            <w:noWrap/>
            <w:vAlign w:val="bottom"/>
            <w:hideMark/>
          </w:tcPr>
          <w:p w14:paraId="1DE200B5"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Short-term debt</w:t>
            </w:r>
          </w:p>
        </w:tc>
        <w:tc>
          <w:tcPr>
            <w:tcW w:w="1640" w:type="dxa"/>
            <w:tcBorders>
              <w:top w:val="nil"/>
              <w:left w:val="nil"/>
              <w:bottom w:val="nil"/>
              <w:right w:val="nil"/>
            </w:tcBorders>
            <w:shd w:val="clear" w:color="auto" w:fill="auto"/>
            <w:noWrap/>
            <w:vAlign w:val="bottom"/>
            <w:hideMark/>
          </w:tcPr>
          <w:p w14:paraId="0241F447"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8,170 </w:t>
            </w:r>
          </w:p>
        </w:tc>
        <w:tc>
          <w:tcPr>
            <w:tcW w:w="272" w:type="dxa"/>
            <w:tcBorders>
              <w:top w:val="nil"/>
              <w:left w:val="nil"/>
              <w:bottom w:val="nil"/>
              <w:right w:val="nil"/>
            </w:tcBorders>
            <w:shd w:val="clear" w:color="auto" w:fill="auto"/>
            <w:noWrap/>
            <w:vAlign w:val="bottom"/>
            <w:hideMark/>
          </w:tcPr>
          <w:p w14:paraId="3744F713"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6BC75EFB"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9,072 </w:t>
            </w:r>
          </w:p>
        </w:tc>
      </w:tr>
      <w:tr w:rsidR="00D82087" w:rsidRPr="00D82087" w14:paraId="1F64516F" w14:textId="77777777" w:rsidTr="00D82087">
        <w:trPr>
          <w:trHeight w:val="308"/>
        </w:trPr>
        <w:tc>
          <w:tcPr>
            <w:tcW w:w="5240" w:type="dxa"/>
            <w:tcBorders>
              <w:top w:val="nil"/>
              <w:left w:val="nil"/>
              <w:bottom w:val="nil"/>
              <w:right w:val="nil"/>
            </w:tcBorders>
            <w:shd w:val="clear" w:color="auto" w:fill="auto"/>
            <w:noWrap/>
            <w:vAlign w:val="bottom"/>
            <w:hideMark/>
          </w:tcPr>
          <w:p w14:paraId="6F73F8E3"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Current portion of long-term debt</w:t>
            </w:r>
          </w:p>
        </w:tc>
        <w:tc>
          <w:tcPr>
            <w:tcW w:w="1640" w:type="dxa"/>
            <w:tcBorders>
              <w:top w:val="nil"/>
              <w:left w:val="nil"/>
              <w:bottom w:val="nil"/>
              <w:right w:val="nil"/>
            </w:tcBorders>
            <w:shd w:val="clear" w:color="auto" w:fill="auto"/>
            <w:noWrap/>
            <w:vAlign w:val="bottom"/>
            <w:hideMark/>
          </w:tcPr>
          <w:p w14:paraId="4F2014CD"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1,050 </w:t>
            </w:r>
          </w:p>
        </w:tc>
        <w:tc>
          <w:tcPr>
            <w:tcW w:w="272" w:type="dxa"/>
            <w:tcBorders>
              <w:top w:val="nil"/>
              <w:left w:val="nil"/>
              <w:bottom w:val="nil"/>
              <w:right w:val="nil"/>
            </w:tcBorders>
            <w:shd w:val="clear" w:color="auto" w:fill="auto"/>
            <w:noWrap/>
            <w:vAlign w:val="bottom"/>
            <w:hideMark/>
          </w:tcPr>
          <w:p w14:paraId="1CCACB86"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2AEE9F5C"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1,049 </w:t>
            </w:r>
          </w:p>
        </w:tc>
      </w:tr>
      <w:tr w:rsidR="00D82087" w:rsidRPr="00D82087" w14:paraId="0DEAECC9" w14:textId="77777777" w:rsidTr="00D82087">
        <w:trPr>
          <w:trHeight w:val="308"/>
        </w:trPr>
        <w:tc>
          <w:tcPr>
            <w:tcW w:w="5240" w:type="dxa"/>
            <w:tcBorders>
              <w:top w:val="nil"/>
              <w:left w:val="nil"/>
              <w:bottom w:val="nil"/>
              <w:right w:val="nil"/>
            </w:tcBorders>
            <w:shd w:val="clear" w:color="auto" w:fill="auto"/>
            <w:noWrap/>
            <w:vAlign w:val="bottom"/>
            <w:hideMark/>
          </w:tcPr>
          <w:p w14:paraId="6694CDF6"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Accrued compensation</w:t>
            </w:r>
          </w:p>
        </w:tc>
        <w:tc>
          <w:tcPr>
            <w:tcW w:w="1640" w:type="dxa"/>
            <w:tcBorders>
              <w:top w:val="nil"/>
              <w:left w:val="nil"/>
              <w:bottom w:val="nil"/>
              <w:right w:val="nil"/>
            </w:tcBorders>
            <w:shd w:val="clear" w:color="auto" w:fill="auto"/>
            <w:noWrap/>
            <w:vAlign w:val="bottom"/>
            <w:hideMark/>
          </w:tcPr>
          <w:p w14:paraId="75AE50DF"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4,108 </w:t>
            </w:r>
          </w:p>
        </w:tc>
        <w:tc>
          <w:tcPr>
            <w:tcW w:w="272" w:type="dxa"/>
            <w:tcBorders>
              <w:top w:val="nil"/>
              <w:left w:val="nil"/>
              <w:bottom w:val="nil"/>
              <w:right w:val="nil"/>
            </w:tcBorders>
            <w:shd w:val="clear" w:color="auto" w:fill="auto"/>
            <w:noWrap/>
            <w:vAlign w:val="bottom"/>
            <w:hideMark/>
          </w:tcPr>
          <w:p w14:paraId="3B617A8A"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25A6DFF8"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5,819 </w:t>
            </w:r>
          </w:p>
        </w:tc>
      </w:tr>
      <w:tr w:rsidR="00D82087" w:rsidRPr="00D82087" w14:paraId="0B11ADEC" w14:textId="77777777" w:rsidTr="00D82087">
        <w:trPr>
          <w:trHeight w:val="308"/>
        </w:trPr>
        <w:tc>
          <w:tcPr>
            <w:tcW w:w="5240" w:type="dxa"/>
            <w:tcBorders>
              <w:top w:val="nil"/>
              <w:left w:val="nil"/>
              <w:bottom w:val="nil"/>
              <w:right w:val="nil"/>
            </w:tcBorders>
            <w:shd w:val="clear" w:color="auto" w:fill="auto"/>
            <w:noWrap/>
            <w:vAlign w:val="bottom"/>
            <w:hideMark/>
          </w:tcPr>
          <w:p w14:paraId="088A9DA2"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Income taxes</w:t>
            </w:r>
          </w:p>
        </w:tc>
        <w:tc>
          <w:tcPr>
            <w:tcW w:w="1640" w:type="dxa"/>
            <w:tcBorders>
              <w:top w:val="nil"/>
              <w:left w:val="nil"/>
              <w:bottom w:val="nil"/>
              <w:right w:val="nil"/>
            </w:tcBorders>
            <w:shd w:val="clear" w:color="auto" w:fill="auto"/>
            <w:noWrap/>
            <w:vAlign w:val="bottom"/>
            <w:hideMark/>
          </w:tcPr>
          <w:p w14:paraId="48CE15AF"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920 </w:t>
            </w:r>
          </w:p>
        </w:tc>
        <w:tc>
          <w:tcPr>
            <w:tcW w:w="272" w:type="dxa"/>
            <w:tcBorders>
              <w:top w:val="nil"/>
              <w:left w:val="nil"/>
              <w:bottom w:val="nil"/>
              <w:right w:val="nil"/>
            </w:tcBorders>
            <w:shd w:val="clear" w:color="auto" w:fill="auto"/>
            <w:noWrap/>
            <w:vAlign w:val="bottom"/>
            <w:hideMark/>
          </w:tcPr>
          <w:p w14:paraId="2522BF81"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4119850A"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718 </w:t>
            </w:r>
          </w:p>
        </w:tc>
      </w:tr>
      <w:tr w:rsidR="00D82087" w:rsidRPr="00D82087" w14:paraId="2F8B6877" w14:textId="77777777" w:rsidTr="00D82087">
        <w:trPr>
          <w:trHeight w:val="308"/>
        </w:trPr>
        <w:tc>
          <w:tcPr>
            <w:tcW w:w="5240" w:type="dxa"/>
            <w:tcBorders>
              <w:top w:val="nil"/>
              <w:left w:val="nil"/>
              <w:bottom w:val="nil"/>
              <w:right w:val="nil"/>
            </w:tcBorders>
            <w:shd w:val="clear" w:color="auto" w:fill="auto"/>
            <w:noWrap/>
            <w:vAlign w:val="bottom"/>
            <w:hideMark/>
          </w:tcPr>
          <w:p w14:paraId="4049EFAE"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Short-term unearned revenue</w:t>
            </w:r>
          </w:p>
        </w:tc>
        <w:tc>
          <w:tcPr>
            <w:tcW w:w="1640" w:type="dxa"/>
            <w:tcBorders>
              <w:top w:val="nil"/>
              <w:left w:val="nil"/>
              <w:bottom w:val="nil"/>
              <w:right w:val="nil"/>
            </w:tcBorders>
            <w:shd w:val="clear" w:color="auto" w:fill="auto"/>
            <w:noWrap/>
            <w:vAlign w:val="bottom"/>
            <w:hideMark/>
          </w:tcPr>
          <w:p w14:paraId="6F7CC1D8"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22,778 </w:t>
            </w:r>
          </w:p>
        </w:tc>
        <w:tc>
          <w:tcPr>
            <w:tcW w:w="272" w:type="dxa"/>
            <w:tcBorders>
              <w:top w:val="nil"/>
              <w:left w:val="nil"/>
              <w:bottom w:val="nil"/>
              <w:right w:val="nil"/>
            </w:tcBorders>
            <w:shd w:val="clear" w:color="auto" w:fill="auto"/>
            <w:noWrap/>
            <w:vAlign w:val="bottom"/>
            <w:hideMark/>
          </w:tcPr>
          <w:p w14:paraId="2025814B"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59DDDD9B"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24,013 </w:t>
            </w:r>
          </w:p>
        </w:tc>
      </w:tr>
      <w:tr w:rsidR="00D82087" w:rsidRPr="00D82087" w14:paraId="63EE900E" w14:textId="77777777" w:rsidTr="00D82087">
        <w:trPr>
          <w:trHeight w:val="308"/>
        </w:trPr>
        <w:tc>
          <w:tcPr>
            <w:tcW w:w="5240" w:type="dxa"/>
            <w:tcBorders>
              <w:top w:val="nil"/>
              <w:left w:val="nil"/>
              <w:bottom w:val="nil"/>
              <w:right w:val="nil"/>
            </w:tcBorders>
            <w:shd w:val="clear" w:color="auto" w:fill="auto"/>
            <w:noWrap/>
            <w:vAlign w:val="bottom"/>
            <w:hideMark/>
          </w:tcPr>
          <w:p w14:paraId="123358F4"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Securities lending payable</w:t>
            </w:r>
          </w:p>
        </w:tc>
        <w:tc>
          <w:tcPr>
            <w:tcW w:w="1640" w:type="dxa"/>
            <w:tcBorders>
              <w:top w:val="nil"/>
              <w:left w:val="nil"/>
              <w:bottom w:val="nil"/>
              <w:right w:val="nil"/>
            </w:tcBorders>
            <w:shd w:val="clear" w:color="auto" w:fill="auto"/>
            <w:noWrap/>
            <w:vAlign w:val="bottom"/>
            <w:hideMark/>
          </w:tcPr>
          <w:p w14:paraId="56E83333"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203 </w:t>
            </w:r>
          </w:p>
        </w:tc>
        <w:tc>
          <w:tcPr>
            <w:tcW w:w="272" w:type="dxa"/>
            <w:tcBorders>
              <w:top w:val="nil"/>
              <w:left w:val="nil"/>
              <w:bottom w:val="nil"/>
              <w:right w:val="nil"/>
            </w:tcBorders>
            <w:shd w:val="clear" w:color="auto" w:fill="auto"/>
            <w:noWrap/>
            <w:vAlign w:val="bottom"/>
            <w:hideMark/>
          </w:tcPr>
          <w:p w14:paraId="25010BF6"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3434AD71"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97 </w:t>
            </w:r>
          </w:p>
        </w:tc>
      </w:tr>
      <w:tr w:rsidR="00D82087" w:rsidRPr="00D82087" w14:paraId="3E11115A" w14:textId="77777777" w:rsidTr="00D82087">
        <w:trPr>
          <w:trHeight w:val="308"/>
        </w:trPr>
        <w:tc>
          <w:tcPr>
            <w:tcW w:w="5240" w:type="dxa"/>
            <w:tcBorders>
              <w:top w:val="nil"/>
              <w:left w:val="nil"/>
              <w:bottom w:val="single" w:sz="4" w:space="0" w:color="auto"/>
              <w:right w:val="nil"/>
            </w:tcBorders>
            <w:shd w:val="clear" w:color="auto" w:fill="auto"/>
            <w:noWrap/>
            <w:vAlign w:val="bottom"/>
            <w:hideMark/>
          </w:tcPr>
          <w:p w14:paraId="52195847"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Other</w:t>
            </w:r>
          </w:p>
        </w:tc>
        <w:tc>
          <w:tcPr>
            <w:tcW w:w="1640" w:type="dxa"/>
            <w:tcBorders>
              <w:top w:val="nil"/>
              <w:left w:val="nil"/>
              <w:bottom w:val="single" w:sz="4" w:space="0" w:color="auto"/>
              <w:right w:val="nil"/>
            </w:tcBorders>
            <w:shd w:val="clear" w:color="auto" w:fill="auto"/>
            <w:noWrap/>
            <w:vAlign w:val="bottom"/>
            <w:hideMark/>
          </w:tcPr>
          <w:p w14:paraId="315C8AEA"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7,520 </w:t>
            </w:r>
          </w:p>
        </w:tc>
        <w:tc>
          <w:tcPr>
            <w:tcW w:w="272" w:type="dxa"/>
            <w:tcBorders>
              <w:top w:val="nil"/>
              <w:left w:val="nil"/>
              <w:bottom w:val="nil"/>
              <w:right w:val="nil"/>
            </w:tcBorders>
            <w:shd w:val="clear" w:color="auto" w:fill="auto"/>
            <w:noWrap/>
            <w:vAlign w:val="bottom"/>
            <w:hideMark/>
          </w:tcPr>
          <w:p w14:paraId="4649F4CB"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1E40FC05"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7,587 </w:t>
            </w:r>
          </w:p>
        </w:tc>
      </w:tr>
      <w:tr w:rsidR="00D82087" w:rsidRPr="00D82087" w14:paraId="06D25DE5" w14:textId="77777777" w:rsidTr="00D82087">
        <w:trPr>
          <w:trHeight w:val="308"/>
        </w:trPr>
        <w:tc>
          <w:tcPr>
            <w:tcW w:w="5240" w:type="dxa"/>
            <w:tcBorders>
              <w:top w:val="nil"/>
              <w:left w:val="nil"/>
              <w:bottom w:val="nil"/>
              <w:right w:val="nil"/>
            </w:tcBorders>
            <w:shd w:val="clear" w:color="auto" w:fill="auto"/>
            <w:noWrap/>
            <w:vAlign w:val="bottom"/>
            <w:hideMark/>
          </w:tcPr>
          <w:p w14:paraId="2FD372C0"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Total current liabilities</w:t>
            </w:r>
          </w:p>
        </w:tc>
        <w:tc>
          <w:tcPr>
            <w:tcW w:w="1640" w:type="dxa"/>
            <w:tcBorders>
              <w:top w:val="nil"/>
              <w:left w:val="nil"/>
              <w:bottom w:val="nil"/>
              <w:right w:val="nil"/>
            </w:tcBorders>
            <w:shd w:val="clear" w:color="auto" w:fill="auto"/>
            <w:noWrap/>
            <w:vAlign w:val="bottom"/>
            <w:hideMark/>
          </w:tcPr>
          <w:p w14:paraId="5DE60D69"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51,615 </w:t>
            </w:r>
          </w:p>
        </w:tc>
        <w:tc>
          <w:tcPr>
            <w:tcW w:w="272" w:type="dxa"/>
            <w:tcBorders>
              <w:top w:val="nil"/>
              <w:left w:val="nil"/>
              <w:bottom w:val="nil"/>
              <w:right w:val="nil"/>
            </w:tcBorders>
            <w:shd w:val="clear" w:color="auto" w:fill="auto"/>
            <w:noWrap/>
            <w:vAlign w:val="bottom"/>
            <w:hideMark/>
          </w:tcPr>
          <w:p w14:paraId="5D9D50EE"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7736A7DA"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55,745 </w:t>
            </w:r>
          </w:p>
        </w:tc>
      </w:tr>
      <w:tr w:rsidR="00D82087" w:rsidRPr="00D82087" w14:paraId="136FEA73" w14:textId="77777777" w:rsidTr="00D82087">
        <w:trPr>
          <w:trHeight w:val="308"/>
        </w:trPr>
        <w:tc>
          <w:tcPr>
            <w:tcW w:w="5240" w:type="dxa"/>
            <w:tcBorders>
              <w:top w:val="nil"/>
              <w:left w:val="nil"/>
              <w:bottom w:val="nil"/>
              <w:right w:val="nil"/>
            </w:tcBorders>
            <w:shd w:val="clear" w:color="auto" w:fill="auto"/>
            <w:noWrap/>
            <w:vAlign w:val="bottom"/>
            <w:hideMark/>
          </w:tcPr>
          <w:p w14:paraId="4F68CBDE"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Long-term debt</w:t>
            </w:r>
          </w:p>
        </w:tc>
        <w:tc>
          <w:tcPr>
            <w:tcW w:w="1640" w:type="dxa"/>
            <w:tcBorders>
              <w:top w:val="nil"/>
              <w:left w:val="nil"/>
              <w:bottom w:val="nil"/>
              <w:right w:val="nil"/>
            </w:tcBorders>
            <w:shd w:val="clear" w:color="auto" w:fill="auto"/>
            <w:noWrap/>
            <w:vAlign w:val="bottom"/>
            <w:hideMark/>
          </w:tcPr>
          <w:p w14:paraId="0261EDE7"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76,255 </w:t>
            </w:r>
          </w:p>
        </w:tc>
        <w:tc>
          <w:tcPr>
            <w:tcW w:w="272" w:type="dxa"/>
            <w:tcBorders>
              <w:top w:val="nil"/>
              <w:left w:val="nil"/>
              <w:bottom w:val="nil"/>
              <w:right w:val="nil"/>
            </w:tcBorders>
            <w:shd w:val="clear" w:color="auto" w:fill="auto"/>
            <w:noWrap/>
            <w:vAlign w:val="bottom"/>
            <w:hideMark/>
          </w:tcPr>
          <w:p w14:paraId="01F059C4"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7CB05313"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76,073 </w:t>
            </w:r>
          </w:p>
        </w:tc>
      </w:tr>
      <w:tr w:rsidR="00D82087" w:rsidRPr="00D82087" w14:paraId="75857C36" w14:textId="77777777" w:rsidTr="00D82087">
        <w:trPr>
          <w:trHeight w:val="308"/>
        </w:trPr>
        <w:tc>
          <w:tcPr>
            <w:tcW w:w="5240" w:type="dxa"/>
            <w:tcBorders>
              <w:top w:val="nil"/>
              <w:left w:val="nil"/>
              <w:bottom w:val="nil"/>
              <w:right w:val="nil"/>
            </w:tcBorders>
            <w:shd w:val="clear" w:color="auto" w:fill="auto"/>
            <w:noWrap/>
            <w:vAlign w:val="bottom"/>
            <w:hideMark/>
          </w:tcPr>
          <w:p w14:paraId="4781F500"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Long-term unearned revenue</w:t>
            </w:r>
          </w:p>
        </w:tc>
        <w:tc>
          <w:tcPr>
            <w:tcW w:w="1640" w:type="dxa"/>
            <w:tcBorders>
              <w:top w:val="nil"/>
              <w:left w:val="nil"/>
              <w:bottom w:val="nil"/>
              <w:right w:val="nil"/>
            </w:tcBorders>
            <w:shd w:val="clear" w:color="auto" w:fill="auto"/>
            <w:noWrap/>
            <w:vAlign w:val="bottom"/>
            <w:hideMark/>
          </w:tcPr>
          <w:p w14:paraId="5FA0D5D1"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2,126 </w:t>
            </w:r>
          </w:p>
        </w:tc>
        <w:tc>
          <w:tcPr>
            <w:tcW w:w="272" w:type="dxa"/>
            <w:tcBorders>
              <w:top w:val="nil"/>
              <w:left w:val="nil"/>
              <w:bottom w:val="nil"/>
              <w:right w:val="nil"/>
            </w:tcBorders>
            <w:shd w:val="clear" w:color="auto" w:fill="auto"/>
            <w:noWrap/>
            <w:vAlign w:val="bottom"/>
            <w:hideMark/>
          </w:tcPr>
          <w:p w14:paraId="3837A471"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49AC6402"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2,643 </w:t>
            </w:r>
          </w:p>
        </w:tc>
      </w:tr>
      <w:tr w:rsidR="00D82087" w:rsidRPr="00D82087" w14:paraId="0848A930" w14:textId="77777777" w:rsidTr="00D82087">
        <w:trPr>
          <w:trHeight w:val="308"/>
        </w:trPr>
        <w:tc>
          <w:tcPr>
            <w:tcW w:w="5240" w:type="dxa"/>
            <w:tcBorders>
              <w:top w:val="nil"/>
              <w:left w:val="nil"/>
              <w:bottom w:val="nil"/>
              <w:right w:val="nil"/>
            </w:tcBorders>
            <w:shd w:val="clear" w:color="auto" w:fill="auto"/>
            <w:noWrap/>
            <w:vAlign w:val="bottom"/>
            <w:hideMark/>
          </w:tcPr>
          <w:p w14:paraId="1CFB1B81"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Deferred income taxes</w:t>
            </w:r>
          </w:p>
        </w:tc>
        <w:tc>
          <w:tcPr>
            <w:tcW w:w="1640" w:type="dxa"/>
            <w:tcBorders>
              <w:top w:val="nil"/>
              <w:left w:val="nil"/>
              <w:bottom w:val="nil"/>
              <w:right w:val="nil"/>
            </w:tcBorders>
            <w:shd w:val="clear" w:color="auto" w:fill="auto"/>
            <w:noWrap/>
            <w:vAlign w:val="bottom"/>
            <w:hideMark/>
          </w:tcPr>
          <w:p w14:paraId="685AEF50"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5,513 </w:t>
            </w:r>
          </w:p>
        </w:tc>
        <w:tc>
          <w:tcPr>
            <w:tcW w:w="272" w:type="dxa"/>
            <w:tcBorders>
              <w:top w:val="nil"/>
              <w:left w:val="nil"/>
              <w:bottom w:val="nil"/>
              <w:right w:val="nil"/>
            </w:tcBorders>
            <w:shd w:val="clear" w:color="auto" w:fill="auto"/>
            <w:noWrap/>
            <w:vAlign w:val="bottom"/>
            <w:hideMark/>
          </w:tcPr>
          <w:p w14:paraId="039BCCE6"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0B103833"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5,734 </w:t>
            </w:r>
          </w:p>
        </w:tc>
      </w:tr>
      <w:tr w:rsidR="00D82087" w:rsidRPr="00D82087" w14:paraId="0F3BD973" w14:textId="77777777" w:rsidTr="00D82087">
        <w:trPr>
          <w:trHeight w:val="308"/>
        </w:trPr>
        <w:tc>
          <w:tcPr>
            <w:tcW w:w="5240" w:type="dxa"/>
            <w:tcBorders>
              <w:top w:val="nil"/>
              <w:left w:val="nil"/>
              <w:bottom w:val="nil"/>
              <w:right w:val="nil"/>
            </w:tcBorders>
            <w:shd w:val="clear" w:color="auto" w:fill="auto"/>
            <w:noWrap/>
            <w:vAlign w:val="bottom"/>
            <w:hideMark/>
          </w:tcPr>
          <w:p w14:paraId="668F53CD"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Operating lease liabilities</w:t>
            </w:r>
          </w:p>
        </w:tc>
        <w:tc>
          <w:tcPr>
            <w:tcW w:w="1640" w:type="dxa"/>
            <w:tcBorders>
              <w:top w:val="nil"/>
              <w:left w:val="nil"/>
              <w:bottom w:val="nil"/>
              <w:right w:val="nil"/>
            </w:tcBorders>
            <w:shd w:val="clear" w:color="auto" w:fill="auto"/>
            <w:noWrap/>
            <w:vAlign w:val="bottom"/>
            <w:hideMark/>
          </w:tcPr>
          <w:p w14:paraId="238ED69C"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5,768 </w:t>
            </w:r>
          </w:p>
        </w:tc>
        <w:tc>
          <w:tcPr>
            <w:tcW w:w="272" w:type="dxa"/>
            <w:tcBorders>
              <w:top w:val="nil"/>
              <w:left w:val="nil"/>
              <w:bottom w:val="nil"/>
              <w:right w:val="nil"/>
            </w:tcBorders>
            <w:shd w:val="clear" w:color="auto" w:fill="auto"/>
            <w:noWrap/>
            <w:vAlign w:val="bottom"/>
            <w:hideMark/>
          </w:tcPr>
          <w:p w14:paraId="39CBF12B"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5FEFD7EF"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5,372 </w:t>
            </w:r>
          </w:p>
        </w:tc>
      </w:tr>
      <w:tr w:rsidR="00D82087" w:rsidRPr="00D82087" w14:paraId="09DBCAB1" w14:textId="77777777" w:rsidTr="00D82087">
        <w:trPr>
          <w:trHeight w:val="353"/>
        </w:trPr>
        <w:tc>
          <w:tcPr>
            <w:tcW w:w="5240" w:type="dxa"/>
            <w:tcBorders>
              <w:top w:val="nil"/>
              <w:left w:val="nil"/>
              <w:bottom w:val="single" w:sz="4" w:space="0" w:color="auto"/>
              <w:right w:val="nil"/>
            </w:tcBorders>
            <w:shd w:val="clear" w:color="auto" w:fill="auto"/>
            <w:noWrap/>
            <w:vAlign w:val="bottom"/>
            <w:hideMark/>
          </w:tcPr>
          <w:p w14:paraId="0611BA4B"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Other long-term liabilities</w:t>
            </w:r>
          </w:p>
        </w:tc>
        <w:tc>
          <w:tcPr>
            <w:tcW w:w="1640" w:type="dxa"/>
            <w:tcBorders>
              <w:top w:val="nil"/>
              <w:left w:val="nil"/>
              <w:bottom w:val="single" w:sz="4" w:space="0" w:color="auto"/>
              <w:right w:val="nil"/>
            </w:tcBorders>
            <w:shd w:val="clear" w:color="auto" w:fill="auto"/>
            <w:noWrap/>
            <w:vAlign w:val="bottom"/>
            <w:hideMark/>
          </w:tcPr>
          <w:p w14:paraId="7124747C"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18,173 </w:t>
            </w:r>
          </w:p>
        </w:tc>
        <w:tc>
          <w:tcPr>
            <w:tcW w:w="272" w:type="dxa"/>
            <w:tcBorders>
              <w:top w:val="nil"/>
              <w:left w:val="nil"/>
              <w:bottom w:val="nil"/>
              <w:right w:val="nil"/>
            </w:tcBorders>
            <w:shd w:val="clear" w:color="auto" w:fill="auto"/>
            <w:noWrap/>
            <w:vAlign w:val="bottom"/>
            <w:hideMark/>
          </w:tcPr>
          <w:p w14:paraId="1E959D74"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6CC62DE6"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17,034 </w:t>
            </w:r>
          </w:p>
        </w:tc>
      </w:tr>
      <w:tr w:rsidR="00D82087" w:rsidRPr="00D82087" w14:paraId="35ED4AED" w14:textId="77777777" w:rsidTr="00D82087">
        <w:trPr>
          <w:trHeight w:val="308"/>
        </w:trPr>
        <w:tc>
          <w:tcPr>
            <w:tcW w:w="5240" w:type="dxa"/>
            <w:tcBorders>
              <w:top w:val="nil"/>
              <w:left w:val="nil"/>
              <w:bottom w:val="single" w:sz="4" w:space="0" w:color="auto"/>
              <w:right w:val="nil"/>
            </w:tcBorders>
            <w:shd w:val="clear" w:color="auto" w:fill="auto"/>
            <w:noWrap/>
            <w:vAlign w:val="bottom"/>
            <w:hideMark/>
          </w:tcPr>
          <w:p w14:paraId="4FFB9EC6"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Total liabilities</w:t>
            </w:r>
          </w:p>
        </w:tc>
        <w:tc>
          <w:tcPr>
            <w:tcW w:w="1640" w:type="dxa"/>
            <w:tcBorders>
              <w:top w:val="nil"/>
              <w:left w:val="nil"/>
              <w:bottom w:val="single" w:sz="4" w:space="0" w:color="auto"/>
              <w:right w:val="nil"/>
            </w:tcBorders>
            <w:shd w:val="clear" w:color="auto" w:fill="auto"/>
            <w:noWrap/>
            <w:vAlign w:val="bottom"/>
            <w:hideMark/>
          </w:tcPr>
          <w:p w14:paraId="0306EDCC"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159,450 </w:t>
            </w:r>
          </w:p>
        </w:tc>
        <w:tc>
          <w:tcPr>
            <w:tcW w:w="272" w:type="dxa"/>
            <w:tcBorders>
              <w:top w:val="nil"/>
              <w:left w:val="nil"/>
              <w:bottom w:val="nil"/>
              <w:right w:val="nil"/>
            </w:tcBorders>
            <w:shd w:val="clear" w:color="auto" w:fill="auto"/>
            <w:noWrap/>
            <w:vAlign w:val="bottom"/>
            <w:hideMark/>
          </w:tcPr>
          <w:p w14:paraId="3BDD52BF"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34BC469A"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162,601 </w:t>
            </w:r>
          </w:p>
        </w:tc>
      </w:tr>
      <w:tr w:rsidR="00D82087" w:rsidRPr="00D82087" w14:paraId="633EBC23" w14:textId="77777777" w:rsidTr="00D82087">
        <w:trPr>
          <w:trHeight w:val="308"/>
        </w:trPr>
        <w:tc>
          <w:tcPr>
            <w:tcW w:w="5240" w:type="dxa"/>
            <w:tcBorders>
              <w:top w:val="nil"/>
              <w:left w:val="nil"/>
              <w:bottom w:val="nil"/>
              <w:right w:val="nil"/>
            </w:tcBorders>
            <w:shd w:val="clear" w:color="auto" w:fill="auto"/>
            <w:noWrap/>
            <w:vAlign w:val="bottom"/>
            <w:hideMark/>
          </w:tcPr>
          <w:p w14:paraId="6B603CCA"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Commitments and contingencies</w:t>
            </w:r>
          </w:p>
        </w:tc>
        <w:tc>
          <w:tcPr>
            <w:tcW w:w="1640" w:type="dxa"/>
            <w:tcBorders>
              <w:top w:val="nil"/>
              <w:left w:val="nil"/>
              <w:bottom w:val="nil"/>
              <w:right w:val="nil"/>
            </w:tcBorders>
            <w:shd w:val="clear" w:color="auto" w:fill="auto"/>
            <w:noWrap/>
            <w:vAlign w:val="bottom"/>
            <w:hideMark/>
          </w:tcPr>
          <w:p w14:paraId="6608F14A" w14:textId="77777777" w:rsidR="00D82087" w:rsidRPr="00D82087" w:rsidRDefault="00D82087" w:rsidP="00D82087">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001D90E8" w14:textId="77777777" w:rsidR="00D82087" w:rsidRPr="00D82087" w:rsidRDefault="00D82087" w:rsidP="00D82087">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094CD2C6" w14:textId="77777777" w:rsidR="00D82087" w:rsidRPr="00D82087" w:rsidRDefault="00D82087" w:rsidP="00D82087">
            <w:pPr>
              <w:spacing w:after="0" w:line="240" w:lineRule="auto"/>
              <w:rPr>
                <w:rFonts w:ascii="Times New Roman" w:eastAsia="Times New Roman" w:hAnsi="Times New Roman"/>
                <w:sz w:val="20"/>
                <w:szCs w:val="20"/>
              </w:rPr>
            </w:pPr>
          </w:p>
        </w:tc>
      </w:tr>
      <w:tr w:rsidR="00D82087" w:rsidRPr="00D82087" w14:paraId="182BB8A4" w14:textId="77777777" w:rsidTr="00D82087">
        <w:trPr>
          <w:trHeight w:val="308"/>
        </w:trPr>
        <w:tc>
          <w:tcPr>
            <w:tcW w:w="5240" w:type="dxa"/>
            <w:tcBorders>
              <w:top w:val="nil"/>
              <w:left w:val="nil"/>
              <w:bottom w:val="nil"/>
              <w:right w:val="nil"/>
            </w:tcBorders>
            <w:shd w:val="clear" w:color="auto" w:fill="auto"/>
            <w:noWrap/>
            <w:vAlign w:val="bottom"/>
            <w:hideMark/>
          </w:tcPr>
          <w:p w14:paraId="78C47A7F"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Stockholders' equity:</w:t>
            </w:r>
          </w:p>
        </w:tc>
        <w:tc>
          <w:tcPr>
            <w:tcW w:w="1640" w:type="dxa"/>
            <w:tcBorders>
              <w:top w:val="nil"/>
              <w:left w:val="nil"/>
              <w:bottom w:val="nil"/>
              <w:right w:val="nil"/>
            </w:tcBorders>
            <w:shd w:val="clear" w:color="auto" w:fill="auto"/>
            <w:noWrap/>
            <w:vAlign w:val="bottom"/>
            <w:hideMark/>
          </w:tcPr>
          <w:p w14:paraId="249C4B5B" w14:textId="77777777" w:rsidR="00D82087" w:rsidRPr="00D82087" w:rsidRDefault="00D82087" w:rsidP="00D82087">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1B03A738" w14:textId="77777777" w:rsidR="00D82087" w:rsidRPr="00D82087" w:rsidRDefault="00D82087" w:rsidP="00D82087">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7632DBEB" w14:textId="77777777" w:rsidR="00D82087" w:rsidRPr="00D82087" w:rsidRDefault="00D82087" w:rsidP="00D82087">
            <w:pPr>
              <w:spacing w:after="0" w:line="240" w:lineRule="auto"/>
              <w:rPr>
                <w:rFonts w:ascii="Times New Roman" w:eastAsia="Times New Roman" w:hAnsi="Times New Roman"/>
                <w:sz w:val="20"/>
                <w:szCs w:val="20"/>
              </w:rPr>
            </w:pPr>
          </w:p>
        </w:tc>
      </w:tr>
      <w:tr w:rsidR="00D82087" w:rsidRPr="00D82087" w14:paraId="1AF4F9DE" w14:textId="77777777" w:rsidTr="00D82087">
        <w:trPr>
          <w:trHeight w:val="615"/>
        </w:trPr>
        <w:tc>
          <w:tcPr>
            <w:tcW w:w="5240" w:type="dxa"/>
            <w:tcBorders>
              <w:top w:val="nil"/>
              <w:left w:val="nil"/>
              <w:bottom w:val="nil"/>
              <w:right w:val="nil"/>
            </w:tcBorders>
            <w:shd w:val="clear" w:color="auto" w:fill="auto"/>
            <w:vAlign w:val="bottom"/>
            <w:hideMark/>
          </w:tcPr>
          <w:p w14:paraId="60571F34"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Common stock and paid-in capital - shares</w:t>
            </w:r>
            <w:r w:rsidRPr="00D82087">
              <w:rPr>
                <w:rFonts w:ascii="Segoe UI" w:eastAsia="Times New Roman" w:hAnsi="Segoe UI" w:cs="Segoe UI"/>
                <w:color w:val="666666"/>
                <w:sz w:val="20"/>
                <w:szCs w:val="20"/>
              </w:rPr>
              <w:br/>
              <w:t xml:space="preserve">      authorized 24,000; outstanding </w:t>
            </w:r>
            <w:r w:rsidRPr="00D82087">
              <w:rPr>
                <w:rFonts w:ascii="Segoe UI" w:eastAsia="Times New Roman" w:hAnsi="Segoe UI" w:cs="Segoe UI"/>
                <w:b/>
                <w:bCs/>
                <w:color w:val="666666"/>
                <w:sz w:val="20"/>
                <w:szCs w:val="20"/>
              </w:rPr>
              <w:t>7,720</w:t>
            </w:r>
            <w:r w:rsidRPr="00D82087">
              <w:rPr>
                <w:rFonts w:ascii="Segoe UI" w:eastAsia="Times New Roman" w:hAnsi="Segoe UI" w:cs="Segoe UI"/>
                <w:color w:val="666666"/>
                <w:sz w:val="20"/>
                <w:szCs w:val="20"/>
              </w:rPr>
              <w:t xml:space="preserve"> and 7,708</w:t>
            </w:r>
          </w:p>
        </w:tc>
        <w:tc>
          <w:tcPr>
            <w:tcW w:w="1640" w:type="dxa"/>
            <w:tcBorders>
              <w:top w:val="nil"/>
              <w:left w:val="nil"/>
              <w:bottom w:val="nil"/>
              <w:right w:val="nil"/>
            </w:tcBorders>
            <w:shd w:val="clear" w:color="auto" w:fill="auto"/>
            <w:noWrap/>
            <w:vAlign w:val="bottom"/>
            <w:hideMark/>
          </w:tcPr>
          <w:p w14:paraId="0954ED81"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69,419 </w:t>
            </w:r>
          </w:p>
        </w:tc>
        <w:tc>
          <w:tcPr>
            <w:tcW w:w="272" w:type="dxa"/>
            <w:tcBorders>
              <w:top w:val="nil"/>
              <w:left w:val="nil"/>
              <w:bottom w:val="nil"/>
              <w:right w:val="nil"/>
            </w:tcBorders>
            <w:shd w:val="clear" w:color="auto" w:fill="auto"/>
            <w:noWrap/>
            <w:vAlign w:val="bottom"/>
            <w:hideMark/>
          </w:tcPr>
          <w:p w14:paraId="1A2818A6"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0F466748"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69,315 </w:t>
            </w:r>
          </w:p>
        </w:tc>
      </w:tr>
      <w:tr w:rsidR="00D82087" w:rsidRPr="00D82087" w14:paraId="78EA6789" w14:textId="77777777" w:rsidTr="00D82087">
        <w:trPr>
          <w:trHeight w:val="308"/>
        </w:trPr>
        <w:tc>
          <w:tcPr>
            <w:tcW w:w="5240" w:type="dxa"/>
            <w:tcBorders>
              <w:top w:val="nil"/>
              <w:left w:val="nil"/>
              <w:bottom w:val="nil"/>
              <w:right w:val="nil"/>
            </w:tcBorders>
            <w:shd w:val="clear" w:color="auto" w:fill="auto"/>
            <w:vAlign w:val="bottom"/>
            <w:hideMark/>
          </w:tcPr>
          <w:p w14:paraId="432282C7"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Retained earnings</w:t>
            </w:r>
          </w:p>
        </w:tc>
        <w:tc>
          <w:tcPr>
            <w:tcW w:w="1640" w:type="dxa"/>
            <w:tcBorders>
              <w:top w:val="nil"/>
              <w:left w:val="nil"/>
              <w:bottom w:val="nil"/>
              <w:right w:val="nil"/>
            </w:tcBorders>
            <w:shd w:val="clear" w:color="auto" w:fill="auto"/>
            <w:noWrap/>
            <w:vAlign w:val="bottom"/>
            <w:hideMark/>
          </w:tcPr>
          <w:p w14:paraId="1DFFF0ED"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19,702 </w:t>
            </w:r>
          </w:p>
        </w:tc>
        <w:tc>
          <w:tcPr>
            <w:tcW w:w="272" w:type="dxa"/>
            <w:tcBorders>
              <w:top w:val="nil"/>
              <w:left w:val="nil"/>
              <w:bottom w:val="nil"/>
              <w:right w:val="nil"/>
            </w:tcBorders>
            <w:shd w:val="clear" w:color="auto" w:fill="auto"/>
            <w:noWrap/>
            <w:vAlign w:val="bottom"/>
            <w:hideMark/>
          </w:tcPr>
          <w:p w14:paraId="7ECA6566"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35A0E7D3"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17,769 </w:t>
            </w:r>
          </w:p>
        </w:tc>
      </w:tr>
      <w:tr w:rsidR="00D82087" w:rsidRPr="00D82087" w14:paraId="52A0B5AD" w14:textId="77777777" w:rsidTr="00D82087">
        <w:trPr>
          <w:trHeight w:val="308"/>
        </w:trPr>
        <w:tc>
          <w:tcPr>
            <w:tcW w:w="5240" w:type="dxa"/>
            <w:tcBorders>
              <w:top w:val="nil"/>
              <w:left w:val="nil"/>
              <w:bottom w:val="nil"/>
              <w:right w:val="nil"/>
            </w:tcBorders>
            <w:shd w:val="clear" w:color="auto" w:fill="auto"/>
            <w:vAlign w:val="bottom"/>
            <w:hideMark/>
          </w:tcPr>
          <w:p w14:paraId="5392E376"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Accumulated other comprehensive income</w:t>
            </w:r>
          </w:p>
        </w:tc>
        <w:tc>
          <w:tcPr>
            <w:tcW w:w="1640" w:type="dxa"/>
            <w:tcBorders>
              <w:top w:val="nil"/>
              <w:left w:val="nil"/>
              <w:bottom w:val="nil"/>
              <w:right w:val="nil"/>
            </w:tcBorders>
            <w:shd w:val="clear" w:color="auto" w:fill="auto"/>
            <w:noWrap/>
            <w:vAlign w:val="bottom"/>
            <w:hideMark/>
          </w:tcPr>
          <w:p w14:paraId="452D06E6"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526 </w:t>
            </w:r>
          </w:p>
        </w:tc>
        <w:tc>
          <w:tcPr>
            <w:tcW w:w="272" w:type="dxa"/>
            <w:tcBorders>
              <w:top w:val="nil"/>
              <w:left w:val="nil"/>
              <w:bottom w:val="nil"/>
              <w:right w:val="nil"/>
            </w:tcBorders>
            <w:shd w:val="clear" w:color="auto" w:fill="auto"/>
            <w:noWrap/>
            <w:vAlign w:val="bottom"/>
            <w:hideMark/>
          </w:tcPr>
          <w:p w14:paraId="6B6E8802"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0A64A87F"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627 </w:t>
            </w:r>
          </w:p>
        </w:tc>
      </w:tr>
      <w:tr w:rsidR="00D82087" w:rsidRPr="00D82087" w14:paraId="118826A6" w14:textId="77777777" w:rsidTr="00D82087">
        <w:trPr>
          <w:trHeight w:val="353"/>
        </w:trPr>
        <w:tc>
          <w:tcPr>
            <w:tcW w:w="5240" w:type="dxa"/>
            <w:tcBorders>
              <w:top w:val="single" w:sz="4" w:space="0" w:color="auto"/>
              <w:left w:val="nil"/>
              <w:bottom w:val="single" w:sz="4" w:space="0" w:color="auto"/>
              <w:right w:val="nil"/>
            </w:tcBorders>
            <w:shd w:val="clear" w:color="auto" w:fill="auto"/>
            <w:noWrap/>
            <w:vAlign w:val="bottom"/>
            <w:hideMark/>
          </w:tcPr>
          <w:p w14:paraId="7A6687C2"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Total stockholders' equity</w:t>
            </w:r>
          </w:p>
        </w:tc>
        <w:tc>
          <w:tcPr>
            <w:tcW w:w="1640" w:type="dxa"/>
            <w:tcBorders>
              <w:top w:val="single" w:sz="4" w:space="0" w:color="auto"/>
              <w:left w:val="nil"/>
              <w:bottom w:val="single" w:sz="4" w:space="0" w:color="auto"/>
              <w:right w:val="nil"/>
            </w:tcBorders>
            <w:shd w:val="clear" w:color="auto" w:fill="auto"/>
            <w:noWrap/>
            <w:vAlign w:val="bottom"/>
            <w:hideMark/>
          </w:tcPr>
          <w:p w14:paraId="4A731C7B"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89,647 </w:t>
            </w:r>
          </w:p>
        </w:tc>
        <w:tc>
          <w:tcPr>
            <w:tcW w:w="272" w:type="dxa"/>
            <w:tcBorders>
              <w:top w:val="nil"/>
              <w:left w:val="nil"/>
              <w:bottom w:val="nil"/>
              <w:right w:val="nil"/>
            </w:tcBorders>
            <w:shd w:val="clear" w:color="auto" w:fill="auto"/>
            <w:noWrap/>
            <w:vAlign w:val="bottom"/>
            <w:hideMark/>
          </w:tcPr>
          <w:p w14:paraId="3D187007"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single" w:sz="4" w:space="0" w:color="auto"/>
              <w:left w:val="nil"/>
              <w:bottom w:val="single" w:sz="4" w:space="0" w:color="auto"/>
              <w:right w:val="nil"/>
            </w:tcBorders>
            <w:shd w:val="clear" w:color="auto" w:fill="auto"/>
            <w:noWrap/>
            <w:vAlign w:val="bottom"/>
            <w:hideMark/>
          </w:tcPr>
          <w:p w14:paraId="6D8E921C"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87,711 </w:t>
            </w:r>
          </w:p>
        </w:tc>
      </w:tr>
      <w:tr w:rsidR="00D82087" w:rsidRPr="00D82087" w14:paraId="10DB6662" w14:textId="77777777" w:rsidTr="00D82087">
        <w:trPr>
          <w:trHeight w:val="338"/>
        </w:trPr>
        <w:tc>
          <w:tcPr>
            <w:tcW w:w="5240" w:type="dxa"/>
            <w:tcBorders>
              <w:top w:val="nil"/>
              <w:left w:val="nil"/>
              <w:bottom w:val="nil"/>
              <w:right w:val="nil"/>
            </w:tcBorders>
            <w:shd w:val="clear" w:color="auto" w:fill="auto"/>
            <w:noWrap/>
            <w:vAlign w:val="bottom"/>
            <w:hideMark/>
          </w:tcPr>
          <w:p w14:paraId="2F3F6621" w14:textId="77777777" w:rsidR="00D82087" w:rsidRPr="00D82087" w:rsidRDefault="00D82087" w:rsidP="00D82087">
            <w:pPr>
              <w:spacing w:after="0" w:line="240" w:lineRule="auto"/>
              <w:ind w:firstLineChars="100" w:firstLine="200"/>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Total liabilities and stockholders' equity</w:t>
            </w:r>
          </w:p>
        </w:tc>
        <w:tc>
          <w:tcPr>
            <w:tcW w:w="1640" w:type="dxa"/>
            <w:tcBorders>
              <w:top w:val="nil"/>
              <w:left w:val="nil"/>
              <w:bottom w:val="single" w:sz="8" w:space="0" w:color="auto"/>
              <w:right w:val="nil"/>
            </w:tcBorders>
            <w:shd w:val="clear" w:color="auto" w:fill="auto"/>
            <w:noWrap/>
            <w:vAlign w:val="bottom"/>
            <w:hideMark/>
          </w:tcPr>
          <w:p w14:paraId="2E3DBFD4"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 $249,097 </w:t>
            </w:r>
          </w:p>
        </w:tc>
        <w:tc>
          <w:tcPr>
            <w:tcW w:w="272" w:type="dxa"/>
            <w:tcBorders>
              <w:top w:val="nil"/>
              <w:left w:val="nil"/>
              <w:bottom w:val="nil"/>
              <w:right w:val="nil"/>
            </w:tcBorders>
            <w:shd w:val="clear" w:color="auto" w:fill="auto"/>
            <w:noWrap/>
            <w:vAlign w:val="bottom"/>
            <w:hideMark/>
          </w:tcPr>
          <w:p w14:paraId="11F4F891"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8" w:space="0" w:color="auto"/>
              <w:right w:val="nil"/>
            </w:tcBorders>
            <w:shd w:val="clear" w:color="auto" w:fill="auto"/>
            <w:noWrap/>
            <w:vAlign w:val="bottom"/>
            <w:hideMark/>
          </w:tcPr>
          <w:p w14:paraId="7DF09043"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$250,312 </w:t>
            </w:r>
          </w:p>
        </w:tc>
      </w:tr>
    </w:tbl>
    <w:p w14:paraId="7B0CE726" w14:textId="785C2549" w:rsidR="007F2AD6" w:rsidRDefault="007F2AD6">
      <w:pPr>
        <w:spacing w:after="160" w:line="259" w:lineRule="auto"/>
        <w:rPr>
          <w:rFonts w:ascii="Segoe UI" w:hAnsi="Segoe UI" w:cs="Segoe UI"/>
          <w:color w:val="666666"/>
          <w:sz w:val="20"/>
          <w:szCs w:val="20"/>
        </w:rPr>
      </w:pPr>
    </w:p>
    <w:tbl>
      <w:tblPr>
        <w:tblW w:w="8372" w:type="dxa"/>
        <w:tblLook w:val="04A0" w:firstRow="1" w:lastRow="0" w:firstColumn="1" w:lastColumn="0" w:noHBand="0" w:noVBand="1"/>
      </w:tblPr>
      <w:tblGrid>
        <w:gridCol w:w="5360"/>
        <w:gridCol w:w="1540"/>
        <w:gridCol w:w="272"/>
        <w:gridCol w:w="1200"/>
      </w:tblGrid>
      <w:tr w:rsidR="00D82087" w:rsidRPr="00D82087" w14:paraId="7621598C" w14:textId="77777777" w:rsidTr="00D82087">
        <w:trPr>
          <w:trHeight w:val="308"/>
        </w:trPr>
        <w:tc>
          <w:tcPr>
            <w:tcW w:w="5360" w:type="dxa"/>
            <w:tcBorders>
              <w:top w:val="nil"/>
              <w:left w:val="nil"/>
              <w:bottom w:val="nil"/>
              <w:right w:val="nil"/>
            </w:tcBorders>
            <w:shd w:val="clear" w:color="auto" w:fill="auto"/>
            <w:noWrap/>
            <w:vAlign w:val="bottom"/>
            <w:hideMark/>
          </w:tcPr>
          <w:p w14:paraId="55AE60F1" w14:textId="77777777" w:rsidR="00D82087" w:rsidRPr="00D82087" w:rsidRDefault="00D82087" w:rsidP="00D82087">
            <w:pPr>
              <w:spacing w:after="0" w:line="240" w:lineRule="auto"/>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MICROSOFT CORPORATION</w:t>
            </w:r>
          </w:p>
        </w:tc>
        <w:tc>
          <w:tcPr>
            <w:tcW w:w="1540" w:type="dxa"/>
            <w:tcBorders>
              <w:top w:val="nil"/>
              <w:left w:val="nil"/>
              <w:bottom w:val="nil"/>
              <w:right w:val="nil"/>
            </w:tcBorders>
            <w:shd w:val="clear" w:color="auto" w:fill="auto"/>
            <w:noWrap/>
            <w:vAlign w:val="bottom"/>
            <w:hideMark/>
          </w:tcPr>
          <w:p w14:paraId="1DC9F25E" w14:textId="77777777" w:rsidR="00D82087" w:rsidRPr="00D82087" w:rsidRDefault="00D82087" w:rsidP="00D82087">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6763BA71" w14:textId="77777777" w:rsidR="00D82087" w:rsidRPr="00D82087" w:rsidRDefault="00D82087" w:rsidP="00D82087">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77F46706" w14:textId="77777777" w:rsidR="00D82087" w:rsidRPr="00D82087" w:rsidRDefault="00D82087" w:rsidP="00D82087">
            <w:pPr>
              <w:spacing w:after="0" w:line="240" w:lineRule="auto"/>
              <w:rPr>
                <w:rFonts w:ascii="Times New Roman" w:eastAsia="Times New Roman" w:hAnsi="Times New Roman"/>
                <w:sz w:val="20"/>
                <w:szCs w:val="20"/>
              </w:rPr>
            </w:pPr>
          </w:p>
        </w:tc>
      </w:tr>
      <w:tr w:rsidR="00D82087" w:rsidRPr="00D82087" w14:paraId="7A7CD356" w14:textId="77777777" w:rsidTr="00D82087">
        <w:trPr>
          <w:trHeight w:val="308"/>
        </w:trPr>
        <w:tc>
          <w:tcPr>
            <w:tcW w:w="8372" w:type="dxa"/>
            <w:gridSpan w:val="4"/>
            <w:tcBorders>
              <w:top w:val="nil"/>
              <w:left w:val="nil"/>
              <w:bottom w:val="nil"/>
              <w:right w:val="nil"/>
            </w:tcBorders>
            <w:shd w:val="clear" w:color="auto" w:fill="auto"/>
            <w:noWrap/>
            <w:vAlign w:val="bottom"/>
            <w:hideMark/>
          </w:tcPr>
          <w:p w14:paraId="18E0933A" w14:textId="77777777" w:rsidR="00D82087" w:rsidRPr="00D82087" w:rsidRDefault="00D82087" w:rsidP="00D82087">
            <w:pPr>
              <w:spacing w:after="0" w:line="240" w:lineRule="auto"/>
              <w:jc w:val="center"/>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CASH FLOWS STATEMENTS</w:t>
            </w:r>
          </w:p>
        </w:tc>
      </w:tr>
      <w:tr w:rsidR="00D82087" w:rsidRPr="00D82087" w14:paraId="0A25BE94" w14:textId="77777777" w:rsidTr="00D82087">
        <w:trPr>
          <w:trHeight w:val="308"/>
        </w:trPr>
        <w:tc>
          <w:tcPr>
            <w:tcW w:w="8372" w:type="dxa"/>
            <w:gridSpan w:val="4"/>
            <w:tcBorders>
              <w:top w:val="nil"/>
              <w:left w:val="nil"/>
              <w:bottom w:val="nil"/>
              <w:right w:val="nil"/>
            </w:tcBorders>
            <w:shd w:val="clear" w:color="auto" w:fill="auto"/>
            <w:noWrap/>
            <w:vAlign w:val="bottom"/>
            <w:hideMark/>
          </w:tcPr>
          <w:p w14:paraId="21C47E15" w14:textId="77777777" w:rsidR="00D82087" w:rsidRPr="00D82087" w:rsidRDefault="00D82087" w:rsidP="00D82087">
            <w:pPr>
              <w:spacing w:after="0" w:line="240" w:lineRule="auto"/>
              <w:jc w:val="center"/>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(In </w:t>
            </w:r>
            <w:proofErr w:type="gramStart"/>
            <w:r w:rsidRPr="00D82087">
              <w:rPr>
                <w:rFonts w:ascii="Segoe UI" w:eastAsia="Times New Roman" w:hAnsi="Segoe UI" w:cs="Segoe UI"/>
                <w:color w:val="666666"/>
                <w:sz w:val="20"/>
                <w:szCs w:val="20"/>
              </w:rPr>
              <w:t>millions)(</w:t>
            </w:r>
            <w:proofErr w:type="gramEnd"/>
            <w:r w:rsidRPr="00D82087">
              <w:rPr>
                <w:rFonts w:ascii="Segoe UI" w:eastAsia="Times New Roman" w:hAnsi="Segoe UI" w:cs="Segoe UI"/>
                <w:color w:val="666666"/>
                <w:sz w:val="20"/>
                <w:szCs w:val="20"/>
              </w:rPr>
              <w:t>Unaudited)</w:t>
            </w:r>
          </w:p>
        </w:tc>
      </w:tr>
      <w:tr w:rsidR="00D82087" w:rsidRPr="00D82087" w14:paraId="2A27D9B5" w14:textId="77777777" w:rsidTr="00D82087">
        <w:trPr>
          <w:trHeight w:val="63"/>
        </w:trPr>
        <w:tc>
          <w:tcPr>
            <w:tcW w:w="5360" w:type="dxa"/>
            <w:tcBorders>
              <w:top w:val="nil"/>
              <w:left w:val="nil"/>
              <w:bottom w:val="nil"/>
              <w:right w:val="nil"/>
            </w:tcBorders>
            <w:shd w:val="clear" w:color="auto" w:fill="auto"/>
            <w:noWrap/>
            <w:vAlign w:val="bottom"/>
            <w:hideMark/>
          </w:tcPr>
          <w:p w14:paraId="650CEA29" w14:textId="77777777" w:rsidR="00D82087" w:rsidRPr="00D82087" w:rsidRDefault="00D82087" w:rsidP="00D82087">
            <w:pPr>
              <w:spacing w:after="0" w:line="240" w:lineRule="auto"/>
              <w:jc w:val="center"/>
              <w:rPr>
                <w:rFonts w:ascii="Segoe UI" w:eastAsia="Times New Roman" w:hAnsi="Segoe UI" w:cs="Segoe UI"/>
                <w:color w:val="666666"/>
                <w:sz w:val="20"/>
                <w:szCs w:val="20"/>
              </w:rPr>
            </w:pPr>
          </w:p>
        </w:tc>
        <w:tc>
          <w:tcPr>
            <w:tcW w:w="1540" w:type="dxa"/>
            <w:tcBorders>
              <w:top w:val="nil"/>
              <w:left w:val="nil"/>
              <w:bottom w:val="nil"/>
              <w:right w:val="nil"/>
            </w:tcBorders>
            <w:shd w:val="clear" w:color="auto" w:fill="auto"/>
            <w:noWrap/>
            <w:vAlign w:val="bottom"/>
            <w:hideMark/>
          </w:tcPr>
          <w:p w14:paraId="3B802227" w14:textId="77777777" w:rsidR="00D82087" w:rsidRPr="00D82087" w:rsidRDefault="00D82087" w:rsidP="00D82087">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DAB044A" w14:textId="77777777" w:rsidR="00D82087" w:rsidRPr="00D82087" w:rsidRDefault="00D82087" w:rsidP="00D82087">
            <w:pPr>
              <w:spacing w:after="0" w:line="240" w:lineRule="auto"/>
              <w:jc w:val="center"/>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64D067B8" w14:textId="77777777" w:rsidR="00D82087" w:rsidRPr="00D82087" w:rsidRDefault="00D82087" w:rsidP="00D82087">
            <w:pPr>
              <w:spacing w:after="0" w:line="240" w:lineRule="auto"/>
              <w:jc w:val="center"/>
              <w:rPr>
                <w:rFonts w:ascii="Times New Roman" w:eastAsia="Times New Roman" w:hAnsi="Times New Roman"/>
                <w:sz w:val="20"/>
                <w:szCs w:val="20"/>
              </w:rPr>
            </w:pPr>
          </w:p>
        </w:tc>
      </w:tr>
      <w:tr w:rsidR="00D82087" w:rsidRPr="00D82087" w14:paraId="1BBE9F7F" w14:textId="77777777" w:rsidTr="00D82087">
        <w:trPr>
          <w:trHeight w:val="300"/>
        </w:trPr>
        <w:tc>
          <w:tcPr>
            <w:tcW w:w="5360" w:type="dxa"/>
            <w:tcBorders>
              <w:top w:val="nil"/>
              <w:left w:val="nil"/>
              <w:bottom w:val="nil"/>
              <w:right w:val="nil"/>
            </w:tcBorders>
            <w:shd w:val="clear" w:color="auto" w:fill="auto"/>
            <w:noWrap/>
            <w:vAlign w:val="bottom"/>
            <w:hideMark/>
          </w:tcPr>
          <w:p w14:paraId="55D7C2C1" w14:textId="77777777" w:rsidR="00D82087" w:rsidRPr="00D82087" w:rsidRDefault="00D82087" w:rsidP="00D82087">
            <w:pPr>
              <w:spacing w:after="0" w:line="240" w:lineRule="auto"/>
              <w:jc w:val="center"/>
              <w:rPr>
                <w:rFonts w:ascii="Times New Roman" w:eastAsia="Times New Roman" w:hAnsi="Times New Roman"/>
                <w:sz w:val="20"/>
                <w:szCs w:val="20"/>
              </w:rPr>
            </w:pPr>
          </w:p>
        </w:tc>
        <w:tc>
          <w:tcPr>
            <w:tcW w:w="3012" w:type="dxa"/>
            <w:gridSpan w:val="3"/>
            <w:vMerge w:val="restart"/>
            <w:tcBorders>
              <w:top w:val="nil"/>
              <w:left w:val="nil"/>
              <w:bottom w:val="nil"/>
              <w:right w:val="nil"/>
            </w:tcBorders>
            <w:shd w:val="clear" w:color="auto" w:fill="auto"/>
            <w:vAlign w:val="bottom"/>
            <w:hideMark/>
          </w:tcPr>
          <w:p w14:paraId="51574353"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Three Months Ended September 30,</w:t>
            </w:r>
          </w:p>
        </w:tc>
      </w:tr>
      <w:tr w:rsidR="00D82087" w:rsidRPr="00D82087" w14:paraId="26108C95" w14:textId="77777777" w:rsidTr="00D82087">
        <w:trPr>
          <w:trHeight w:val="308"/>
        </w:trPr>
        <w:tc>
          <w:tcPr>
            <w:tcW w:w="5360" w:type="dxa"/>
            <w:tcBorders>
              <w:top w:val="nil"/>
              <w:left w:val="nil"/>
              <w:bottom w:val="nil"/>
              <w:right w:val="nil"/>
            </w:tcBorders>
            <w:shd w:val="clear" w:color="auto" w:fill="auto"/>
            <w:noWrap/>
            <w:vAlign w:val="bottom"/>
            <w:hideMark/>
          </w:tcPr>
          <w:p w14:paraId="7AF98487"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3012" w:type="dxa"/>
            <w:gridSpan w:val="3"/>
            <w:vMerge/>
            <w:tcBorders>
              <w:top w:val="nil"/>
              <w:left w:val="nil"/>
              <w:bottom w:val="nil"/>
              <w:right w:val="nil"/>
            </w:tcBorders>
            <w:vAlign w:val="center"/>
            <w:hideMark/>
          </w:tcPr>
          <w:p w14:paraId="515E347D" w14:textId="77777777" w:rsidR="00D82087" w:rsidRPr="00D82087" w:rsidRDefault="00D82087" w:rsidP="00D82087">
            <w:pPr>
              <w:spacing w:after="0" w:line="240" w:lineRule="auto"/>
              <w:rPr>
                <w:rFonts w:ascii="Segoe UI" w:eastAsia="Times New Roman" w:hAnsi="Segoe UI" w:cs="Segoe UI"/>
                <w:b/>
                <w:bCs/>
                <w:color w:val="666666"/>
                <w:sz w:val="20"/>
                <w:szCs w:val="20"/>
              </w:rPr>
            </w:pPr>
          </w:p>
        </w:tc>
      </w:tr>
      <w:tr w:rsidR="00D82087" w:rsidRPr="00D82087" w14:paraId="5436A31E" w14:textId="77777777" w:rsidTr="00D82087">
        <w:trPr>
          <w:trHeight w:val="308"/>
        </w:trPr>
        <w:tc>
          <w:tcPr>
            <w:tcW w:w="5360" w:type="dxa"/>
            <w:tcBorders>
              <w:top w:val="nil"/>
              <w:left w:val="nil"/>
              <w:bottom w:val="single" w:sz="4" w:space="0" w:color="auto"/>
              <w:right w:val="nil"/>
            </w:tcBorders>
            <w:shd w:val="clear" w:color="auto" w:fill="auto"/>
            <w:noWrap/>
            <w:vAlign w:val="bottom"/>
            <w:hideMark/>
          </w:tcPr>
          <w:p w14:paraId="63EDFC8E" w14:textId="77777777" w:rsidR="00D82087" w:rsidRPr="00D82087" w:rsidRDefault="00D82087" w:rsidP="00D82087">
            <w:pPr>
              <w:spacing w:after="0" w:line="240" w:lineRule="auto"/>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w:t>
            </w:r>
          </w:p>
        </w:tc>
        <w:tc>
          <w:tcPr>
            <w:tcW w:w="1540" w:type="dxa"/>
            <w:tcBorders>
              <w:top w:val="nil"/>
              <w:left w:val="nil"/>
              <w:bottom w:val="single" w:sz="4" w:space="0" w:color="auto"/>
              <w:right w:val="nil"/>
            </w:tcBorders>
            <w:shd w:val="clear" w:color="auto" w:fill="auto"/>
            <w:noWrap/>
            <w:vAlign w:val="bottom"/>
            <w:hideMark/>
          </w:tcPr>
          <w:p w14:paraId="3BFEB7EA"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2017</w:t>
            </w:r>
          </w:p>
        </w:tc>
        <w:tc>
          <w:tcPr>
            <w:tcW w:w="272" w:type="dxa"/>
            <w:tcBorders>
              <w:top w:val="nil"/>
              <w:left w:val="nil"/>
              <w:bottom w:val="single" w:sz="4" w:space="0" w:color="auto"/>
              <w:right w:val="nil"/>
            </w:tcBorders>
            <w:shd w:val="clear" w:color="auto" w:fill="auto"/>
            <w:noWrap/>
            <w:vAlign w:val="bottom"/>
            <w:hideMark/>
          </w:tcPr>
          <w:p w14:paraId="35E26E2A"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4AA91926"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2016</w:t>
            </w:r>
          </w:p>
        </w:tc>
      </w:tr>
      <w:tr w:rsidR="00D82087" w:rsidRPr="00D82087" w14:paraId="5C3C79AB" w14:textId="77777777" w:rsidTr="00D82087">
        <w:trPr>
          <w:trHeight w:val="308"/>
        </w:trPr>
        <w:tc>
          <w:tcPr>
            <w:tcW w:w="5360" w:type="dxa"/>
            <w:tcBorders>
              <w:top w:val="nil"/>
              <w:left w:val="nil"/>
              <w:bottom w:val="nil"/>
              <w:right w:val="nil"/>
            </w:tcBorders>
            <w:shd w:val="clear" w:color="auto" w:fill="auto"/>
            <w:noWrap/>
            <w:vAlign w:val="bottom"/>
            <w:hideMark/>
          </w:tcPr>
          <w:p w14:paraId="4F1C8758" w14:textId="77777777" w:rsidR="00D82087" w:rsidRPr="00D82087" w:rsidRDefault="00D82087" w:rsidP="00D82087">
            <w:pPr>
              <w:spacing w:after="0" w:line="240" w:lineRule="auto"/>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Operations</w:t>
            </w:r>
          </w:p>
        </w:tc>
        <w:tc>
          <w:tcPr>
            <w:tcW w:w="1540" w:type="dxa"/>
            <w:tcBorders>
              <w:top w:val="nil"/>
              <w:left w:val="nil"/>
              <w:bottom w:val="nil"/>
              <w:right w:val="nil"/>
            </w:tcBorders>
            <w:shd w:val="clear" w:color="auto" w:fill="auto"/>
            <w:noWrap/>
            <w:vAlign w:val="bottom"/>
            <w:hideMark/>
          </w:tcPr>
          <w:p w14:paraId="148125D2" w14:textId="77777777" w:rsidR="00D82087" w:rsidRPr="00D82087" w:rsidRDefault="00D82087" w:rsidP="00D82087">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39949D84" w14:textId="77777777" w:rsidR="00D82087" w:rsidRPr="00D82087" w:rsidRDefault="00D82087" w:rsidP="00D82087">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156B9B96" w14:textId="77777777" w:rsidR="00D82087" w:rsidRPr="00D82087" w:rsidRDefault="00D82087" w:rsidP="00D82087">
            <w:pPr>
              <w:spacing w:after="0" w:line="240" w:lineRule="auto"/>
              <w:jc w:val="center"/>
              <w:rPr>
                <w:rFonts w:ascii="Times New Roman" w:eastAsia="Times New Roman" w:hAnsi="Times New Roman"/>
                <w:sz w:val="20"/>
                <w:szCs w:val="20"/>
              </w:rPr>
            </w:pPr>
          </w:p>
        </w:tc>
      </w:tr>
      <w:tr w:rsidR="00D82087" w:rsidRPr="00D82087" w14:paraId="241E46CB" w14:textId="77777777" w:rsidTr="00D82087">
        <w:trPr>
          <w:trHeight w:val="308"/>
        </w:trPr>
        <w:tc>
          <w:tcPr>
            <w:tcW w:w="5360" w:type="dxa"/>
            <w:tcBorders>
              <w:top w:val="nil"/>
              <w:left w:val="nil"/>
              <w:bottom w:val="nil"/>
              <w:right w:val="nil"/>
            </w:tcBorders>
            <w:shd w:val="clear" w:color="auto" w:fill="auto"/>
            <w:noWrap/>
            <w:vAlign w:val="bottom"/>
            <w:hideMark/>
          </w:tcPr>
          <w:p w14:paraId="17148D75"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Net income</w:t>
            </w:r>
          </w:p>
        </w:tc>
        <w:tc>
          <w:tcPr>
            <w:tcW w:w="1540" w:type="dxa"/>
            <w:tcBorders>
              <w:top w:val="nil"/>
              <w:left w:val="nil"/>
              <w:bottom w:val="nil"/>
              <w:right w:val="nil"/>
            </w:tcBorders>
            <w:shd w:val="clear" w:color="auto" w:fill="auto"/>
            <w:noWrap/>
            <w:vAlign w:val="bottom"/>
            <w:hideMark/>
          </w:tcPr>
          <w:p w14:paraId="0A839068"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 $6,576 </w:t>
            </w:r>
          </w:p>
        </w:tc>
        <w:tc>
          <w:tcPr>
            <w:tcW w:w="272" w:type="dxa"/>
            <w:tcBorders>
              <w:top w:val="nil"/>
              <w:left w:val="nil"/>
              <w:bottom w:val="nil"/>
              <w:right w:val="nil"/>
            </w:tcBorders>
            <w:shd w:val="clear" w:color="auto" w:fill="auto"/>
            <w:noWrap/>
            <w:vAlign w:val="bottom"/>
            <w:hideMark/>
          </w:tcPr>
          <w:p w14:paraId="7447A385"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7B5918ED"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$5,667 </w:t>
            </w:r>
          </w:p>
        </w:tc>
      </w:tr>
      <w:tr w:rsidR="00D82087" w:rsidRPr="00D82087" w14:paraId="2985C290" w14:textId="77777777" w:rsidTr="00D82087">
        <w:trPr>
          <w:trHeight w:val="615"/>
        </w:trPr>
        <w:tc>
          <w:tcPr>
            <w:tcW w:w="5360" w:type="dxa"/>
            <w:tcBorders>
              <w:top w:val="nil"/>
              <w:left w:val="nil"/>
              <w:bottom w:val="nil"/>
              <w:right w:val="nil"/>
            </w:tcBorders>
            <w:shd w:val="clear" w:color="auto" w:fill="auto"/>
            <w:vAlign w:val="bottom"/>
            <w:hideMark/>
          </w:tcPr>
          <w:p w14:paraId="388E959D"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Adjustments to reconcile net income </w:t>
            </w:r>
            <w:r w:rsidRPr="00D82087">
              <w:rPr>
                <w:rFonts w:ascii="Segoe UI" w:eastAsia="Times New Roman" w:hAnsi="Segoe UI" w:cs="Segoe UI"/>
                <w:color w:val="666666"/>
                <w:sz w:val="20"/>
                <w:szCs w:val="20"/>
              </w:rPr>
              <w:br/>
              <w:t xml:space="preserve">  to net cash from operations:</w:t>
            </w:r>
          </w:p>
        </w:tc>
        <w:tc>
          <w:tcPr>
            <w:tcW w:w="1540" w:type="dxa"/>
            <w:tcBorders>
              <w:top w:val="nil"/>
              <w:left w:val="nil"/>
              <w:bottom w:val="nil"/>
              <w:right w:val="nil"/>
            </w:tcBorders>
            <w:shd w:val="clear" w:color="auto" w:fill="auto"/>
            <w:noWrap/>
            <w:vAlign w:val="bottom"/>
            <w:hideMark/>
          </w:tcPr>
          <w:p w14:paraId="510E86E5" w14:textId="77777777" w:rsidR="00D82087" w:rsidRPr="00D82087" w:rsidRDefault="00D82087" w:rsidP="00D82087">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3559D762" w14:textId="77777777" w:rsidR="00D82087" w:rsidRPr="00D82087" w:rsidRDefault="00D82087" w:rsidP="00D82087">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52A89C6C" w14:textId="77777777" w:rsidR="00D82087" w:rsidRPr="00D82087" w:rsidRDefault="00D82087" w:rsidP="00D82087">
            <w:pPr>
              <w:spacing w:after="0" w:line="240" w:lineRule="auto"/>
              <w:rPr>
                <w:rFonts w:ascii="Times New Roman" w:eastAsia="Times New Roman" w:hAnsi="Times New Roman"/>
                <w:sz w:val="20"/>
                <w:szCs w:val="20"/>
              </w:rPr>
            </w:pPr>
          </w:p>
        </w:tc>
      </w:tr>
      <w:tr w:rsidR="00D82087" w:rsidRPr="00D82087" w14:paraId="4CEF96C1" w14:textId="77777777" w:rsidTr="00D82087">
        <w:trPr>
          <w:trHeight w:val="308"/>
        </w:trPr>
        <w:tc>
          <w:tcPr>
            <w:tcW w:w="5360" w:type="dxa"/>
            <w:tcBorders>
              <w:top w:val="nil"/>
              <w:left w:val="nil"/>
              <w:bottom w:val="nil"/>
              <w:right w:val="nil"/>
            </w:tcBorders>
            <w:shd w:val="clear" w:color="auto" w:fill="auto"/>
            <w:vAlign w:val="bottom"/>
            <w:hideMark/>
          </w:tcPr>
          <w:p w14:paraId="0B85D44D"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Depreciation, amortization, and other</w:t>
            </w:r>
          </w:p>
        </w:tc>
        <w:tc>
          <w:tcPr>
            <w:tcW w:w="1540" w:type="dxa"/>
            <w:tcBorders>
              <w:top w:val="nil"/>
              <w:left w:val="nil"/>
              <w:bottom w:val="nil"/>
              <w:right w:val="nil"/>
            </w:tcBorders>
            <w:shd w:val="clear" w:color="auto" w:fill="auto"/>
            <w:noWrap/>
            <w:vAlign w:val="bottom"/>
            <w:hideMark/>
          </w:tcPr>
          <w:p w14:paraId="282E341D"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2,499 </w:t>
            </w:r>
          </w:p>
        </w:tc>
        <w:tc>
          <w:tcPr>
            <w:tcW w:w="272" w:type="dxa"/>
            <w:tcBorders>
              <w:top w:val="nil"/>
              <w:left w:val="nil"/>
              <w:bottom w:val="nil"/>
              <w:right w:val="nil"/>
            </w:tcBorders>
            <w:shd w:val="clear" w:color="auto" w:fill="auto"/>
            <w:noWrap/>
            <w:vAlign w:val="bottom"/>
            <w:hideMark/>
          </w:tcPr>
          <w:p w14:paraId="0F920179"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6F4F36A0"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1,816 </w:t>
            </w:r>
          </w:p>
        </w:tc>
      </w:tr>
      <w:tr w:rsidR="00D82087" w:rsidRPr="00D82087" w14:paraId="04FFDC7A" w14:textId="77777777" w:rsidTr="00D82087">
        <w:trPr>
          <w:trHeight w:val="308"/>
        </w:trPr>
        <w:tc>
          <w:tcPr>
            <w:tcW w:w="5360" w:type="dxa"/>
            <w:tcBorders>
              <w:top w:val="nil"/>
              <w:left w:val="nil"/>
              <w:bottom w:val="nil"/>
              <w:right w:val="nil"/>
            </w:tcBorders>
            <w:shd w:val="clear" w:color="auto" w:fill="auto"/>
            <w:vAlign w:val="bottom"/>
            <w:hideMark/>
          </w:tcPr>
          <w:p w14:paraId="1E77430E"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Stock-based compensation expense</w:t>
            </w:r>
          </w:p>
        </w:tc>
        <w:tc>
          <w:tcPr>
            <w:tcW w:w="1540" w:type="dxa"/>
            <w:tcBorders>
              <w:top w:val="nil"/>
              <w:left w:val="nil"/>
              <w:bottom w:val="nil"/>
              <w:right w:val="nil"/>
            </w:tcBorders>
            <w:shd w:val="clear" w:color="auto" w:fill="auto"/>
            <w:noWrap/>
            <w:vAlign w:val="bottom"/>
            <w:hideMark/>
          </w:tcPr>
          <w:p w14:paraId="60543ADD"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973 </w:t>
            </w:r>
          </w:p>
        </w:tc>
        <w:tc>
          <w:tcPr>
            <w:tcW w:w="272" w:type="dxa"/>
            <w:tcBorders>
              <w:top w:val="nil"/>
              <w:left w:val="nil"/>
              <w:bottom w:val="nil"/>
              <w:right w:val="nil"/>
            </w:tcBorders>
            <w:shd w:val="clear" w:color="auto" w:fill="auto"/>
            <w:noWrap/>
            <w:vAlign w:val="bottom"/>
            <w:hideMark/>
          </w:tcPr>
          <w:p w14:paraId="1A6314C4"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66206CEE"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703 </w:t>
            </w:r>
          </w:p>
        </w:tc>
      </w:tr>
      <w:tr w:rsidR="00D82087" w:rsidRPr="00D82087" w14:paraId="66E1CD1C" w14:textId="77777777" w:rsidTr="00D82087">
        <w:trPr>
          <w:trHeight w:val="308"/>
        </w:trPr>
        <w:tc>
          <w:tcPr>
            <w:tcW w:w="5360" w:type="dxa"/>
            <w:tcBorders>
              <w:top w:val="nil"/>
              <w:left w:val="nil"/>
              <w:bottom w:val="nil"/>
              <w:right w:val="nil"/>
            </w:tcBorders>
            <w:shd w:val="clear" w:color="auto" w:fill="auto"/>
            <w:vAlign w:val="bottom"/>
            <w:hideMark/>
          </w:tcPr>
          <w:p w14:paraId="66B9EB04"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Net recognized gains on investments and derivatives</w:t>
            </w:r>
          </w:p>
        </w:tc>
        <w:tc>
          <w:tcPr>
            <w:tcW w:w="1540" w:type="dxa"/>
            <w:tcBorders>
              <w:top w:val="nil"/>
              <w:left w:val="nil"/>
              <w:bottom w:val="nil"/>
              <w:right w:val="nil"/>
            </w:tcBorders>
            <w:shd w:val="clear" w:color="auto" w:fill="auto"/>
            <w:noWrap/>
            <w:vAlign w:val="bottom"/>
            <w:hideMark/>
          </w:tcPr>
          <w:p w14:paraId="0579E939"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(523)</w:t>
            </w:r>
          </w:p>
        </w:tc>
        <w:tc>
          <w:tcPr>
            <w:tcW w:w="272" w:type="dxa"/>
            <w:tcBorders>
              <w:top w:val="nil"/>
              <w:left w:val="nil"/>
              <w:bottom w:val="nil"/>
              <w:right w:val="nil"/>
            </w:tcBorders>
            <w:shd w:val="clear" w:color="auto" w:fill="auto"/>
            <w:noWrap/>
            <w:vAlign w:val="bottom"/>
            <w:hideMark/>
          </w:tcPr>
          <w:p w14:paraId="30F4F158"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3FDB9B4E"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(311)</w:t>
            </w:r>
          </w:p>
        </w:tc>
      </w:tr>
      <w:tr w:rsidR="00D82087" w:rsidRPr="00D82087" w14:paraId="7934FBBA" w14:textId="77777777" w:rsidTr="00D82087">
        <w:trPr>
          <w:trHeight w:val="308"/>
        </w:trPr>
        <w:tc>
          <w:tcPr>
            <w:tcW w:w="5360" w:type="dxa"/>
            <w:tcBorders>
              <w:top w:val="nil"/>
              <w:left w:val="nil"/>
              <w:bottom w:val="nil"/>
              <w:right w:val="nil"/>
            </w:tcBorders>
            <w:shd w:val="clear" w:color="auto" w:fill="auto"/>
            <w:noWrap/>
            <w:vAlign w:val="bottom"/>
            <w:hideMark/>
          </w:tcPr>
          <w:p w14:paraId="7F8699D6"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Deferred income taxes</w:t>
            </w:r>
          </w:p>
        </w:tc>
        <w:tc>
          <w:tcPr>
            <w:tcW w:w="1540" w:type="dxa"/>
            <w:tcBorders>
              <w:top w:val="nil"/>
              <w:left w:val="nil"/>
              <w:bottom w:val="nil"/>
              <w:right w:val="nil"/>
            </w:tcBorders>
            <w:shd w:val="clear" w:color="auto" w:fill="auto"/>
            <w:noWrap/>
            <w:vAlign w:val="bottom"/>
            <w:hideMark/>
          </w:tcPr>
          <w:p w14:paraId="69C8B1CF"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(53)</w:t>
            </w:r>
          </w:p>
        </w:tc>
        <w:tc>
          <w:tcPr>
            <w:tcW w:w="272" w:type="dxa"/>
            <w:tcBorders>
              <w:top w:val="nil"/>
              <w:left w:val="nil"/>
              <w:bottom w:val="nil"/>
              <w:right w:val="nil"/>
            </w:tcBorders>
            <w:shd w:val="clear" w:color="auto" w:fill="auto"/>
            <w:noWrap/>
            <w:vAlign w:val="bottom"/>
            <w:hideMark/>
          </w:tcPr>
          <w:p w14:paraId="535A30D5"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46104507"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540 </w:t>
            </w:r>
          </w:p>
        </w:tc>
      </w:tr>
      <w:tr w:rsidR="00D82087" w:rsidRPr="00D82087" w14:paraId="6891577D" w14:textId="77777777" w:rsidTr="00D82087">
        <w:trPr>
          <w:trHeight w:val="308"/>
        </w:trPr>
        <w:tc>
          <w:tcPr>
            <w:tcW w:w="5360" w:type="dxa"/>
            <w:tcBorders>
              <w:top w:val="nil"/>
              <w:left w:val="nil"/>
              <w:bottom w:val="nil"/>
              <w:right w:val="nil"/>
            </w:tcBorders>
            <w:shd w:val="clear" w:color="auto" w:fill="auto"/>
            <w:vAlign w:val="bottom"/>
            <w:hideMark/>
          </w:tcPr>
          <w:p w14:paraId="00A9F4C7"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Changes in operating assets and liabilities:</w:t>
            </w:r>
          </w:p>
        </w:tc>
        <w:tc>
          <w:tcPr>
            <w:tcW w:w="1540" w:type="dxa"/>
            <w:tcBorders>
              <w:top w:val="nil"/>
              <w:left w:val="nil"/>
              <w:bottom w:val="nil"/>
              <w:right w:val="nil"/>
            </w:tcBorders>
            <w:shd w:val="clear" w:color="auto" w:fill="auto"/>
            <w:noWrap/>
            <w:vAlign w:val="bottom"/>
            <w:hideMark/>
          </w:tcPr>
          <w:p w14:paraId="1320207B" w14:textId="77777777" w:rsidR="00D82087" w:rsidRPr="00D82087" w:rsidRDefault="00D82087" w:rsidP="00D82087">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528ACC46" w14:textId="77777777" w:rsidR="00D82087" w:rsidRPr="00D82087" w:rsidRDefault="00D82087" w:rsidP="00D82087">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31CB8A9C" w14:textId="77777777" w:rsidR="00D82087" w:rsidRPr="00D82087" w:rsidRDefault="00D82087" w:rsidP="00D82087">
            <w:pPr>
              <w:spacing w:after="0" w:line="240" w:lineRule="auto"/>
              <w:rPr>
                <w:rFonts w:ascii="Times New Roman" w:eastAsia="Times New Roman" w:hAnsi="Times New Roman"/>
                <w:sz w:val="20"/>
                <w:szCs w:val="20"/>
              </w:rPr>
            </w:pPr>
          </w:p>
        </w:tc>
      </w:tr>
      <w:tr w:rsidR="00D82087" w:rsidRPr="00D82087" w14:paraId="1D282B80" w14:textId="77777777" w:rsidTr="00D82087">
        <w:trPr>
          <w:trHeight w:val="308"/>
        </w:trPr>
        <w:tc>
          <w:tcPr>
            <w:tcW w:w="5360" w:type="dxa"/>
            <w:tcBorders>
              <w:top w:val="nil"/>
              <w:left w:val="nil"/>
              <w:bottom w:val="nil"/>
              <w:right w:val="nil"/>
            </w:tcBorders>
            <w:shd w:val="clear" w:color="auto" w:fill="auto"/>
            <w:noWrap/>
            <w:vAlign w:val="bottom"/>
            <w:hideMark/>
          </w:tcPr>
          <w:p w14:paraId="2AD647EE"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Accounts receivable</w:t>
            </w:r>
          </w:p>
        </w:tc>
        <w:tc>
          <w:tcPr>
            <w:tcW w:w="1540" w:type="dxa"/>
            <w:tcBorders>
              <w:top w:val="nil"/>
              <w:left w:val="nil"/>
              <w:bottom w:val="nil"/>
              <w:right w:val="nil"/>
            </w:tcBorders>
            <w:shd w:val="clear" w:color="auto" w:fill="auto"/>
            <w:noWrap/>
            <w:vAlign w:val="bottom"/>
            <w:hideMark/>
          </w:tcPr>
          <w:p w14:paraId="7992300D"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7,949 </w:t>
            </w:r>
          </w:p>
        </w:tc>
        <w:tc>
          <w:tcPr>
            <w:tcW w:w="272" w:type="dxa"/>
            <w:tcBorders>
              <w:top w:val="nil"/>
              <w:left w:val="nil"/>
              <w:bottom w:val="nil"/>
              <w:right w:val="nil"/>
            </w:tcBorders>
            <w:shd w:val="clear" w:color="auto" w:fill="auto"/>
            <w:noWrap/>
            <w:vAlign w:val="bottom"/>
            <w:hideMark/>
          </w:tcPr>
          <w:p w14:paraId="784A6492"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59012D00"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7,187 </w:t>
            </w:r>
          </w:p>
        </w:tc>
      </w:tr>
      <w:tr w:rsidR="00D82087" w:rsidRPr="00D82087" w14:paraId="4EE54D37" w14:textId="77777777" w:rsidTr="00D82087">
        <w:trPr>
          <w:trHeight w:val="308"/>
        </w:trPr>
        <w:tc>
          <w:tcPr>
            <w:tcW w:w="5360" w:type="dxa"/>
            <w:tcBorders>
              <w:top w:val="nil"/>
              <w:left w:val="nil"/>
              <w:bottom w:val="nil"/>
              <w:right w:val="nil"/>
            </w:tcBorders>
            <w:shd w:val="clear" w:color="auto" w:fill="auto"/>
            <w:noWrap/>
            <w:vAlign w:val="bottom"/>
            <w:hideMark/>
          </w:tcPr>
          <w:p w14:paraId="29198074"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Inventories</w:t>
            </w:r>
          </w:p>
        </w:tc>
        <w:tc>
          <w:tcPr>
            <w:tcW w:w="1540" w:type="dxa"/>
            <w:tcBorders>
              <w:top w:val="nil"/>
              <w:left w:val="nil"/>
              <w:bottom w:val="nil"/>
              <w:right w:val="nil"/>
            </w:tcBorders>
            <w:shd w:val="clear" w:color="auto" w:fill="auto"/>
            <w:noWrap/>
            <w:vAlign w:val="bottom"/>
            <w:hideMark/>
          </w:tcPr>
          <w:p w14:paraId="5261A966"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(1,023)</w:t>
            </w:r>
          </w:p>
        </w:tc>
        <w:tc>
          <w:tcPr>
            <w:tcW w:w="272" w:type="dxa"/>
            <w:tcBorders>
              <w:top w:val="nil"/>
              <w:left w:val="nil"/>
              <w:bottom w:val="nil"/>
              <w:right w:val="nil"/>
            </w:tcBorders>
            <w:shd w:val="clear" w:color="auto" w:fill="auto"/>
            <w:noWrap/>
            <w:vAlign w:val="bottom"/>
            <w:hideMark/>
          </w:tcPr>
          <w:p w14:paraId="07AC7DEF"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7F67DF0F"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(867)</w:t>
            </w:r>
          </w:p>
        </w:tc>
      </w:tr>
      <w:tr w:rsidR="00D82087" w:rsidRPr="00D82087" w14:paraId="5962276B" w14:textId="77777777" w:rsidTr="00D82087">
        <w:trPr>
          <w:trHeight w:val="308"/>
        </w:trPr>
        <w:tc>
          <w:tcPr>
            <w:tcW w:w="5360" w:type="dxa"/>
            <w:tcBorders>
              <w:top w:val="nil"/>
              <w:left w:val="nil"/>
              <w:bottom w:val="nil"/>
              <w:right w:val="nil"/>
            </w:tcBorders>
            <w:shd w:val="clear" w:color="auto" w:fill="auto"/>
            <w:noWrap/>
            <w:vAlign w:val="bottom"/>
            <w:hideMark/>
          </w:tcPr>
          <w:p w14:paraId="4DD0201B"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Other current assets</w:t>
            </w:r>
          </w:p>
        </w:tc>
        <w:tc>
          <w:tcPr>
            <w:tcW w:w="1540" w:type="dxa"/>
            <w:tcBorders>
              <w:top w:val="nil"/>
              <w:left w:val="nil"/>
              <w:bottom w:val="nil"/>
              <w:right w:val="nil"/>
            </w:tcBorders>
            <w:shd w:val="clear" w:color="auto" w:fill="auto"/>
            <w:noWrap/>
            <w:vAlign w:val="bottom"/>
            <w:hideMark/>
          </w:tcPr>
          <w:p w14:paraId="446C7F94"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(318)</w:t>
            </w:r>
          </w:p>
        </w:tc>
        <w:tc>
          <w:tcPr>
            <w:tcW w:w="272" w:type="dxa"/>
            <w:tcBorders>
              <w:top w:val="nil"/>
              <w:left w:val="nil"/>
              <w:bottom w:val="nil"/>
              <w:right w:val="nil"/>
            </w:tcBorders>
            <w:shd w:val="clear" w:color="auto" w:fill="auto"/>
            <w:noWrap/>
            <w:vAlign w:val="bottom"/>
            <w:hideMark/>
          </w:tcPr>
          <w:p w14:paraId="11672D75"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3E478911"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(965)</w:t>
            </w:r>
          </w:p>
        </w:tc>
      </w:tr>
      <w:tr w:rsidR="00D82087" w:rsidRPr="00D82087" w14:paraId="62602C32" w14:textId="77777777" w:rsidTr="00D82087">
        <w:trPr>
          <w:trHeight w:val="308"/>
        </w:trPr>
        <w:tc>
          <w:tcPr>
            <w:tcW w:w="5360" w:type="dxa"/>
            <w:tcBorders>
              <w:top w:val="nil"/>
              <w:left w:val="nil"/>
              <w:bottom w:val="nil"/>
              <w:right w:val="nil"/>
            </w:tcBorders>
            <w:shd w:val="clear" w:color="auto" w:fill="auto"/>
            <w:noWrap/>
            <w:vAlign w:val="bottom"/>
            <w:hideMark/>
          </w:tcPr>
          <w:p w14:paraId="258F1056"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Other long-term assets</w:t>
            </w:r>
          </w:p>
        </w:tc>
        <w:tc>
          <w:tcPr>
            <w:tcW w:w="1540" w:type="dxa"/>
            <w:tcBorders>
              <w:top w:val="nil"/>
              <w:left w:val="nil"/>
              <w:bottom w:val="nil"/>
              <w:right w:val="nil"/>
            </w:tcBorders>
            <w:shd w:val="clear" w:color="auto" w:fill="auto"/>
            <w:noWrap/>
            <w:vAlign w:val="bottom"/>
            <w:hideMark/>
          </w:tcPr>
          <w:p w14:paraId="7C726C42"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(278)</w:t>
            </w:r>
          </w:p>
        </w:tc>
        <w:tc>
          <w:tcPr>
            <w:tcW w:w="272" w:type="dxa"/>
            <w:tcBorders>
              <w:top w:val="nil"/>
              <w:left w:val="nil"/>
              <w:bottom w:val="nil"/>
              <w:right w:val="nil"/>
            </w:tcBorders>
            <w:shd w:val="clear" w:color="auto" w:fill="auto"/>
            <w:noWrap/>
            <w:vAlign w:val="bottom"/>
            <w:hideMark/>
          </w:tcPr>
          <w:p w14:paraId="4CB028F2"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1D1FA741"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(93)</w:t>
            </w:r>
          </w:p>
        </w:tc>
      </w:tr>
      <w:tr w:rsidR="00D82087" w:rsidRPr="00D82087" w14:paraId="417B0B2F" w14:textId="77777777" w:rsidTr="00D82087">
        <w:trPr>
          <w:trHeight w:val="308"/>
        </w:trPr>
        <w:tc>
          <w:tcPr>
            <w:tcW w:w="5360" w:type="dxa"/>
            <w:tcBorders>
              <w:top w:val="nil"/>
              <w:left w:val="nil"/>
              <w:bottom w:val="nil"/>
              <w:right w:val="nil"/>
            </w:tcBorders>
            <w:shd w:val="clear" w:color="auto" w:fill="auto"/>
            <w:noWrap/>
            <w:vAlign w:val="bottom"/>
            <w:hideMark/>
          </w:tcPr>
          <w:p w14:paraId="1E8C743A"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Accounts payable</w:t>
            </w:r>
          </w:p>
        </w:tc>
        <w:tc>
          <w:tcPr>
            <w:tcW w:w="1540" w:type="dxa"/>
            <w:tcBorders>
              <w:top w:val="nil"/>
              <w:left w:val="nil"/>
              <w:bottom w:val="nil"/>
              <w:right w:val="nil"/>
            </w:tcBorders>
            <w:shd w:val="clear" w:color="auto" w:fill="auto"/>
            <w:noWrap/>
            <w:vAlign w:val="bottom"/>
            <w:hideMark/>
          </w:tcPr>
          <w:p w14:paraId="0D53846E"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(407)</w:t>
            </w:r>
          </w:p>
        </w:tc>
        <w:tc>
          <w:tcPr>
            <w:tcW w:w="272" w:type="dxa"/>
            <w:tcBorders>
              <w:top w:val="nil"/>
              <w:left w:val="nil"/>
              <w:bottom w:val="nil"/>
              <w:right w:val="nil"/>
            </w:tcBorders>
            <w:shd w:val="clear" w:color="auto" w:fill="auto"/>
            <w:noWrap/>
            <w:vAlign w:val="bottom"/>
            <w:hideMark/>
          </w:tcPr>
          <w:p w14:paraId="580C1BA5"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638D5ECF"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(443)</w:t>
            </w:r>
          </w:p>
        </w:tc>
      </w:tr>
      <w:tr w:rsidR="00D82087" w:rsidRPr="00D82087" w14:paraId="7B806596" w14:textId="77777777" w:rsidTr="00D82087">
        <w:trPr>
          <w:trHeight w:val="308"/>
        </w:trPr>
        <w:tc>
          <w:tcPr>
            <w:tcW w:w="5360" w:type="dxa"/>
            <w:tcBorders>
              <w:top w:val="nil"/>
              <w:left w:val="nil"/>
              <w:bottom w:val="nil"/>
              <w:right w:val="nil"/>
            </w:tcBorders>
            <w:shd w:val="clear" w:color="auto" w:fill="auto"/>
            <w:noWrap/>
            <w:vAlign w:val="bottom"/>
            <w:hideMark/>
          </w:tcPr>
          <w:p w14:paraId="2868D7B4"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Unearned revenue</w:t>
            </w:r>
          </w:p>
        </w:tc>
        <w:tc>
          <w:tcPr>
            <w:tcW w:w="1540" w:type="dxa"/>
            <w:tcBorders>
              <w:top w:val="nil"/>
              <w:left w:val="nil"/>
              <w:bottom w:val="nil"/>
              <w:right w:val="nil"/>
            </w:tcBorders>
            <w:shd w:val="clear" w:color="auto" w:fill="auto"/>
            <w:noWrap/>
            <w:vAlign w:val="bottom"/>
            <w:hideMark/>
          </w:tcPr>
          <w:p w14:paraId="5927CEC2"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(1,806)</w:t>
            </w:r>
          </w:p>
        </w:tc>
        <w:tc>
          <w:tcPr>
            <w:tcW w:w="272" w:type="dxa"/>
            <w:tcBorders>
              <w:top w:val="nil"/>
              <w:left w:val="nil"/>
              <w:bottom w:val="nil"/>
              <w:right w:val="nil"/>
            </w:tcBorders>
            <w:shd w:val="clear" w:color="auto" w:fill="auto"/>
            <w:noWrap/>
            <w:vAlign w:val="bottom"/>
            <w:hideMark/>
          </w:tcPr>
          <w:p w14:paraId="6733D56C"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4A8F6E1F"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(1,807)</w:t>
            </w:r>
          </w:p>
        </w:tc>
      </w:tr>
      <w:tr w:rsidR="00D82087" w:rsidRPr="00D82087" w14:paraId="338FACA5" w14:textId="77777777" w:rsidTr="00D82087">
        <w:trPr>
          <w:trHeight w:val="308"/>
        </w:trPr>
        <w:tc>
          <w:tcPr>
            <w:tcW w:w="5360" w:type="dxa"/>
            <w:tcBorders>
              <w:top w:val="nil"/>
              <w:left w:val="nil"/>
              <w:bottom w:val="nil"/>
              <w:right w:val="nil"/>
            </w:tcBorders>
            <w:shd w:val="clear" w:color="auto" w:fill="auto"/>
            <w:noWrap/>
            <w:vAlign w:val="bottom"/>
            <w:hideMark/>
          </w:tcPr>
          <w:p w14:paraId="07C632E4"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Other current liabilities</w:t>
            </w:r>
          </w:p>
        </w:tc>
        <w:tc>
          <w:tcPr>
            <w:tcW w:w="1540" w:type="dxa"/>
            <w:tcBorders>
              <w:top w:val="nil"/>
              <w:left w:val="nil"/>
              <w:bottom w:val="nil"/>
              <w:right w:val="nil"/>
            </w:tcBorders>
            <w:shd w:val="clear" w:color="auto" w:fill="auto"/>
            <w:noWrap/>
            <w:vAlign w:val="bottom"/>
            <w:hideMark/>
          </w:tcPr>
          <w:p w14:paraId="599B10FF"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(1,962)</w:t>
            </w:r>
          </w:p>
        </w:tc>
        <w:tc>
          <w:tcPr>
            <w:tcW w:w="272" w:type="dxa"/>
            <w:tcBorders>
              <w:top w:val="nil"/>
              <w:left w:val="nil"/>
              <w:bottom w:val="nil"/>
              <w:right w:val="nil"/>
            </w:tcBorders>
            <w:shd w:val="clear" w:color="auto" w:fill="auto"/>
            <w:noWrap/>
            <w:vAlign w:val="bottom"/>
            <w:hideMark/>
          </w:tcPr>
          <w:p w14:paraId="2CE7DB02"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55C9A36F"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(321)</w:t>
            </w:r>
          </w:p>
        </w:tc>
      </w:tr>
      <w:tr w:rsidR="00D82087" w:rsidRPr="00D82087" w14:paraId="76C5CDE5" w14:textId="77777777" w:rsidTr="00D82087">
        <w:trPr>
          <w:trHeight w:val="308"/>
        </w:trPr>
        <w:tc>
          <w:tcPr>
            <w:tcW w:w="5360" w:type="dxa"/>
            <w:tcBorders>
              <w:top w:val="nil"/>
              <w:left w:val="nil"/>
              <w:bottom w:val="single" w:sz="4" w:space="0" w:color="auto"/>
              <w:right w:val="nil"/>
            </w:tcBorders>
            <w:shd w:val="clear" w:color="auto" w:fill="auto"/>
            <w:noWrap/>
            <w:vAlign w:val="bottom"/>
            <w:hideMark/>
          </w:tcPr>
          <w:p w14:paraId="29DF0F2F"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Other long-term liabilities</w:t>
            </w:r>
          </w:p>
        </w:tc>
        <w:tc>
          <w:tcPr>
            <w:tcW w:w="1540" w:type="dxa"/>
            <w:tcBorders>
              <w:top w:val="nil"/>
              <w:left w:val="nil"/>
              <w:bottom w:val="single" w:sz="4" w:space="0" w:color="auto"/>
              <w:right w:val="nil"/>
            </w:tcBorders>
            <w:shd w:val="clear" w:color="auto" w:fill="auto"/>
            <w:noWrap/>
            <w:vAlign w:val="bottom"/>
            <w:hideMark/>
          </w:tcPr>
          <w:p w14:paraId="6D563E5C"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813 </w:t>
            </w:r>
          </w:p>
        </w:tc>
        <w:tc>
          <w:tcPr>
            <w:tcW w:w="272" w:type="dxa"/>
            <w:tcBorders>
              <w:top w:val="nil"/>
              <w:left w:val="nil"/>
              <w:bottom w:val="nil"/>
              <w:right w:val="nil"/>
            </w:tcBorders>
            <w:shd w:val="clear" w:color="auto" w:fill="auto"/>
            <w:noWrap/>
            <w:vAlign w:val="bottom"/>
            <w:hideMark/>
          </w:tcPr>
          <w:p w14:paraId="20A349C8"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335248F6"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443 </w:t>
            </w:r>
          </w:p>
        </w:tc>
      </w:tr>
      <w:tr w:rsidR="00D82087" w:rsidRPr="00D82087" w14:paraId="7C8275E2" w14:textId="77777777" w:rsidTr="00D82087">
        <w:trPr>
          <w:trHeight w:val="308"/>
        </w:trPr>
        <w:tc>
          <w:tcPr>
            <w:tcW w:w="5360" w:type="dxa"/>
            <w:tcBorders>
              <w:top w:val="nil"/>
              <w:left w:val="nil"/>
              <w:bottom w:val="single" w:sz="4" w:space="0" w:color="auto"/>
              <w:right w:val="nil"/>
            </w:tcBorders>
            <w:shd w:val="clear" w:color="auto" w:fill="auto"/>
            <w:vAlign w:val="bottom"/>
            <w:hideMark/>
          </w:tcPr>
          <w:p w14:paraId="1D78C3CD"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Net cash from operations</w:t>
            </w:r>
          </w:p>
        </w:tc>
        <w:tc>
          <w:tcPr>
            <w:tcW w:w="1540" w:type="dxa"/>
            <w:tcBorders>
              <w:top w:val="nil"/>
              <w:left w:val="nil"/>
              <w:bottom w:val="single" w:sz="4" w:space="0" w:color="auto"/>
              <w:right w:val="nil"/>
            </w:tcBorders>
            <w:shd w:val="clear" w:color="auto" w:fill="auto"/>
            <w:noWrap/>
            <w:vAlign w:val="bottom"/>
            <w:hideMark/>
          </w:tcPr>
          <w:p w14:paraId="3CFC61D2"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12,440 </w:t>
            </w:r>
          </w:p>
        </w:tc>
        <w:tc>
          <w:tcPr>
            <w:tcW w:w="272" w:type="dxa"/>
            <w:tcBorders>
              <w:top w:val="nil"/>
              <w:left w:val="nil"/>
              <w:bottom w:val="nil"/>
              <w:right w:val="nil"/>
            </w:tcBorders>
            <w:shd w:val="clear" w:color="auto" w:fill="auto"/>
            <w:noWrap/>
            <w:vAlign w:val="bottom"/>
            <w:hideMark/>
          </w:tcPr>
          <w:p w14:paraId="394180AB"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20F1EF9F"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11,549 </w:t>
            </w:r>
          </w:p>
        </w:tc>
      </w:tr>
      <w:tr w:rsidR="00D82087" w:rsidRPr="00D82087" w14:paraId="0D770C29" w14:textId="77777777" w:rsidTr="00D82087">
        <w:trPr>
          <w:trHeight w:val="308"/>
        </w:trPr>
        <w:tc>
          <w:tcPr>
            <w:tcW w:w="5360" w:type="dxa"/>
            <w:tcBorders>
              <w:top w:val="nil"/>
              <w:left w:val="nil"/>
              <w:bottom w:val="nil"/>
              <w:right w:val="nil"/>
            </w:tcBorders>
            <w:shd w:val="clear" w:color="auto" w:fill="auto"/>
            <w:noWrap/>
            <w:vAlign w:val="bottom"/>
            <w:hideMark/>
          </w:tcPr>
          <w:p w14:paraId="33F1581D" w14:textId="77777777" w:rsidR="00D82087" w:rsidRPr="00D82087" w:rsidRDefault="00D82087" w:rsidP="00D82087">
            <w:pPr>
              <w:spacing w:after="0" w:line="240" w:lineRule="auto"/>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Financing</w:t>
            </w:r>
          </w:p>
        </w:tc>
        <w:tc>
          <w:tcPr>
            <w:tcW w:w="1540" w:type="dxa"/>
            <w:tcBorders>
              <w:top w:val="nil"/>
              <w:left w:val="nil"/>
              <w:bottom w:val="nil"/>
              <w:right w:val="nil"/>
            </w:tcBorders>
            <w:shd w:val="clear" w:color="auto" w:fill="auto"/>
            <w:noWrap/>
            <w:vAlign w:val="bottom"/>
            <w:hideMark/>
          </w:tcPr>
          <w:p w14:paraId="4CCE117F" w14:textId="77777777" w:rsidR="00D82087" w:rsidRPr="00D82087" w:rsidRDefault="00D82087" w:rsidP="00D82087">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1882217C" w14:textId="77777777" w:rsidR="00D82087" w:rsidRPr="00D82087" w:rsidRDefault="00D82087" w:rsidP="00D82087">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534B5E8C" w14:textId="77777777" w:rsidR="00D82087" w:rsidRPr="00D82087" w:rsidRDefault="00D82087" w:rsidP="00D82087">
            <w:pPr>
              <w:spacing w:after="0" w:line="240" w:lineRule="auto"/>
              <w:rPr>
                <w:rFonts w:ascii="Times New Roman" w:eastAsia="Times New Roman" w:hAnsi="Times New Roman"/>
                <w:sz w:val="20"/>
                <w:szCs w:val="20"/>
              </w:rPr>
            </w:pPr>
          </w:p>
        </w:tc>
      </w:tr>
      <w:tr w:rsidR="00D82087" w:rsidRPr="00D82087" w14:paraId="725A65EB" w14:textId="77777777" w:rsidTr="00D82087">
        <w:trPr>
          <w:trHeight w:val="615"/>
        </w:trPr>
        <w:tc>
          <w:tcPr>
            <w:tcW w:w="5360" w:type="dxa"/>
            <w:tcBorders>
              <w:top w:val="nil"/>
              <w:left w:val="nil"/>
              <w:bottom w:val="nil"/>
              <w:right w:val="nil"/>
            </w:tcBorders>
            <w:shd w:val="clear" w:color="auto" w:fill="auto"/>
            <w:vAlign w:val="bottom"/>
            <w:hideMark/>
          </w:tcPr>
          <w:p w14:paraId="2B1A3891"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Repayments of short-term debt, maturities of 90 days </w:t>
            </w:r>
            <w:r w:rsidRPr="00D82087">
              <w:rPr>
                <w:rFonts w:ascii="Segoe UI" w:eastAsia="Times New Roman" w:hAnsi="Segoe UI" w:cs="Segoe UI"/>
                <w:color w:val="666666"/>
                <w:sz w:val="20"/>
                <w:szCs w:val="20"/>
              </w:rPr>
              <w:br/>
              <w:t xml:space="preserve">  or less, net</w:t>
            </w:r>
          </w:p>
        </w:tc>
        <w:tc>
          <w:tcPr>
            <w:tcW w:w="1540" w:type="dxa"/>
            <w:tcBorders>
              <w:top w:val="nil"/>
              <w:left w:val="nil"/>
              <w:bottom w:val="nil"/>
              <w:right w:val="nil"/>
            </w:tcBorders>
            <w:shd w:val="clear" w:color="auto" w:fill="auto"/>
            <w:noWrap/>
            <w:vAlign w:val="bottom"/>
            <w:hideMark/>
          </w:tcPr>
          <w:p w14:paraId="27F8EAF1"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(3,710)</w:t>
            </w:r>
          </w:p>
        </w:tc>
        <w:tc>
          <w:tcPr>
            <w:tcW w:w="272" w:type="dxa"/>
            <w:tcBorders>
              <w:top w:val="nil"/>
              <w:left w:val="nil"/>
              <w:bottom w:val="nil"/>
              <w:right w:val="nil"/>
            </w:tcBorders>
            <w:shd w:val="clear" w:color="auto" w:fill="auto"/>
            <w:noWrap/>
            <w:vAlign w:val="bottom"/>
            <w:hideMark/>
          </w:tcPr>
          <w:p w14:paraId="1359F858"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7D9904CF"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(3,390)</w:t>
            </w:r>
          </w:p>
        </w:tc>
      </w:tr>
      <w:tr w:rsidR="00D82087" w:rsidRPr="00D82087" w14:paraId="59594842" w14:textId="77777777" w:rsidTr="00D82087">
        <w:trPr>
          <w:trHeight w:val="308"/>
        </w:trPr>
        <w:tc>
          <w:tcPr>
            <w:tcW w:w="5360" w:type="dxa"/>
            <w:tcBorders>
              <w:top w:val="nil"/>
              <w:left w:val="nil"/>
              <w:bottom w:val="nil"/>
              <w:right w:val="nil"/>
            </w:tcBorders>
            <w:shd w:val="clear" w:color="auto" w:fill="auto"/>
            <w:vAlign w:val="bottom"/>
            <w:hideMark/>
          </w:tcPr>
          <w:p w14:paraId="1104D7CB"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Proceeds from issuance of debt</w:t>
            </w:r>
          </w:p>
        </w:tc>
        <w:tc>
          <w:tcPr>
            <w:tcW w:w="1540" w:type="dxa"/>
            <w:tcBorders>
              <w:top w:val="nil"/>
              <w:left w:val="nil"/>
              <w:bottom w:val="nil"/>
              <w:right w:val="nil"/>
            </w:tcBorders>
            <w:shd w:val="clear" w:color="auto" w:fill="auto"/>
            <w:noWrap/>
            <w:vAlign w:val="bottom"/>
            <w:hideMark/>
          </w:tcPr>
          <w:p w14:paraId="01D73E1F"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3,954 </w:t>
            </w:r>
          </w:p>
        </w:tc>
        <w:tc>
          <w:tcPr>
            <w:tcW w:w="272" w:type="dxa"/>
            <w:tcBorders>
              <w:top w:val="nil"/>
              <w:left w:val="nil"/>
              <w:bottom w:val="nil"/>
              <w:right w:val="nil"/>
            </w:tcBorders>
            <w:shd w:val="clear" w:color="auto" w:fill="auto"/>
            <w:noWrap/>
            <w:vAlign w:val="bottom"/>
            <w:hideMark/>
          </w:tcPr>
          <w:p w14:paraId="3976E7A8"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21A1DAF2"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24,977 </w:t>
            </w:r>
          </w:p>
        </w:tc>
      </w:tr>
      <w:tr w:rsidR="00D82087" w:rsidRPr="00D82087" w14:paraId="19D8640A" w14:textId="77777777" w:rsidTr="00D82087">
        <w:trPr>
          <w:trHeight w:val="308"/>
        </w:trPr>
        <w:tc>
          <w:tcPr>
            <w:tcW w:w="5360" w:type="dxa"/>
            <w:tcBorders>
              <w:top w:val="nil"/>
              <w:left w:val="nil"/>
              <w:bottom w:val="nil"/>
              <w:right w:val="nil"/>
            </w:tcBorders>
            <w:shd w:val="clear" w:color="auto" w:fill="auto"/>
            <w:vAlign w:val="bottom"/>
            <w:hideMark/>
          </w:tcPr>
          <w:p w14:paraId="5135FDB8"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Repayments of debt</w:t>
            </w:r>
          </w:p>
        </w:tc>
        <w:tc>
          <w:tcPr>
            <w:tcW w:w="1540" w:type="dxa"/>
            <w:tcBorders>
              <w:top w:val="nil"/>
              <w:left w:val="nil"/>
              <w:bottom w:val="nil"/>
              <w:right w:val="nil"/>
            </w:tcBorders>
            <w:shd w:val="clear" w:color="auto" w:fill="auto"/>
            <w:noWrap/>
            <w:vAlign w:val="bottom"/>
            <w:hideMark/>
          </w:tcPr>
          <w:p w14:paraId="1F534B58"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(1,169)</w:t>
            </w:r>
          </w:p>
        </w:tc>
        <w:tc>
          <w:tcPr>
            <w:tcW w:w="272" w:type="dxa"/>
            <w:tcBorders>
              <w:top w:val="nil"/>
              <w:left w:val="nil"/>
              <w:bottom w:val="nil"/>
              <w:right w:val="nil"/>
            </w:tcBorders>
            <w:shd w:val="clear" w:color="auto" w:fill="auto"/>
            <w:noWrap/>
            <w:vAlign w:val="bottom"/>
            <w:hideMark/>
          </w:tcPr>
          <w:p w14:paraId="597E3E18"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5B20F15D"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(225)</w:t>
            </w:r>
          </w:p>
        </w:tc>
      </w:tr>
      <w:tr w:rsidR="00D82087" w:rsidRPr="00D82087" w14:paraId="4A826F62" w14:textId="77777777" w:rsidTr="00D82087">
        <w:trPr>
          <w:trHeight w:val="308"/>
        </w:trPr>
        <w:tc>
          <w:tcPr>
            <w:tcW w:w="5360" w:type="dxa"/>
            <w:tcBorders>
              <w:top w:val="nil"/>
              <w:left w:val="nil"/>
              <w:bottom w:val="nil"/>
              <w:right w:val="nil"/>
            </w:tcBorders>
            <w:shd w:val="clear" w:color="auto" w:fill="auto"/>
            <w:noWrap/>
            <w:vAlign w:val="bottom"/>
            <w:hideMark/>
          </w:tcPr>
          <w:p w14:paraId="1D8292A6"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Common stock issued</w:t>
            </w:r>
          </w:p>
        </w:tc>
        <w:tc>
          <w:tcPr>
            <w:tcW w:w="1540" w:type="dxa"/>
            <w:tcBorders>
              <w:top w:val="nil"/>
              <w:left w:val="nil"/>
              <w:bottom w:val="nil"/>
              <w:right w:val="nil"/>
            </w:tcBorders>
            <w:shd w:val="clear" w:color="auto" w:fill="auto"/>
            <w:noWrap/>
            <w:vAlign w:val="bottom"/>
            <w:hideMark/>
          </w:tcPr>
          <w:p w14:paraId="3540BAEE"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307 </w:t>
            </w:r>
          </w:p>
        </w:tc>
        <w:tc>
          <w:tcPr>
            <w:tcW w:w="272" w:type="dxa"/>
            <w:tcBorders>
              <w:top w:val="nil"/>
              <w:left w:val="nil"/>
              <w:bottom w:val="nil"/>
              <w:right w:val="nil"/>
            </w:tcBorders>
            <w:shd w:val="clear" w:color="auto" w:fill="auto"/>
            <w:noWrap/>
            <w:vAlign w:val="bottom"/>
            <w:hideMark/>
          </w:tcPr>
          <w:p w14:paraId="0F500106"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0B43FE60"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241 </w:t>
            </w:r>
          </w:p>
        </w:tc>
      </w:tr>
      <w:tr w:rsidR="00D82087" w:rsidRPr="00D82087" w14:paraId="087FEE91" w14:textId="77777777" w:rsidTr="00D82087">
        <w:trPr>
          <w:trHeight w:val="308"/>
        </w:trPr>
        <w:tc>
          <w:tcPr>
            <w:tcW w:w="5360" w:type="dxa"/>
            <w:tcBorders>
              <w:top w:val="nil"/>
              <w:left w:val="nil"/>
              <w:bottom w:val="nil"/>
              <w:right w:val="nil"/>
            </w:tcBorders>
            <w:shd w:val="clear" w:color="auto" w:fill="auto"/>
            <w:noWrap/>
            <w:vAlign w:val="bottom"/>
            <w:hideMark/>
          </w:tcPr>
          <w:p w14:paraId="08F7D986"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Common stock repurchased</w:t>
            </w:r>
          </w:p>
        </w:tc>
        <w:tc>
          <w:tcPr>
            <w:tcW w:w="1540" w:type="dxa"/>
            <w:tcBorders>
              <w:top w:val="nil"/>
              <w:left w:val="nil"/>
              <w:bottom w:val="nil"/>
              <w:right w:val="nil"/>
            </w:tcBorders>
            <w:shd w:val="clear" w:color="auto" w:fill="auto"/>
            <w:noWrap/>
            <w:vAlign w:val="bottom"/>
            <w:hideMark/>
          </w:tcPr>
          <w:p w14:paraId="276091C5"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(2,570)</w:t>
            </w:r>
          </w:p>
        </w:tc>
        <w:tc>
          <w:tcPr>
            <w:tcW w:w="272" w:type="dxa"/>
            <w:tcBorders>
              <w:top w:val="nil"/>
              <w:left w:val="nil"/>
              <w:bottom w:val="nil"/>
              <w:right w:val="nil"/>
            </w:tcBorders>
            <w:shd w:val="clear" w:color="auto" w:fill="auto"/>
            <w:noWrap/>
            <w:vAlign w:val="bottom"/>
            <w:hideMark/>
          </w:tcPr>
          <w:p w14:paraId="3EC4ECDC"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23BF99E7"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(4,362)</w:t>
            </w:r>
          </w:p>
        </w:tc>
      </w:tr>
      <w:tr w:rsidR="00D82087" w:rsidRPr="00D82087" w14:paraId="3A26E950" w14:textId="77777777" w:rsidTr="00D82087">
        <w:trPr>
          <w:trHeight w:val="308"/>
        </w:trPr>
        <w:tc>
          <w:tcPr>
            <w:tcW w:w="5360" w:type="dxa"/>
            <w:tcBorders>
              <w:top w:val="nil"/>
              <w:left w:val="nil"/>
              <w:bottom w:val="nil"/>
              <w:right w:val="nil"/>
            </w:tcBorders>
            <w:shd w:val="clear" w:color="auto" w:fill="auto"/>
            <w:noWrap/>
            <w:vAlign w:val="bottom"/>
            <w:hideMark/>
          </w:tcPr>
          <w:p w14:paraId="2EEFD445"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Common stock cash dividends paid</w:t>
            </w:r>
          </w:p>
        </w:tc>
        <w:tc>
          <w:tcPr>
            <w:tcW w:w="1540" w:type="dxa"/>
            <w:tcBorders>
              <w:top w:val="nil"/>
              <w:left w:val="nil"/>
              <w:bottom w:val="nil"/>
              <w:right w:val="nil"/>
            </w:tcBorders>
            <w:shd w:val="clear" w:color="auto" w:fill="auto"/>
            <w:noWrap/>
            <w:vAlign w:val="bottom"/>
            <w:hideMark/>
          </w:tcPr>
          <w:p w14:paraId="41AF1942"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(3,003)</w:t>
            </w:r>
          </w:p>
        </w:tc>
        <w:tc>
          <w:tcPr>
            <w:tcW w:w="272" w:type="dxa"/>
            <w:tcBorders>
              <w:top w:val="nil"/>
              <w:left w:val="nil"/>
              <w:bottom w:val="nil"/>
              <w:right w:val="nil"/>
            </w:tcBorders>
            <w:shd w:val="clear" w:color="auto" w:fill="auto"/>
            <w:noWrap/>
            <w:vAlign w:val="bottom"/>
            <w:hideMark/>
          </w:tcPr>
          <w:p w14:paraId="7568C9AC"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500DBD60"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(2,800)</w:t>
            </w:r>
          </w:p>
        </w:tc>
      </w:tr>
      <w:tr w:rsidR="00D82087" w:rsidRPr="00D82087" w14:paraId="7412073A" w14:textId="77777777" w:rsidTr="00D82087">
        <w:trPr>
          <w:trHeight w:val="308"/>
        </w:trPr>
        <w:tc>
          <w:tcPr>
            <w:tcW w:w="5360" w:type="dxa"/>
            <w:tcBorders>
              <w:top w:val="nil"/>
              <w:left w:val="nil"/>
              <w:bottom w:val="single" w:sz="4" w:space="0" w:color="auto"/>
              <w:right w:val="nil"/>
            </w:tcBorders>
            <w:shd w:val="clear" w:color="auto" w:fill="auto"/>
            <w:vAlign w:val="bottom"/>
            <w:hideMark/>
          </w:tcPr>
          <w:p w14:paraId="01D168F3"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Other</w:t>
            </w:r>
          </w:p>
        </w:tc>
        <w:tc>
          <w:tcPr>
            <w:tcW w:w="1540" w:type="dxa"/>
            <w:tcBorders>
              <w:top w:val="nil"/>
              <w:left w:val="nil"/>
              <w:bottom w:val="single" w:sz="4" w:space="0" w:color="auto"/>
              <w:right w:val="nil"/>
            </w:tcBorders>
            <w:shd w:val="clear" w:color="auto" w:fill="auto"/>
            <w:noWrap/>
            <w:vAlign w:val="bottom"/>
            <w:hideMark/>
          </w:tcPr>
          <w:p w14:paraId="59B3DF4F"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(150)</w:t>
            </w:r>
          </w:p>
        </w:tc>
        <w:tc>
          <w:tcPr>
            <w:tcW w:w="272" w:type="dxa"/>
            <w:tcBorders>
              <w:top w:val="nil"/>
              <w:left w:val="nil"/>
              <w:bottom w:val="nil"/>
              <w:right w:val="nil"/>
            </w:tcBorders>
            <w:shd w:val="clear" w:color="auto" w:fill="auto"/>
            <w:noWrap/>
            <w:vAlign w:val="bottom"/>
            <w:hideMark/>
          </w:tcPr>
          <w:p w14:paraId="648AB9E8"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390AF2D1"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(112)</w:t>
            </w:r>
          </w:p>
        </w:tc>
      </w:tr>
      <w:tr w:rsidR="00D82087" w:rsidRPr="00D82087" w14:paraId="3A15C180" w14:textId="77777777" w:rsidTr="00D82087">
        <w:trPr>
          <w:trHeight w:val="308"/>
        </w:trPr>
        <w:tc>
          <w:tcPr>
            <w:tcW w:w="5360" w:type="dxa"/>
            <w:tcBorders>
              <w:top w:val="nil"/>
              <w:left w:val="nil"/>
              <w:bottom w:val="single" w:sz="4" w:space="0" w:color="auto"/>
              <w:right w:val="nil"/>
            </w:tcBorders>
            <w:shd w:val="clear" w:color="auto" w:fill="auto"/>
            <w:vAlign w:val="bottom"/>
            <w:hideMark/>
          </w:tcPr>
          <w:p w14:paraId="72AC2AF6"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Net cash from (used in) financing</w:t>
            </w:r>
          </w:p>
        </w:tc>
        <w:tc>
          <w:tcPr>
            <w:tcW w:w="1540" w:type="dxa"/>
            <w:tcBorders>
              <w:top w:val="nil"/>
              <w:left w:val="nil"/>
              <w:bottom w:val="single" w:sz="4" w:space="0" w:color="auto"/>
              <w:right w:val="nil"/>
            </w:tcBorders>
            <w:shd w:val="clear" w:color="auto" w:fill="auto"/>
            <w:noWrap/>
            <w:vAlign w:val="bottom"/>
            <w:hideMark/>
          </w:tcPr>
          <w:p w14:paraId="51F918FA"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(6,341)</w:t>
            </w:r>
          </w:p>
        </w:tc>
        <w:tc>
          <w:tcPr>
            <w:tcW w:w="272" w:type="dxa"/>
            <w:tcBorders>
              <w:top w:val="nil"/>
              <w:left w:val="nil"/>
              <w:bottom w:val="nil"/>
              <w:right w:val="nil"/>
            </w:tcBorders>
            <w:shd w:val="clear" w:color="auto" w:fill="auto"/>
            <w:noWrap/>
            <w:vAlign w:val="bottom"/>
            <w:hideMark/>
          </w:tcPr>
          <w:p w14:paraId="5C40012A"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1E799A00"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14,329 </w:t>
            </w:r>
          </w:p>
        </w:tc>
      </w:tr>
      <w:tr w:rsidR="00D82087" w:rsidRPr="00D82087" w14:paraId="2F83E7DA" w14:textId="77777777" w:rsidTr="00D82087">
        <w:trPr>
          <w:trHeight w:val="308"/>
        </w:trPr>
        <w:tc>
          <w:tcPr>
            <w:tcW w:w="5360" w:type="dxa"/>
            <w:tcBorders>
              <w:top w:val="nil"/>
              <w:left w:val="nil"/>
              <w:bottom w:val="nil"/>
              <w:right w:val="nil"/>
            </w:tcBorders>
            <w:shd w:val="clear" w:color="auto" w:fill="auto"/>
            <w:noWrap/>
            <w:vAlign w:val="bottom"/>
            <w:hideMark/>
          </w:tcPr>
          <w:p w14:paraId="6FAD1A9F" w14:textId="77777777" w:rsidR="00D82087" w:rsidRPr="00D82087" w:rsidRDefault="00D82087" w:rsidP="00D82087">
            <w:pPr>
              <w:spacing w:after="0" w:line="240" w:lineRule="auto"/>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Investing</w:t>
            </w:r>
          </w:p>
        </w:tc>
        <w:tc>
          <w:tcPr>
            <w:tcW w:w="1540" w:type="dxa"/>
            <w:tcBorders>
              <w:top w:val="nil"/>
              <w:left w:val="nil"/>
              <w:bottom w:val="nil"/>
              <w:right w:val="nil"/>
            </w:tcBorders>
            <w:shd w:val="clear" w:color="auto" w:fill="auto"/>
            <w:noWrap/>
            <w:vAlign w:val="bottom"/>
            <w:hideMark/>
          </w:tcPr>
          <w:p w14:paraId="5EE33EC5" w14:textId="77777777" w:rsidR="00D82087" w:rsidRPr="00D82087" w:rsidRDefault="00D82087" w:rsidP="00D82087">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4EEBF2E4" w14:textId="77777777" w:rsidR="00D82087" w:rsidRPr="00D82087" w:rsidRDefault="00D82087" w:rsidP="00D82087">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4CD2012D" w14:textId="77777777" w:rsidR="00D82087" w:rsidRPr="00D82087" w:rsidRDefault="00D82087" w:rsidP="00D82087">
            <w:pPr>
              <w:spacing w:after="0" w:line="240" w:lineRule="auto"/>
              <w:rPr>
                <w:rFonts w:ascii="Times New Roman" w:eastAsia="Times New Roman" w:hAnsi="Times New Roman"/>
                <w:sz w:val="20"/>
                <w:szCs w:val="20"/>
              </w:rPr>
            </w:pPr>
          </w:p>
        </w:tc>
      </w:tr>
      <w:tr w:rsidR="00D82087" w:rsidRPr="00D82087" w14:paraId="306116FD" w14:textId="77777777" w:rsidTr="00D82087">
        <w:trPr>
          <w:trHeight w:val="308"/>
        </w:trPr>
        <w:tc>
          <w:tcPr>
            <w:tcW w:w="5360" w:type="dxa"/>
            <w:tcBorders>
              <w:top w:val="nil"/>
              <w:left w:val="nil"/>
              <w:bottom w:val="nil"/>
              <w:right w:val="nil"/>
            </w:tcBorders>
            <w:shd w:val="clear" w:color="auto" w:fill="auto"/>
            <w:vAlign w:val="bottom"/>
            <w:hideMark/>
          </w:tcPr>
          <w:p w14:paraId="72625B20"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Additions to property and equipment</w:t>
            </w:r>
          </w:p>
        </w:tc>
        <w:tc>
          <w:tcPr>
            <w:tcW w:w="1540" w:type="dxa"/>
            <w:tcBorders>
              <w:top w:val="nil"/>
              <w:left w:val="nil"/>
              <w:bottom w:val="nil"/>
              <w:right w:val="nil"/>
            </w:tcBorders>
            <w:shd w:val="clear" w:color="auto" w:fill="auto"/>
            <w:noWrap/>
            <w:vAlign w:val="bottom"/>
            <w:hideMark/>
          </w:tcPr>
          <w:p w14:paraId="424EDF06"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(2,132)</w:t>
            </w:r>
          </w:p>
        </w:tc>
        <w:tc>
          <w:tcPr>
            <w:tcW w:w="272" w:type="dxa"/>
            <w:tcBorders>
              <w:top w:val="nil"/>
              <w:left w:val="nil"/>
              <w:bottom w:val="nil"/>
              <w:right w:val="nil"/>
            </w:tcBorders>
            <w:shd w:val="clear" w:color="auto" w:fill="auto"/>
            <w:noWrap/>
            <w:vAlign w:val="bottom"/>
            <w:hideMark/>
          </w:tcPr>
          <w:p w14:paraId="66CEC185"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24E2EB14"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(2,163)</w:t>
            </w:r>
          </w:p>
        </w:tc>
      </w:tr>
      <w:tr w:rsidR="00D82087" w:rsidRPr="00D82087" w14:paraId="095B355C" w14:textId="77777777" w:rsidTr="00D82087">
        <w:trPr>
          <w:trHeight w:val="615"/>
        </w:trPr>
        <w:tc>
          <w:tcPr>
            <w:tcW w:w="5360" w:type="dxa"/>
            <w:tcBorders>
              <w:top w:val="nil"/>
              <w:left w:val="nil"/>
              <w:bottom w:val="nil"/>
              <w:right w:val="nil"/>
            </w:tcBorders>
            <w:shd w:val="clear" w:color="auto" w:fill="auto"/>
            <w:vAlign w:val="bottom"/>
            <w:hideMark/>
          </w:tcPr>
          <w:p w14:paraId="17BBAEA5"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Acquisition of companies, net of cash acquired,</w:t>
            </w:r>
            <w:r w:rsidRPr="00D82087">
              <w:rPr>
                <w:rFonts w:ascii="Segoe UI" w:eastAsia="Times New Roman" w:hAnsi="Segoe UI" w:cs="Segoe UI"/>
                <w:color w:val="666666"/>
                <w:sz w:val="20"/>
                <w:szCs w:val="20"/>
              </w:rPr>
              <w:br/>
              <w:t xml:space="preserve">  and purchases of intangible and other assets</w:t>
            </w:r>
          </w:p>
        </w:tc>
        <w:tc>
          <w:tcPr>
            <w:tcW w:w="1540" w:type="dxa"/>
            <w:tcBorders>
              <w:top w:val="nil"/>
              <w:left w:val="nil"/>
              <w:bottom w:val="nil"/>
              <w:right w:val="nil"/>
            </w:tcBorders>
            <w:shd w:val="clear" w:color="auto" w:fill="auto"/>
            <w:noWrap/>
            <w:vAlign w:val="bottom"/>
            <w:hideMark/>
          </w:tcPr>
          <w:p w14:paraId="1627B567"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(179)</w:t>
            </w:r>
          </w:p>
        </w:tc>
        <w:tc>
          <w:tcPr>
            <w:tcW w:w="272" w:type="dxa"/>
            <w:tcBorders>
              <w:top w:val="nil"/>
              <w:left w:val="nil"/>
              <w:bottom w:val="nil"/>
              <w:right w:val="nil"/>
            </w:tcBorders>
            <w:shd w:val="clear" w:color="auto" w:fill="auto"/>
            <w:noWrap/>
            <w:vAlign w:val="bottom"/>
            <w:hideMark/>
          </w:tcPr>
          <w:p w14:paraId="0C66F282"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647220A5"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(24)</w:t>
            </w:r>
          </w:p>
        </w:tc>
      </w:tr>
      <w:tr w:rsidR="00D82087" w:rsidRPr="00D82087" w14:paraId="6B254232" w14:textId="77777777" w:rsidTr="00D82087">
        <w:trPr>
          <w:trHeight w:val="308"/>
        </w:trPr>
        <w:tc>
          <w:tcPr>
            <w:tcW w:w="5360" w:type="dxa"/>
            <w:tcBorders>
              <w:top w:val="nil"/>
              <w:left w:val="nil"/>
              <w:bottom w:val="nil"/>
              <w:right w:val="nil"/>
            </w:tcBorders>
            <w:shd w:val="clear" w:color="auto" w:fill="auto"/>
            <w:noWrap/>
            <w:vAlign w:val="bottom"/>
            <w:hideMark/>
          </w:tcPr>
          <w:p w14:paraId="0B1AAE9E"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Purchases of investments</w:t>
            </w:r>
          </w:p>
        </w:tc>
        <w:tc>
          <w:tcPr>
            <w:tcW w:w="1540" w:type="dxa"/>
            <w:tcBorders>
              <w:top w:val="nil"/>
              <w:left w:val="nil"/>
              <w:bottom w:val="nil"/>
              <w:right w:val="nil"/>
            </w:tcBorders>
            <w:shd w:val="clear" w:color="auto" w:fill="auto"/>
            <w:noWrap/>
            <w:vAlign w:val="bottom"/>
            <w:hideMark/>
          </w:tcPr>
          <w:p w14:paraId="19A98C9D"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(32,961)</w:t>
            </w:r>
          </w:p>
        </w:tc>
        <w:tc>
          <w:tcPr>
            <w:tcW w:w="272" w:type="dxa"/>
            <w:tcBorders>
              <w:top w:val="nil"/>
              <w:left w:val="nil"/>
              <w:bottom w:val="nil"/>
              <w:right w:val="nil"/>
            </w:tcBorders>
            <w:shd w:val="clear" w:color="auto" w:fill="auto"/>
            <w:noWrap/>
            <w:vAlign w:val="bottom"/>
            <w:hideMark/>
          </w:tcPr>
          <w:p w14:paraId="188412C4"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1DD0B7BB"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(57,181)</w:t>
            </w:r>
          </w:p>
        </w:tc>
      </w:tr>
      <w:tr w:rsidR="00D82087" w:rsidRPr="00D82087" w14:paraId="39C14D7A" w14:textId="77777777" w:rsidTr="00D82087">
        <w:trPr>
          <w:trHeight w:val="308"/>
        </w:trPr>
        <w:tc>
          <w:tcPr>
            <w:tcW w:w="5360" w:type="dxa"/>
            <w:tcBorders>
              <w:top w:val="nil"/>
              <w:left w:val="nil"/>
              <w:bottom w:val="nil"/>
              <w:right w:val="nil"/>
            </w:tcBorders>
            <w:shd w:val="clear" w:color="auto" w:fill="auto"/>
            <w:noWrap/>
            <w:vAlign w:val="bottom"/>
            <w:hideMark/>
          </w:tcPr>
          <w:p w14:paraId="0F695A06"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Maturities of investments</w:t>
            </w:r>
          </w:p>
        </w:tc>
        <w:tc>
          <w:tcPr>
            <w:tcW w:w="1540" w:type="dxa"/>
            <w:tcBorders>
              <w:top w:val="nil"/>
              <w:left w:val="nil"/>
              <w:bottom w:val="nil"/>
              <w:right w:val="nil"/>
            </w:tcBorders>
            <w:shd w:val="clear" w:color="auto" w:fill="auto"/>
            <w:noWrap/>
            <w:vAlign w:val="bottom"/>
            <w:hideMark/>
          </w:tcPr>
          <w:p w14:paraId="57AF5459"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5,226 </w:t>
            </w:r>
          </w:p>
        </w:tc>
        <w:tc>
          <w:tcPr>
            <w:tcW w:w="272" w:type="dxa"/>
            <w:tcBorders>
              <w:top w:val="nil"/>
              <w:left w:val="nil"/>
              <w:bottom w:val="nil"/>
              <w:right w:val="nil"/>
            </w:tcBorders>
            <w:shd w:val="clear" w:color="auto" w:fill="auto"/>
            <w:noWrap/>
            <w:vAlign w:val="bottom"/>
            <w:hideMark/>
          </w:tcPr>
          <w:p w14:paraId="7C43AEB3"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4B91F719"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8,659 </w:t>
            </w:r>
          </w:p>
        </w:tc>
      </w:tr>
      <w:tr w:rsidR="00D82087" w:rsidRPr="00D82087" w14:paraId="73057C88" w14:textId="77777777" w:rsidTr="00D82087">
        <w:trPr>
          <w:trHeight w:val="308"/>
        </w:trPr>
        <w:tc>
          <w:tcPr>
            <w:tcW w:w="5360" w:type="dxa"/>
            <w:tcBorders>
              <w:top w:val="nil"/>
              <w:left w:val="nil"/>
              <w:bottom w:val="nil"/>
              <w:right w:val="nil"/>
            </w:tcBorders>
            <w:shd w:val="clear" w:color="auto" w:fill="auto"/>
            <w:noWrap/>
            <w:vAlign w:val="bottom"/>
            <w:hideMark/>
          </w:tcPr>
          <w:p w14:paraId="47C62187"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Sales of investments</w:t>
            </w:r>
          </w:p>
        </w:tc>
        <w:tc>
          <w:tcPr>
            <w:tcW w:w="1540" w:type="dxa"/>
            <w:tcBorders>
              <w:top w:val="nil"/>
              <w:left w:val="nil"/>
              <w:bottom w:val="nil"/>
              <w:right w:val="nil"/>
            </w:tcBorders>
            <w:shd w:val="clear" w:color="auto" w:fill="auto"/>
            <w:noWrap/>
            <w:vAlign w:val="bottom"/>
            <w:hideMark/>
          </w:tcPr>
          <w:p w14:paraId="17011A94"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23,036 </w:t>
            </w:r>
          </w:p>
        </w:tc>
        <w:tc>
          <w:tcPr>
            <w:tcW w:w="272" w:type="dxa"/>
            <w:tcBorders>
              <w:top w:val="nil"/>
              <w:left w:val="nil"/>
              <w:bottom w:val="nil"/>
              <w:right w:val="nil"/>
            </w:tcBorders>
            <w:shd w:val="clear" w:color="auto" w:fill="auto"/>
            <w:noWrap/>
            <w:vAlign w:val="bottom"/>
            <w:hideMark/>
          </w:tcPr>
          <w:p w14:paraId="20654DC6"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69656CA2"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32,323 </w:t>
            </w:r>
          </w:p>
        </w:tc>
      </w:tr>
      <w:tr w:rsidR="00D82087" w:rsidRPr="00D82087" w14:paraId="6FC42461" w14:textId="77777777" w:rsidTr="00D82087">
        <w:trPr>
          <w:trHeight w:val="308"/>
        </w:trPr>
        <w:tc>
          <w:tcPr>
            <w:tcW w:w="5360" w:type="dxa"/>
            <w:tcBorders>
              <w:top w:val="nil"/>
              <w:left w:val="nil"/>
              <w:bottom w:val="single" w:sz="4" w:space="0" w:color="auto"/>
              <w:right w:val="nil"/>
            </w:tcBorders>
            <w:shd w:val="clear" w:color="auto" w:fill="auto"/>
            <w:noWrap/>
            <w:vAlign w:val="bottom"/>
            <w:hideMark/>
          </w:tcPr>
          <w:p w14:paraId="34876D03"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Securities lending payable</w:t>
            </w:r>
          </w:p>
        </w:tc>
        <w:tc>
          <w:tcPr>
            <w:tcW w:w="1540" w:type="dxa"/>
            <w:tcBorders>
              <w:top w:val="nil"/>
              <w:left w:val="nil"/>
              <w:bottom w:val="single" w:sz="4" w:space="0" w:color="auto"/>
              <w:right w:val="nil"/>
            </w:tcBorders>
            <w:shd w:val="clear" w:color="auto" w:fill="auto"/>
            <w:noWrap/>
            <w:vAlign w:val="bottom"/>
            <w:hideMark/>
          </w:tcPr>
          <w:p w14:paraId="4A6DCC74"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106 </w:t>
            </w:r>
          </w:p>
        </w:tc>
        <w:tc>
          <w:tcPr>
            <w:tcW w:w="272" w:type="dxa"/>
            <w:tcBorders>
              <w:top w:val="nil"/>
              <w:left w:val="nil"/>
              <w:bottom w:val="nil"/>
              <w:right w:val="nil"/>
            </w:tcBorders>
            <w:shd w:val="clear" w:color="auto" w:fill="auto"/>
            <w:noWrap/>
            <w:vAlign w:val="bottom"/>
            <w:hideMark/>
          </w:tcPr>
          <w:p w14:paraId="7149591A"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25EC27EB"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(84)</w:t>
            </w:r>
          </w:p>
        </w:tc>
      </w:tr>
      <w:tr w:rsidR="00D82087" w:rsidRPr="00D82087" w14:paraId="25F1FE7E" w14:textId="77777777" w:rsidTr="00D82087">
        <w:trPr>
          <w:trHeight w:val="308"/>
        </w:trPr>
        <w:tc>
          <w:tcPr>
            <w:tcW w:w="5360" w:type="dxa"/>
            <w:tcBorders>
              <w:top w:val="nil"/>
              <w:left w:val="nil"/>
              <w:bottom w:val="single" w:sz="4" w:space="0" w:color="auto"/>
              <w:right w:val="nil"/>
            </w:tcBorders>
            <w:shd w:val="clear" w:color="auto" w:fill="auto"/>
            <w:vAlign w:val="bottom"/>
            <w:hideMark/>
          </w:tcPr>
          <w:p w14:paraId="52B49E6A"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Net cash used in investing</w:t>
            </w:r>
          </w:p>
        </w:tc>
        <w:tc>
          <w:tcPr>
            <w:tcW w:w="1540" w:type="dxa"/>
            <w:tcBorders>
              <w:top w:val="nil"/>
              <w:left w:val="nil"/>
              <w:bottom w:val="single" w:sz="4" w:space="0" w:color="auto"/>
              <w:right w:val="nil"/>
            </w:tcBorders>
            <w:shd w:val="clear" w:color="auto" w:fill="auto"/>
            <w:noWrap/>
            <w:vAlign w:val="bottom"/>
            <w:hideMark/>
          </w:tcPr>
          <w:p w14:paraId="762E280A"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(6,904)</w:t>
            </w:r>
          </w:p>
        </w:tc>
        <w:tc>
          <w:tcPr>
            <w:tcW w:w="272" w:type="dxa"/>
            <w:tcBorders>
              <w:top w:val="nil"/>
              <w:left w:val="nil"/>
              <w:bottom w:val="nil"/>
              <w:right w:val="nil"/>
            </w:tcBorders>
            <w:shd w:val="clear" w:color="auto" w:fill="auto"/>
            <w:noWrap/>
            <w:vAlign w:val="bottom"/>
            <w:hideMark/>
          </w:tcPr>
          <w:p w14:paraId="63C2F82C"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49B7A998"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(18,470)</w:t>
            </w:r>
          </w:p>
        </w:tc>
      </w:tr>
      <w:tr w:rsidR="00D82087" w:rsidRPr="00D82087" w14:paraId="17B82F58" w14:textId="77777777" w:rsidTr="00D82087">
        <w:trPr>
          <w:trHeight w:val="615"/>
        </w:trPr>
        <w:tc>
          <w:tcPr>
            <w:tcW w:w="5360" w:type="dxa"/>
            <w:tcBorders>
              <w:top w:val="nil"/>
              <w:left w:val="nil"/>
              <w:bottom w:val="single" w:sz="4" w:space="0" w:color="auto"/>
              <w:right w:val="nil"/>
            </w:tcBorders>
            <w:shd w:val="clear" w:color="auto" w:fill="auto"/>
            <w:vAlign w:val="bottom"/>
            <w:hideMark/>
          </w:tcPr>
          <w:p w14:paraId="4FBCEC2F"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Effect of foreign exchange rates on cash and cash </w:t>
            </w:r>
            <w:r w:rsidRPr="00D82087">
              <w:rPr>
                <w:rFonts w:ascii="Segoe UI" w:eastAsia="Times New Roman" w:hAnsi="Segoe UI" w:cs="Segoe UI"/>
                <w:color w:val="666666"/>
                <w:sz w:val="20"/>
                <w:szCs w:val="20"/>
              </w:rPr>
              <w:br/>
              <w:t xml:space="preserve">   equivalents</w:t>
            </w:r>
          </w:p>
        </w:tc>
        <w:tc>
          <w:tcPr>
            <w:tcW w:w="1540" w:type="dxa"/>
            <w:tcBorders>
              <w:top w:val="nil"/>
              <w:left w:val="nil"/>
              <w:bottom w:val="single" w:sz="4" w:space="0" w:color="auto"/>
              <w:right w:val="nil"/>
            </w:tcBorders>
            <w:shd w:val="clear" w:color="auto" w:fill="auto"/>
            <w:noWrap/>
            <w:vAlign w:val="bottom"/>
            <w:hideMark/>
          </w:tcPr>
          <w:p w14:paraId="1DBD9AB2"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26 </w:t>
            </w:r>
          </w:p>
        </w:tc>
        <w:tc>
          <w:tcPr>
            <w:tcW w:w="272" w:type="dxa"/>
            <w:tcBorders>
              <w:top w:val="nil"/>
              <w:left w:val="nil"/>
              <w:bottom w:val="nil"/>
              <w:right w:val="nil"/>
            </w:tcBorders>
            <w:shd w:val="clear" w:color="auto" w:fill="auto"/>
            <w:noWrap/>
            <w:vAlign w:val="bottom"/>
            <w:hideMark/>
          </w:tcPr>
          <w:p w14:paraId="0DE46D6B"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0F4651AE"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10 </w:t>
            </w:r>
          </w:p>
        </w:tc>
      </w:tr>
      <w:tr w:rsidR="00D82087" w:rsidRPr="00D82087" w14:paraId="0353A61D" w14:textId="77777777" w:rsidTr="00D82087">
        <w:trPr>
          <w:trHeight w:val="308"/>
        </w:trPr>
        <w:tc>
          <w:tcPr>
            <w:tcW w:w="5360" w:type="dxa"/>
            <w:tcBorders>
              <w:top w:val="nil"/>
              <w:left w:val="nil"/>
              <w:bottom w:val="nil"/>
              <w:right w:val="nil"/>
            </w:tcBorders>
            <w:shd w:val="clear" w:color="auto" w:fill="auto"/>
            <w:vAlign w:val="bottom"/>
            <w:hideMark/>
          </w:tcPr>
          <w:p w14:paraId="0FFD001D"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Net change in cash and cash equivalents</w:t>
            </w:r>
          </w:p>
        </w:tc>
        <w:tc>
          <w:tcPr>
            <w:tcW w:w="1540" w:type="dxa"/>
            <w:tcBorders>
              <w:top w:val="nil"/>
              <w:left w:val="nil"/>
              <w:bottom w:val="nil"/>
              <w:right w:val="nil"/>
            </w:tcBorders>
            <w:shd w:val="clear" w:color="auto" w:fill="auto"/>
            <w:noWrap/>
            <w:vAlign w:val="bottom"/>
            <w:hideMark/>
          </w:tcPr>
          <w:p w14:paraId="77FA1466"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(779)</w:t>
            </w:r>
          </w:p>
        </w:tc>
        <w:tc>
          <w:tcPr>
            <w:tcW w:w="272" w:type="dxa"/>
            <w:tcBorders>
              <w:top w:val="nil"/>
              <w:left w:val="nil"/>
              <w:bottom w:val="nil"/>
              <w:right w:val="nil"/>
            </w:tcBorders>
            <w:shd w:val="clear" w:color="auto" w:fill="auto"/>
            <w:noWrap/>
            <w:vAlign w:val="bottom"/>
            <w:hideMark/>
          </w:tcPr>
          <w:p w14:paraId="4FED9247"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68118622"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7,418 </w:t>
            </w:r>
          </w:p>
        </w:tc>
      </w:tr>
      <w:tr w:rsidR="00D82087" w:rsidRPr="00D82087" w14:paraId="43B8E069" w14:textId="77777777" w:rsidTr="00D82087">
        <w:trPr>
          <w:trHeight w:val="308"/>
        </w:trPr>
        <w:tc>
          <w:tcPr>
            <w:tcW w:w="5360" w:type="dxa"/>
            <w:tcBorders>
              <w:top w:val="nil"/>
              <w:left w:val="nil"/>
              <w:bottom w:val="single" w:sz="4" w:space="0" w:color="auto"/>
              <w:right w:val="nil"/>
            </w:tcBorders>
            <w:shd w:val="clear" w:color="auto" w:fill="auto"/>
            <w:vAlign w:val="bottom"/>
            <w:hideMark/>
          </w:tcPr>
          <w:p w14:paraId="3B185F42"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Cash and cash equivalents, beginning of period</w:t>
            </w:r>
          </w:p>
        </w:tc>
        <w:tc>
          <w:tcPr>
            <w:tcW w:w="1540" w:type="dxa"/>
            <w:tcBorders>
              <w:top w:val="nil"/>
              <w:left w:val="nil"/>
              <w:bottom w:val="single" w:sz="4" w:space="0" w:color="auto"/>
              <w:right w:val="nil"/>
            </w:tcBorders>
            <w:shd w:val="clear" w:color="auto" w:fill="auto"/>
            <w:noWrap/>
            <w:vAlign w:val="bottom"/>
            <w:hideMark/>
          </w:tcPr>
          <w:p w14:paraId="310B2DB6"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7,663 </w:t>
            </w:r>
          </w:p>
        </w:tc>
        <w:tc>
          <w:tcPr>
            <w:tcW w:w="272" w:type="dxa"/>
            <w:tcBorders>
              <w:top w:val="nil"/>
              <w:left w:val="nil"/>
              <w:bottom w:val="nil"/>
              <w:right w:val="nil"/>
            </w:tcBorders>
            <w:shd w:val="clear" w:color="auto" w:fill="auto"/>
            <w:noWrap/>
            <w:vAlign w:val="bottom"/>
            <w:hideMark/>
          </w:tcPr>
          <w:p w14:paraId="14E57B95"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42C2BC26"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6,510 </w:t>
            </w:r>
          </w:p>
        </w:tc>
      </w:tr>
      <w:tr w:rsidR="00D82087" w:rsidRPr="00D82087" w14:paraId="5BBE38AE" w14:textId="77777777" w:rsidTr="00D82087">
        <w:trPr>
          <w:trHeight w:val="315"/>
        </w:trPr>
        <w:tc>
          <w:tcPr>
            <w:tcW w:w="5360" w:type="dxa"/>
            <w:tcBorders>
              <w:top w:val="nil"/>
              <w:left w:val="nil"/>
              <w:bottom w:val="nil"/>
              <w:right w:val="nil"/>
            </w:tcBorders>
            <w:shd w:val="clear" w:color="auto" w:fill="auto"/>
            <w:vAlign w:val="bottom"/>
            <w:hideMark/>
          </w:tcPr>
          <w:p w14:paraId="2685F77C"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Cash and cash equivalents, end of period</w:t>
            </w:r>
          </w:p>
        </w:tc>
        <w:tc>
          <w:tcPr>
            <w:tcW w:w="1540" w:type="dxa"/>
            <w:tcBorders>
              <w:top w:val="nil"/>
              <w:left w:val="nil"/>
              <w:bottom w:val="single" w:sz="8" w:space="0" w:color="auto"/>
              <w:right w:val="nil"/>
            </w:tcBorders>
            <w:shd w:val="clear" w:color="auto" w:fill="auto"/>
            <w:noWrap/>
            <w:vAlign w:val="bottom"/>
            <w:hideMark/>
          </w:tcPr>
          <w:p w14:paraId="7C7413A1"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 $6,884 </w:t>
            </w:r>
          </w:p>
        </w:tc>
        <w:tc>
          <w:tcPr>
            <w:tcW w:w="272" w:type="dxa"/>
            <w:tcBorders>
              <w:top w:val="nil"/>
              <w:left w:val="nil"/>
              <w:bottom w:val="nil"/>
              <w:right w:val="nil"/>
            </w:tcBorders>
            <w:shd w:val="clear" w:color="auto" w:fill="auto"/>
            <w:noWrap/>
            <w:vAlign w:val="bottom"/>
            <w:hideMark/>
          </w:tcPr>
          <w:p w14:paraId="0C22018D"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single" w:sz="8" w:space="0" w:color="auto"/>
              <w:right w:val="nil"/>
            </w:tcBorders>
            <w:shd w:val="clear" w:color="auto" w:fill="auto"/>
            <w:noWrap/>
            <w:vAlign w:val="bottom"/>
            <w:hideMark/>
          </w:tcPr>
          <w:p w14:paraId="0FA22DA8"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$13,928 </w:t>
            </w:r>
          </w:p>
        </w:tc>
      </w:tr>
    </w:tbl>
    <w:p w14:paraId="020F501E" w14:textId="6D9D9510" w:rsidR="00D82087" w:rsidRDefault="00D82087">
      <w:pPr>
        <w:spacing w:after="160" w:line="259" w:lineRule="auto"/>
        <w:rPr>
          <w:rFonts w:ascii="Segoe UI" w:hAnsi="Segoe UI" w:cs="Segoe UI"/>
          <w:color w:val="666666"/>
          <w:sz w:val="20"/>
          <w:szCs w:val="20"/>
        </w:rPr>
      </w:pPr>
    </w:p>
    <w:tbl>
      <w:tblPr>
        <w:tblW w:w="8280" w:type="dxa"/>
        <w:tblLook w:val="04A0" w:firstRow="1" w:lastRow="0" w:firstColumn="1" w:lastColumn="0" w:noHBand="0" w:noVBand="1"/>
      </w:tblPr>
      <w:tblGrid>
        <w:gridCol w:w="5360"/>
        <w:gridCol w:w="1540"/>
        <w:gridCol w:w="272"/>
        <w:gridCol w:w="1200"/>
      </w:tblGrid>
      <w:tr w:rsidR="00D82087" w:rsidRPr="00D82087" w14:paraId="5F849463" w14:textId="77777777" w:rsidTr="00D82087">
        <w:trPr>
          <w:trHeight w:val="308"/>
        </w:trPr>
        <w:tc>
          <w:tcPr>
            <w:tcW w:w="5360" w:type="dxa"/>
            <w:tcBorders>
              <w:top w:val="nil"/>
              <w:left w:val="nil"/>
              <w:bottom w:val="nil"/>
              <w:right w:val="nil"/>
            </w:tcBorders>
            <w:shd w:val="clear" w:color="000000" w:fill="FFFFFF"/>
            <w:noWrap/>
            <w:vAlign w:val="bottom"/>
            <w:hideMark/>
          </w:tcPr>
          <w:p w14:paraId="67F1188F" w14:textId="77777777" w:rsidR="00D82087" w:rsidRPr="00D82087" w:rsidRDefault="00D82087" w:rsidP="00D82087">
            <w:pPr>
              <w:spacing w:after="0" w:line="240" w:lineRule="auto"/>
              <w:rPr>
                <w:rFonts w:ascii="Segoe UI" w:eastAsia="Times New Roman" w:hAnsi="Segoe UI" w:cs="Segoe UI"/>
                <w:b/>
                <w:bCs/>
                <w:color w:val="666666"/>
                <w:sz w:val="20"/>
                <w:szCs w:val="20"/>
              </w:rPr>
            </w:pPr>
            <w:bookmarkStart w:id="15" w:name="RANGE!A1:D18"/>
            <w:bookmarkEnd w:id="15"/>
            <w:r w:rsidRPr="00D82087">
              <w:rPr>
                <w:rFonts w:ascii="Segoe UI" w:eastAsia="Times New Roman" w:hAnsi="Segoe UI" w:cs="Segoe UI"/>
                <w:b/>
                <w:bCs/>
                <w:color w:val="666666"/>
                <w:sz w:val="20"/>
                <w:szCs w:val="20"/>
              </w:rPr>
              <w:t>MICROSOFT CORPORATION</w:t>
            </w:r>
          </w:p>
        </w:tc>
        <w:tc>
          <w:tcPr>
            <w:tcW w:w="1540" w:type="dxa"/>
            <w:tcBorders>
              <w:top w:val="nil"/>
              <w:left w:val="nil"/>
              <w:bottom w:val="nil"/>
              <w:right w:val="nil"/>
            </w:tcBorders>
            <w:shd w:val="clear" w:color="000000" w:fill="FFFFFF"/>
            <w:noWrap/>
            <w:vAlign w:val="bottom"/>
            <w:hideMark/>
          </w:tcPr>
          <w:p w14:paraId="274826E7"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w:t>
            </w:r>
          </w:p>
        </w:tc>
        <w:tc>
          <w:tcPr>
            <w:tcW w:w="180" w:type="dxa"/>
            <w:tcBorders>
              <w:top w:val="nil"/>
              <w:left w:val="nil"/>
              <w:bottom w:val="nil"/>
              <w:right w:val="nil"/>
            </w:tcBorders>
            <w:shd w:val="clear" w:color="000000" w:fill="FFFFFF"/>
            <w:noWrap/>
            <w:vAlign w:val="bottom"/>
            <w:hideMark/>
          </w:tcPr>
          <w:p w14:paraId="1609368D"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w:t>
            </w:r>
          </w:p>
        </w:tc>
        <w:tc>
          <w:tcPr>
            <w:tcW w:w="1200" w:type="dxa"/>
            <w:tcBorders>
              <w:top w:val="nil"/>
              <w:left w:val="nil"/>
              <w:bottom w:val="nil"/>
              <w:right w:val="nil"/>
            </w:tcBorders>
            <w:shd w:val="clear" w:color="000000" w:fill="FFFFFF"/>
            <w:noWrap/>
            <w:vAlign w:val="bottom"/>
            <w:hideMark/>
          </w:tcPr>
          <w:p w14:paraId="7A7E6F66"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w:t>
            </w:r>
          </w:p>
        </w:tc>
      </w:tr>
      <w:tr w:rsidR="00D82087" w:rsidRPr="00D82087" w14:paraId="5C9A2773" w14:textId="77777777" w:rsidTr="00D82087">
        <w:trPr>
          <w:trHeight w:val="308"/>
        </w:trPr>
        <w:tc>
          <w:tcPr>
            <w:tcW w:w="5360" w:type="dxa"/>
            <w:tcBorders>
              <w:top w:val="nil"/>
              <w:left w:val="nil"/>
              <w:bottom w:val="nil"/>
              <w:right w:val="nil"/>
            </w:tcBorders>
            <w:shd w:val="clear" w:color="000000" w:fill="FFFFFF"/>
            <w:noWrap/>
            <w:vAlign w:val="bottom"/>
            <w:hideMark/>
          </w:tcPr>
          <w:p w14:paraId="7C3D8F60" w14:textId="77777777" w:rsidR="00D82087" w:rsidRPr="00D82087" w:rsidRDefault="00D82087" w:rsidP="00D82087">
            <w:pPr>
              <w:spacing w:after="0" w:line="240" w:lineRule="auto"/>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w:t>
            </w:r>
          </w:p>
        </w:tc>
        <w:tc>
          <w:tcPr>
            <w:tcW w:w="1540" w:type="dxa"/>
            <w:tcBorders>
              <w:top w:val="nil"/>
              <w:left w:val="nil"/>
              <w:bottom w:val="nil"/>
              <w:right w:val="nil"/>
            </w:tcBorders>
            <w:shd w:val="clear" w:color="000000" w:fill="FFFFFF"/>
            <w:noWrap/>
            <w:vAlign w:val="bottom"/>
            <w:hideMark/>
          </w:tcPr>
          <w:p w14:paraId="60B247EA"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w:t>
            </w:r>
          </w:p>
        </w:tc>
        <w:tc>
          <w:tcPr>
            <w:tcW w:w="180" w:type="dxa"/>
            <w:tcBorders>
              <w:top w:val="nil"/>
              <w:left w:val="nil"/>
              <w:bottom w:val="nil"/>
              <w:right w:val="nil"/>
            </w:tcBorders>
            <w:shd w:val="clear" w:color="000000" w:fill="FFFFFF"/>
            <w:noWrap/>
            <w:vAlign w:val="bottom"/>
            <w:hideMark/>
          </w:tcPr>
          <w:p w14:paraId="327DC788"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w:t>
            </w:r>
          </w:p>
        </w:tc>
        <w:tc>
          <w:tcPr>
            <w:tcW w:w="1200" w:type="dxa"/>
            <w:tcBorders>
              <w:top w:val="nil"/>
              <w:left w:val="nil"/>
              <w:bottom w:val="nil"/>
              <w:right w:val="nil"/>
            </w:tcBorders>
            <w:shd w:val="clear" w:color="000000" w:fill="FFFFFF"/>
            <w:noWrap/>
            <w:vAlign w:val="bottom"/>
            <w:hideMark/>
          </w:tcPr>
          <w:p w14:paraId="1E5C78FC"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w:t>
            </w:r>
          </w:p>
        </w:tc>
      </w:tr>
      <w:tr w:rsidR="00D82087" w:rsidRPr="00D82087" w14:paraId="09069EF2" w14:textId="77777777" w:rsidTr="00D82087">
        <w:trPr>
          <w:trHeight w:val="308"/>
        </w:trPr>
        <w:tc>
          <w:tcPr>
            <w:tcW w:w="8280" w:type="dxa"/>
            <w:gridSpan w:val="4"/>
            <w:tcBorders>
              <w:top w:val="nil"/>
              <w:left w:val="nil"/>
              <w:bottom w:val="nil"/>
              <w:right w:val="nil"/>
            </w:tcBorders>
            <w:shd w:val="clear" w:color="000000" w:fill="FFFFFF"/>
            <w:noWrap/>
            <w:vAlign w:val="bottom"/>
            <w:hideMark/>
          </w:tcPr>
          <w:p w14:paraId="20E840B2" w14:textId="77777777" w:rsidR="00D82087" w:rsidRPr="00D82087" w:rsidRDefault="00D82087" w:rsidP="00D82087">
            <w:pPr>
              <w:spacing w:after="0" w:line="240" w:lineRule="auto"/>
              <w:jc w:val="center"/>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SEGMENT REVENUE AND OPERATING INCOME</w:t>
            </w:r>
          </w:p>
        </w:tc>
      </w:tr>
      <w:tr w:rsidR="00D82087" w:rsidRPr="00D82087" w14:paraId="1AB83EE4" w14:textId="77777777" w:rsidTr="00D82087">
        <w:trPr>
          <w:trHeight w:val="308"/>
        </w:trPr>
        <w:tc>
          <w:tcPr>
            <w:tcW w:w="8280" w:type="dxa"/>
            <w:gridSpan w:val="4"/>
            <w:tcBorders>
              <w:top w:val="nil"/>
              <w:left w:val="nil"/>
              <w:bottom w:val="nil"/>
              <w:right w:val="nil"/>
            </w:tcBorders>
            <w:shd w:val="clear" w:color="000000" w:fill="FFFFFF"/>
            <w:noWrap/>
            <w:vAlign w:val="bottom"/>
            <w:hideMark/>
          </w:tcPr>
          <w:p w14:paraId="5E0C58D1" w14:textId="77777777" w:rsidR="00D82087" w:rsidRPr="00D82087" w:rsidRDefault="00D82087" w:rsidP="00D82087">
            <w:pPr>
              <w:spacing w:after="0" w:line="240" w:lineRule="auto"/>
              <w:jc w:val="center"/>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(In </w:t>
            </w:r>
            <w:proofErr w:type="gramStart"/>
            <w:r w:rsidRPr="00D82087">
              <w:rPr>
                <w:rFonts w:ascii="Segoe UI" w:eastAsia="Times New Roman" w:hAnsi="Segoe UI" w:cs="Segoe UI"/>
                <w:color w:val="666666"/>
                <w:sz w:val="20"/>
                <w:szCs w:val="20"/>
              </w:rPr>
              <w:t>millions)(</w:t>
            </w:r>
            <w:proofErr w:type="gramEnd"/>
            <w:r w:rsidRPr="00D82087">
              <w:rPr>
                <w:rFonts w:ascii="Segoe UI" w:eastAsia="Times New Roman" w:hAnsi="Segoe UI" w:cs="Segoe UI"/>
                <w:color w:val="666666"/>
                <w:sz w:val="20"/>
                <w:szCs w:val="20"/>
              </w:rPr>
              <w:t>Unaudited)</w:t>
            </w:r>
          </w:p>
        </w:tc>
      </w:tr>
      <w:tr w:rsidR="00D82087" w:rsidRPr="00D82087" w14:paraId="47EB9D97" w14:textId="77777777" w:rsidTr="00D82087">
        <w:trPr>
          <w:trHeight w:val="308"/>
        </w:trPr>
        <w:tc>
          <w:tcPr>
            <w:tcW w:w="5360" w:type="dxa"/>
            <w:tcBorders>
              <w:top w:val="nil"/>
              <w:left w:val="nil"/>
              <w:bottom w:val="nil"/>
              <w:right w:val="nil"/>
            </w:tcBorders>
            <w:shd w:val="clear" w:color="000000" w:fill="FFFFFF"/>
            <w:noWrap/>
            <w:vAlign w:val="bottom"/>
            <w:hideMark/>
          </w:tcPr>
          <w:p w14:paraId="29517910" w14:textId="77777777" w:rsidR="00D82087" w:rsidRPr="00D82087" w:rsidRDefault="00D82087" w:rsidP="00D82087">
            <w:pPr>
              <w:spacing w:after="0" w:line="240" w:lineRule="auto"/>
              <w:jc w:val="center"/>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w:t>
            </w:r>
          </w:p>
        </w:tc>
        <w:tc>
          <w:tcPr>
            <w:tcW w:w="1540" w:type="dxa"/>
            <w:tcBorders>
              <w:top w:val="nil"/>
              <w:left w:val="nil"/>
              <w:bottom w:val="nil"/>
              <w:right w:val="nil"/>
            </w:tcBorders>
            <w:shd w:val="clear" w:color="000000" w:fill="FFFFFF"/>
            <w:noWrap/>
            <w:vAlign w:val="bottom"/>
            <w:hideMark/>
          </w:tcPr>
          <w:p w14:paraId="359E122F" w14:textId="77777777" w:rsidR="00D82087" w:rsidRPr="00D82087" w:rsidRDefault="00D82087" w:rsidP="00D82087">
            <w:pPr>
              <w:spacing w:after="0" w:line="240" w:lineRule="auto"/>
              <w:jc w:val="center"/>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w:t>
            </w:r>
          </w:p>
        </w:tc>
        <w:tc>
          <w:tcPr>
            <w:tcW w:w="180" w:type="dxa"/>
            <w:tcBorders>
              <w:top w:val="nil"/>
              <w:left w:val="nil"/>
              <w:bottom w:val="nil"/>
              <w:right w:val="nil"/>
            </w:tcBorders>
            <w:shd w:val="clear" w:color="000000" w:fill="FFFFFF"/>
            <w:noWrap/>
            <w:vAlign w:val="bottom"/>
            <w:hideMark/>
          </w:tcPr>
          <w:p w14:paraId="0C2C77D5" w14:textId="77777777" w:rsidR="00D82087" w:rsidRPr="00D82087" w:rsidRDefault="00D82087" w:rsidP="00D82087">
            <w:pPr>
              <w:spacing w:after="0" w:line="240" w:lineRule="auto"/>
              <w:jc w:val="center"/>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w:t>
            </w:r>
          </w:p>
        </w:tc>
        <w:tc>
          <w:tcPr>
            <w:tcW w:w="1200" w:type="dxa"/>
            <w:tcBorders>
              <w:top w:val="nil"/>
              <w:left w:val="nil"/>
              <w:bottom w:val="nil"/>
              <w:right w:val="nil"/>
            </w:tcBorders>
            <w:shd w:val="clear" w:color="000000" w:fill="FFFFFF"/>
            <w:noWrap/>
            <w:vAlign w:val="bottom"/>
            <w:hideMark/>
          </w:tcPr>
          <w:p w14:paraId="20FDE94B" w14:textId="77777777" w:rsidR="00D82087" w:rsidRPr="00D82087" w:rsidRDefault="00D82087" w:rsidP="00D82087">
            <w:pPr>
              <w:spacing w:after="0" w:line="240" w:lineRule="auto"/>
              <w:jc w:val="center"/>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w:t>
            </w:r>
          </w:p>
        </w:tc>
      </w:tr>
      <w:tr w:rsidR="00D82087" w:rsidRPr="00D82087" w14:paraId="38879581" w14:textId="77777777" w:rsidTr="00D82087">
        <w:trPr>
          <w:trHeight w:val="300"/>
        </w:trPr>
        <w:tc>
          <w:tcPr>
            <w:tcW w:w="5360" w:type="dxa"/>
            <w:tcBorders>
              <w:top w:val="nil"/>
              <w:left w:val="nil"/>
              <w:bottom w:val="nil"/>
              <w:right w:val="nil"/>
            </w:tcBorders>
            <w:shd w:val="clear" w:color="000000" w:fill="FFFFFF"/>
            <w:noWrap/>
            <w:vAlign w:val="bottom"/>
            <w:hideMark/>
          </w:tcPr>
          <w:p w14:paraId="35097E4D"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w:t>
            </w:r>
          </w:p>
        </w:tc>
        <w:tc>
          <w:tcPr>
            <w:tcW w:w="2920" w:type="dxa"/>
            <w:gridSpan w:val="3"/>
            <w:vMerge w:val="restart"/>
            <w:tcBorders>
              <w:top w:val="nil"/>
              <w:left w:val="nil"/>
              <w:bottom w:val="nil"/>
              <w:right w:val="nil"/>
            </w:tcBorders>
            <w:shd w:val="clear" w:color="000000" w:fill="FFFFFF"/>
            <w:vAlign w:val="bottom"/>
            <w:hideMark/>
          </w:tcPr>
          <w:p w14:paraId="483F1EA6"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Three Months Ended September 30,</w:t>
            </w:r>
          </w:p>
        </w:tc>
      </w:tr>
      <w:tr w:rsidR="00D82087" w:rsidRPr="00D82087" w14:paraId="4C1AC788" w14:textId="77777777" w:rsidTr="00D82087">
        <w:trPr>
          <w:trHeight w:val="308"/>
        </w:trPr>
        <w:tc>
          <w:tcPr>
            <w:tcW w:w="5360" w:type="dxa"/>
            <w:tcBorders>
              <w:top w:val="nil"/>
              <w:left w:val="nil"/>
              <w:bottom w:val="nil"/>
              <w:right w:val="nil"/>
            </w:tcBorders>
            <w:shd w:val="clear" w:color="000000" w:fill="FFFFFF"/>
            <w:noWrap/>
            <w:vAlign w:val="bottom"/>
            <w:hideMark/>
          </w:tcPr>
          <w:p w14:paraId="447F4F7A" w14:textId="77777777" w:rsidR="00D82087" w:rsidRPr="00D82087" w:rsidRDefault="00D82087" w:rsidP="00D82087">
            <w:pPr>
              <w:spacing w:after="0" w:line="240" w:lineRule="auto"/>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w:t>
            </w:r>
          </w:p>
        </w:tc>
        <w:tc>
          <w:tcPr>
            <w:tcW w:w="2920" w:type="dxa"/>
            <w:gridSpan w:val="3"/>
            <w:vMerge/>
            <w:tcBorders>
              <w:top w:val="nil"/>
              <w:left w:val="nil"/>
              <w:bottom w:val="nil"/>
              <w:right w:val="nil"/>
            </w:tcBorders>
            <w:vAlign w:val="center"/>
            <w:hideMark/>
          </w:tcPr>
          <w:p w14:paraId="6318DE73" w14:textId="77777777" w:rsidR="00D82087" w:rsidRPr="00D82087" w:rsidRDefault="00D82087" w:rsidP="00D82087">
            <w:pPr>
              <w:spacing w:after="0" w:line="240" w:lineRule="auto"/>
              <w:rPr>
                <w:rFonts w:ascii="Segoe UI" w:eastAsia="Times New Roman" w:hAnsi="Segoe UI" w:cs="Segoe UI"/>
                <w:b/>
                <w:bCs/>
                <w:color w:val="666666"/>
                <w:sz w:val="20"/>
                <w:szCs w:val="20"/>
              </w:rPr>
            </w:pPr>
          </w:p>
        </w:tc>
      </w:tr>
      <w:tr w:rsidR="00D82087" w:rsidRPr="00D82087" w14:paraId="0ECB3C68" w14:textId="77777777" w:rsidTr="00D82087">
        <w:trPr>
          <w:trHeight w:val="308"/>
        </w:trPr>
        <w:tc>
          <w:tcPr>
            <w:tcW w:w="5360" w:type="dxa"/>
            <w:tcBorders>
              <w:top w:val="nil"/>
              <w:left w:val="nil"/>
              <w:bottom w:val="single" w:sz="4" w:space="0" w:color="auto"/>
              <w:right w:val="nil"/>
            </w:tcBorders>
            <w:shd w:val="clear" w:color="000000" w:fill="FFFFFF"/>
            <w:noWrap/>
            <w:vAlign w:val="bottom"/>
            <w:hideMark/>
          </w:tcPr>
          <w:p w14:paraId="3A657982" w14:textId="77777777" w:rsidR="00D82087" w:rsidRPr="00D82087" w:rsidRDefault="00D82087" w:rsidP="00D82087">
            <w:pPr>
              <w:spacing w:after="0" w:line="240" w:lineRule="auto"/>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w:t>
            </w:r>
          </w:p>
        </w:tc>
        <w:tc>
          <w:tcPr>
            <w:tcW w:w="1540" w:type="dxa"/>
            <w:tcBorders>
              <w:top w:val="nil"/>
              <w:left w:val="nil"/>
              <w:bottom w:val="single" w:sz="4" w:space="0" w:color="auto"/>
              <w:right w:val="nil"/>
            </w:tcBorders>
            <w:shd w:val="clear" w:color="000000" w:fill="FFFFFF"/>
            <w:noWrap/>
            <w:vAlign w:val="bottom"/>
            <w:hideMark/>
          </w:tcPr>
          <w:p w14:paraId="61F3468B"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2017</w:t>
            </w:r>
          </w:p>
        </w:tc>
        <w:tc>
          <w:tcPr>
            <w:tcW w:w="180" w:type="dxa"/>
            <w:tcBorders>
              <w:top w:val="nil"/>
              <w:left w:val="nil"/>
              <w:bottom w:val="single" w:sz="4" w:space="0" w:color="auto"/>
              <w:right w:val="nil"/>
            </w:tcBorders>
            <w:shd w:val="clear" w:color="000000" w:fill="FFFFFF"/>
            <w:noWrap/>
            <w:vAlign w:val="bottom"/>
            <w:hideMark/>
          </w:tcPr>
          <w:p w14:paraId="4CE625ED"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000000" w:fill="FFFFFF"/>
            <w:noWrap/>
            <w:vAlign w:val="bottom"/>
            <w:hideMark/>
          </w:tcPr>
          <w:p w14:paraId="3449D05D"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2016</w:t>
            </w:r>
          </w:p>
        </w:tc>
      </w:tr>
      <w:tr w:rsidR="00D82087" w:rsidRPr="00D82087" w14:paraId="2465809F" w14:textId="77777777" w:rsidTr="00D82087">
        <w:trPr>
          <w:trHeight w:val="308"/>
        </w:trPr>
        <w:tc>
          <w:tcPr>
            <w:tcW w:w="5360" w:type="dxa"/>
            <w:tcBorders>
              <w:top w:val="nil"/>
              <w:left w:val="nil"/>
              <w:bottom w:val="nil"/>
              <w:right w:val="nil"/>
            </w:tcBorders>
            <w:shd w:val="clear" w:color="000000" w:fill="FFFFFF"/>
            <w:noWrap/>
            <w:vAlign w:val="bottom"/>
            <w:hideMark/>
          </w:tcPr>
          <w:p w14:paraId="25D9133C" w14:textId="77777777" w:rsidR="00D82087" w:rsidRPr="00D82087" w:rsidRDefault="00D82087" w:rsidP="00D82087">
            <w:pPr>
              <w:spacing w:after="0" w:line="240" w:lineRule="auto"/>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Revenue</w:t>
            </w:r>
          </w:p>
        </w:tc>
        <w:tc>
          <w:tcPr>
            <w:tcW w:w="1540" w:type="dxa"/>
            <w:tcBorders>
              <w:top w:val="nil"/>
              <w:left w:val="nil"/>
              <w:bottom w:val="nil"/>
              <w:right w:val="nil"/>
            </w:tcBorders>
            <w:shd w:val="clear" w:color="000000" w:fill="FFFFFF"/>
            <w:noWrap/>
            <w:vAlign w:val="bottom"/>
            <w:hideMark/>
          </w:tcPr>
          <w:p w14:paraId="13C3BA25"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w:t>
            </w:r>
          </w:p>
        </w:tc>
        <w:tc>
          <w:tcPr>
            <w:tcW w:w="180" w:type="dxa"/>
            <w:tcBorders>
              <w:top w:val="nil"/>
              <w:left w:val="nil"/>
              <w:bottom w:val="nil"/>
              <w:right w:val="nil"/>
            </w:tcBorders>
            <w:shd w:val="clear" w:color="000000" w:fill="FFFFFF"/>
            <w:noWrap/>
            <w:vAlign w:val="bottom"/>
            <w:hideMark/>
          </w:tcPr>
          <w:p w14:paraId="56C8CCA5" w14:textId="77777777" w:rsidR="00D82087" w:rsidRPr="00D82087" w:rsidRDefault="00D82087" w:rsidP="00D82087">
            <w:pPr>
              <w:spacing w:after="0" w:line="240" w:lineRule="auto"/>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w:t>
            </w:r>
          </w:p>
        </w:tc>
        <w:tc>
          <w:tcPr>
            <w:tcW w:w="1200" w:type="dxa"/>
            <w:tcBorders>
              <w:top w:val="nil"/>
              <w:left w:val="nil"/>
              <w:bottom w:val="nil"/>
              <w:right w:val="nil"/>
            </w:tcBorders>
            <w:shd w:val="clear" w:color="000000" w:fill="FFFFFF"/>
            <w:noWrap/>
            <w:vAlign w:val="bottom"/>
            <w:hideMark/>
          </w:tcPr>
          <w:p w14:paraId="705FC069"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w:t>
            </w:r>
          </w:p>
        </w:tc>
      </w:tr>
      <w:tr w:rsidR="00D82087" w:rsidRPr="00D82087" w14:paraId="52E45511" w14:textId="77777777" w:rsidTr="00D82087">
        <w:trPr>
          <w:trHeight w:val="308"/>
        </w:trPr>
        <w:tc>
          <w:tcPr>
            <w:tcW w:w="5360" w:type="dxa"/>
            <w:tcBorders>
              <w:top w:val="nil"/>
              <w:left w:val="nil"/>
              <w:bottom w:val="nil"/>
              <w:right w:val="nil"/>
            </w:tcBorders>
            <w:shd w:val="clear" w:color="000000" w:fill="FFFFFF"/>
            <w:noWrap/>
            <w:vAlign w:val="bottom"/>
            <w:hideMark/>
          </w:tcPr>
          <w:p w14:paraId="65040CA1"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Productivity and Business Processes</w:t>
            </w:r>
          </w:p>
        </w:tc>
        <w:tc>
          <w:tcPr>
            <w:tcW w:w="1540" w:type="dxa"/>
            <w:tcBorders>
              <w:top w:val="nil"/>
              <w:left w:val="nil"/>
              <w:bottom w:val="nil"/>
              <w:right w:val="nil"/>
            </w:tcBorders>
            <w:shd w:val="clear" w:color="000000" w:fill="FFFFFF"/>
            <w:noWrap/>
            <w:vAlign w:val="bottom"/>
            <w:hideMark/>
          </w:tcPr>
          <w:p w14:paraId="67657785"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 $8,238 </w:t>
            </w:r>
          </w:p>
        </w:tc>
        <w:tc>
          <w:tcPr>
            <w:tcW w:w="180" w:type="dxa"/>
            <w:tcBorders>
              <w:top w:val="nil"/>
              <w:left w:val="nil"/>
              <w:bottom w:val="nil"/>
              <w:right w:val="nil"/>
            </w:tcBorders>
            <w:shd w:val="clear" w:color="000000" w:fill="FFFFFF"/>
            <w:noWrap/>
            <w:vAlign w:val="bottom"/>
            <w:hideMark/>
          </w:tcPr>
          <w:p w14:paraId="3AA70CE6"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w:t>
            </w:r>
          </w:p>
        </w:tc>
        <w:tc>
          <w:tcPr>
            <w:tcW w:w="1200" w:type="dxa"/>
            <w:tcBorders>
              <w:top w:val="nil"/>
              <w:left w:val="nil"/>
              <w:bottom w:val="nil"/>
              <w:right w:val="nil"/>
            </w:tcBorders>
            <w:shd w:val="clear" w:color="000000" w:fill="FFFFFF"/>
            <w:noWrap/>
            <w:vAlign w:val="bottom"/>
            <w:hideMark/>
          </w:tcPr>
          <w:p w14:paraId="35A69664"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$6,436 </w:t>
            </w:r>
          </w:p>
        </w:tc>
      </w:tr>
      <w:tr w:rsidR="00D82087" w:rsidRPr="00D82087" w14:paraId="4D9297B1" w14:textId="77777777" w:rsidTr="00D82087">
        <w:trPr>
          <w:trHeight w:val="308"/>
        </w:trPr>
        <w:tc>
          <w:tcPr>
            <w:tcW w:w="5360" w:type="dxa"/>
            <w:tcBorders>
              <w:top w:val="nil"/>
              <w:left w:val="nil"/>
              <w:bottom w:val="nil"/>
              <w:right w:val="nil"/>
            </w:tcBorders>
            <w:shd w:val="clear" w:color="000000" w:fill="FFFFFF"/>
            <w:noWrap/>
            <w:vAlign w:val="bottom"/>
            <w:hideMark/>
          </w:tcPr>
          <w:p w14:paraId="1CA045BE"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Intelligent Cloud</w:t>
            </w:r>
          </w:p>
        </w:tc>
        <w:tc>
          <w:tcPr>
            <w:tcW w:w="1540" w:type="dxa"/>
            <w:tcBorders>
              <w:top w:val="nil"/>
              <w:left w:val="nil"/>
              <w:bottom w:val="nil"/>
              <w:right w:val="nil"/>
            </w:tcBorders>
            <w:shd w:val="clear" w:color="000000" w:fill="FFFFFF"/>
            <w:noWrap/>
            <w:vAlign w:val="bottom"/>
            <w:hideMark/>
          </w:tcPr>
          <w:p w14:paraId="4BA05853"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6,922 </w:t>
            </w:r>
          </w:p>
        </w:tc>
        <w:tc>
          <w:tcPr>
            <w:tcW w:w="180" w:type="dxa"/>
            <w:tcBorders>
              <w:top w:val="nil"/>
              <w:left w:val="nil"/>
              <w:bottom w:val="nil"/>
              <w:right w:val="nil"/>
            </w:tcBorders>
            <w:shd w:val="clear" w:color="000000" w:fill="FFFFFF"/>
            <w:noWrap/>
            <w:vAlign w:val="bottom"/>
            <w:hideMark/>
          </w:tcPr>
          <w:p w14:paraId="61693ADF"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w:t>
            </w:r>
          </w:p>
        </w:tc>
        <w:tc>
          <w:tcPr>
            <w:tcW w:w="1200" w:type="dxa"/>
            <w:tcBorders>
              <w:top w:val="nil"/>
              <w:left w:val="nil"/>
              <w:bottom w:val="nil"/>
              <w:right w:val="nil"/>
            </w:tcBorders>
            <w:shd w:val="clear" w:color="000000" w:fill="FFFFFF"/>
            <w:noWrap/>
            <w:vAlign w:val="bottom"/>
            <w:hideMark/>
          </w:tcPr>
          <w:p w14:paraId="1D046B3C"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6,097 </w:t>
            </w:r>
          </w:p>
        </w:tc>
      </w:tr>
      <w:tr w:rsidR="00D82087" w:rsidRPr="00D82087" w14:paraId="251ECD8D" w14:textId="77777777" w:rsidTr="00D82087">
        <w:trPr>
          <w:trHeight w:val="308"/>
        </w:trPr>
        <w:tc>
          <w:tcPr>
            <w:tcW w:w="5360" w:type="dxa"/>
            <w:tcBorders>
              <w:top w:val="nil"/>
              <w:left w:val="nil"/>
              <w:bottom w:val="single" w:sz="4" w:space="0" w:color="auto"/>
              <w:right w:val="nil"/>
            </w:tcBorders>
            <w:shd w:val="clear" w:color="000000" w:fill="FFFFFF"/>
            <w:noWrap/>
            <w:vAlign w:val="bottom"/>
            <w:hideMark/>
          </w:tcPr>
          <w:p w14:paraId="0BD2324D"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More Personal Computing</w:t>
            </w:r>
          </w:p>
        </w:tc>
        <w:tc>
          <w:tcPr>
            <w:tcW w:w="1540" w:type="dxa"/>
            <w:tcBorders>
              <w:top w:val="nil"/>
              <w:left w:val="nil"/>
              <w:bottom w:val="single" w:sz="4" w:space="0" w:color="auto"/>
              <w:right w:val="nil"/>
            </w:tcBorders>
            <w:shd w:val="clear" w:color="000000" w:fill="FFFFFF"/>
            <w:noWrap/>
            <w:vAlign w:val="bottom"/>
            <w:hideMark/>
          </w:tcPr>
          <w:p w14:paraId="19E07503"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9,378 </w:t>
            </w:r>
          </w:p>
        </w:tc>
        <w:tc>
          <w:tcPr>
            <w:tcW w:w="180" w:type="dxa"/>
            <w:tcBorders>
              <w:top w:val="nil"/>
              <w:left w:val="nil"/>
              <w:bottom w:val="nil"/>
              <w:right w:val="nil"/>
            </w:tcBorders>
            <w:shd w:val="clear" w:color="000000" w:fill="FFFFFF"/>
            <w:noWrap/>
            <w:vAlign w:val="bottom"/>
            <w:hideMark/>
          </w:tcPr>
          <w:p w14:paraId="52F5C10A"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w:t>
            </w:r>
          </w:p>
        </w:tc>
        <w:tc>
          <w:tcPr>
            <w:tcW w:w="1200" w:type="dxa"/>
            <w:tcBorders>
              <w:top w:val="nil"/>
              <w:left w:val="nil"/>
              <w:bottom w:val="nil"/>
              <w:right w:val="nil"/>
            </w:tcBorders>
            <w:shd w:val="clear" w:color="000000" w:fill="FFFFFF"/>
            <w:noWrap/>
            <w:vAlign w:val="bottom"/>
            <w:hideMark/>
          </w:tcPr>
          <w:p w14:paraId="38FB8B61"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9,395 </w:t>
            </w:r>
          </w:p>
        </w:tc>
      </w:tr>
      <w:tr w:rsidR="00D82087" w:rsidRPr="00D82087" w14:paraId="291E553B" w14:textId="77777777" w:rsidTr="00D82087">
        <w:trPr>
          <w:trHeight w:val="315"/>
        </w:trPr>
        <w:tc>
          <w:tcPr>
            <w:tcW w:w="5360" w:type="dxa"/>
            <w:tcBorders>
              <w:top w:val="nil"/>
              <w:left w:val="nil"/>
              <w:bottom w:val="nil"/>
              <w:right w:val="nil"/>
            </w:tcBorders>
            <w:shd w:val="clear" w:color="000000" w:fill="FFFFFF"/>
            <w:noWrap/>
            <w:vAlign w:val="bottom"/>
            <w:hideMark/>
          </w:tcPr>
          <w:p w14:paraId="29C04E60"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Total revenue</w:t>
            </w:r>
          </w:p>
        </w:tc>
        <w:tc>
          <w:tcPr>
            <w:tcW w:w="1540" w:type="dxa"/>
            <w:tcBorders>
              <w:top w:val="nil"/>
              <w:left w:val="nil"/>
              <w:bottom w:val="single" w:sz="8" w:space="0" w:color="auto"/>
              <w:right w:val="nil"/>
            </w:tcBorders>
            <w:shd w:val="clear" w:color="auto" w:fill="auto"/>
            <w:noWrap/>
            <w:vAlign w:val="bottom"/>
            <w:hideMark/>
          </w:tcPr>
          <w:p w14:paraId="518B7C89"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 $24,538 </w:t>
            </w:r>
          </w:p>
        </w:tc>
        <w:tc>
          <w:tcPr>
            <w:tcW w:w="180" w:type="dxa"/>
            <w:tcBorders>
              <w:top w:val="nil"/>
              <w:left w:val="nil"/>
              <w:bottom w:val="nil"/>
              <w:right w:val="nil"/>
            </w:tcBorders>
            <w:shd w:val="clear" w:color="000000" w:fill="FFFFFF"/>
            <w:noWrap/>
            <w:vAlign w:val="bottom"/>
            <w:hideMark/>
          </w:tcPr>
          <w:p w14:paraId="6F356E6E" w14:textId="77777777" w:rsidR="00D82087" w:rsidRPr="00D82087" w:rsidRDefault="00D82087" w:rsidP="00D82087">
            <w:pPr>
              <w:spacing w:after="0" w:line="240" w:lineRule="auto"/>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w:t>
            </w:r>
          </w:p>
        </w:tc>
        <w:tc>
          <w:tcPr>
            <w:tcW w:w="1200" w:type="dxa"/>
            <w:tcBorders>
              <w:top w:val="single" w:sz="4" w:space="0" w:color="auto"/>
              <w:left w:val="nil"/>
              <w:bottom w:val="single" w:sz="8" w:space="0" w:color="auto"/>
              <w:right w:val="nil"/>
            </w:tcBorders>
            <w:shd w:val="clear" w:color="000000" w:fill="FFFFFF"/>
            <w:noWrap/>
            <w:vAlign w:val="bottom"/>
            <w:hideMark/>
          </w:tcPr>
          <w:p w14:paraId="6FDA69EB"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$21,928 </w:t>
            </w:r>
          </w:p>
        </w:tc>
      </w:tr>
      <w:tr w:rsidR="00D82087" w:rsidRPr="00D82087" w14:paraId="48D8D7A2" w14:textId="77777777" w:rsidTr="00D82087">
        <w:trPr>
          <w:trHeight w:val="308"/>
        </w:trPr>
        <w:tc>
          <w:tcPr>
            <w:tcW w:w="5360" w:type="dxa"/>
            <w:tcBorders>
              <w:top w:val="nil"/>
              <w:left w:val="nil"/>
              <w:bottom w:val="nil"/>
              <w:right w:val="nil"/>
            </w:tcBorders>
            <w:shd w:val="clear" w:color="000000" w:fill="FFFFFF"/>
            <w:noWrap/>
            <w:vAlign w:val="bottom"/>
            <w:hideMark/>
          </w:tcPr>
          <w:p w14:paraId="0BB891D4" w14:textId="77777777" w:rsidR="00D82087" w:rsidRPr="00D82087" w:rsidRDefault="00D82087" w:rsidP="00D82087">
            <w:pPr>
              <w:spacing w:after="0" w:line="240" w:lineRule="auto"/>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Operating income</w:t>
            </w:r>
          </w:p>
        </w:tc>
        <w:tc>
          <w:tcPr>
            <w:tcW w:w="1540" w:type="dxa"/>
            <w:tcBorders>
              <w:top w:val="nil"/>
              <w:left w:val="nil"/>
              <w:bottom w:val="nil"/>
              <w:right w:val="nil"/>
            </w:tcBorders>
            <w:shd w:val="clear" w:color="000000" w:fill="FFFFFF"/>
            <w:noWrap/>
            <w:vAlign w:val="bottom"/>
            <w:hideMark/>
          </w:tcPr>
          <w:p w14:paraId="42BF19E1"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w:t>
            </w:r>
          </w:p>
        </w:tc>
        <w:tc>
          <w:tcPr>
            <w:tcW w:w="180" w:type="dxa"/>
            <w:tcBorders>
              <w:top w:val="nil"/>
              <w:left w:val="nil"/>
              <w:bottom w:val="nil"/>
              <w:right w:val="nil"/>
            </w:tcBorders>
            <w:shd w:val="clear" w:color="000000" w:fill="FFFFFF"/>
            <w:noWrap/>
            <w:vAlign w:val="bottom"/>
            <w:hideMark/>
          </w:tcPr>
          <w:p w14:paraId="3850987E" w14:textId="77777777" w:rsidR="00D82087" w:rsidRPr="00D82087" w:rsidRDefault="00D82087" w:rsidP="00D82087">
            <w:pPr>
              <w:spacing w:after="0" w:line="240" w:lineRule="auto"/>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w:t>
            </w:r>
          </w:p>
        </w:tc>
        <w:tc>
          <w:tcPr>
            <w:tcW w:w="1200" w:type="dxa"/>
            <w:tcBorders>
              <w:top w:val="nil"/>
              <w:left w:val="nil"/>
              <w:bottom w:val="nil"/>
              <w:right w:val="nil"/>
            </w:tcBorders>
            <w:shd w:val="clear" w:color="000000" w:fill="FFFFFF"/>
            <w:noWrap/>
            <w:vAlign w:val="bottom"/>
            <w:hideMark/>
          </w:tcPr>
          <w:p w14:paraId="06F6E5C1"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w:t>
            </w:r>
          </w:p>
        </w:tc>
      </w:tr>
      <w:tr w:rsidR="00D82087" w:rsidRPr="00D82087" w14:paraId="3A728601" w14:textId="77777777" w:rsidTr="00D82087">
        <w:trPr>
          <w:trHeight w:val="308"/>
        </w:trPr>
        <w:tc>
          <w:tcPr>
            <w:tcW w:w="5360" w:type="dxa"/>
            <w:tcBorders>
              <w:top w:val="nil"/>
              <w:left w:val="nil"/>
              <w:bottom w:val="nil"/>
              <w:right w:val="nil"/>
            </w:tcBorders>
            <w:shd w:val="clear" w:color="000000" w:fill="FFFFFF"/>
            <w:noWrap/>
            <w:vAlign w:val="bottom"/>
            <w:hideMark/>
          </w:tcPr>
          <w:p w14:paraId="41D5365F"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Productivity and Business Processes</w:t>
            </w:r>
          </w:p>
        </w:tc>
        <w:tc>
          <w:tcPr>
            <w:tcW w:w="1540" w:type="dxa"/>
            <w:tcBorders>
              <w:top w:val="nil"/>
              <w:left w:val="nil"/>
              <w:bottom w:val="nil"/>
              <w:right w:val="nil"/>
            </w:tcBorders>
            <w:shd w:val="clear" w:color="000000" w:fill="FFFFFF"/>
            <w:noWrap/>
            <w:vAlign w:val="bottom"/>
            <w:hideMark/>
          </w:tcPr>
          <w:p w14:paraId="2B93B028"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 $3,006 </w:t>
            </w:r>
          </w:p>
        </w:tc>
        <w:tc>
          <w:tcPr>
            <w:tcW w:w="180" w:type="dxa"/>
            <w:tcBorders>
              <w:top w:val="nil"/>
              <w:left w:val="nil"/>
              <w:bottom w:val="nil"/>
              <w:right w:val="nil"/>
            </w:tcBorders>
            <w:shd w:val="clear" w:color="000000" w:fill="FFFFFF"/>
            <w:noWrap/>
            <w:vAlign w:val="bottom"/>
            <w:hideMark/>
          </w:tcPr>
          <w:p w14:paraId="5BD9B99C"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w:t>
            </w:r>
          </w:p>
        </w:tc>
        <w:tc>
          <w:tcPr>
            <w:tcW w:w="1200" w:type="dxa"/>
            <w:tcBorders>
              <w:top w:val="nil"/>
              <w:left w:val="nil"/>
              <w:bottom w:val="nil"/>
              <w:right w:val="nil"/>
            </w:tcBorders>
            <w:shd w:val="clear" w:color="000000" w:fill="FFFFFF"/>
            <w:noWrap/>
            <w:vAlign w:val="bottom"/>
            <w:hideMark/>
          </w:tcPr>
          <w:p w14:paraId="4AB26FA9"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$2,905 </w:t>
            </w:r>
          </w:p>
        </w:tc>
      </w:tr>
      <w:tr w:rsidR="00D82087" w:rsidRPr="00D82087" w14:paraId="3B12DC59" w14:textId="77777777" w:rsidTr="00D82087">
        <w:trPr>
          <w:trHeight w:val="308"/>
        </w:trPr>
        <w:tc>
          <w:tcPr>
            <w:tcW w:w="5360" w:type="dxa"/>
            <w:tcBorders>
              <w:top w:val="nil"/>
              <w:left w:val="nil"/>
              <w:bottom w:val="nil"/>
              <w:right w:val="nil"/>
            </w:tcBorders>
            <w:shd w:val="clear" w:color="000000" w:fill="FFFFFF"/>
            <w:noWrap/>
            <w:vAlign w:val="bottom"/>
            <w:hideMark/>
          </w:tcPr>
          <w:p w14:paraId="568BA582"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Intelligent Cloud</w:t>
            </w:r>
          </w:p>
        </w:tc>
        <w:tc>
          <w:tcPr>
            <w:tcW w:w="1540" w:type="dxa"/>
            <w:tcBorders>
              <w:top w:val="nil"/>
              <w:left w:val="nil"/>
              <w:bottom w:val="nil"/>
              <w:right w:val="nil"/>
            </w:tcBorders>
            <w:shd w:val="clear" w:color="000000" w:fill="FFFFFF"/>
            <w:noWrap/>
            <w:vAlign w:val="bottom"/>
            <w:hideMark/>
          </w:tcPr>
          <w:p w14:paraId="46596190"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2,137 </w:t>
            </w:r>
          </w:p>
        </w:tc>
        <w:tc>
          <w:tcPr>
            <w:tcW w:w="180" w:type="dxa"/>
            <w:tcBorders>
              <w:top w:val="nil"/>
              <w:left w:val="nil"/>
              <w:bottom w:val="nil"/>
              <w:right w:val="nil"/>
            </w:tcBorders>
            <w:shd w:val="clear" w:color="000000" w:fill="FFFFFF"/>
            <w:noWrap/>
            <w:vAlign w:val="bottom"/>
            <w:hideMark/>
          </w:tcPr>
          <w:p w14:paraId="6E00BC62"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w:t>
            </w:r>
          </w:p>
        </w:tc>
        <w:tc>
          <w:tcPr>
            <w:tcW w:w="1200" w:type="dxa"/>
            <w:tcBorders>
              <w:top w:val="nil"/>
              <w:left w:val="nil"/>
              <w:bottom w:val="nil"/>
              <w:right w:val="nil"/>
            </w:tcBorders>
            <w:shd w:val="clear" w:color="000000" w:fill="FFFFFF"/>
            <w:noWrap/>
            <w:vAlign w:val="bottom"/>
            <w:hideMark/>
          </w:tcPr>
          <w:p w14:paraId="2D47EB19"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1,777 </w:t>
            </w:r>
          </w:p>
        </w:tc>
      </w:tr>
      <w:tr w:rsidR="00D82087" w:rsidRPr="00D82087" w14:paraId="57649CFE" w14:textId="77777777" w:rsidTr="00D82087">
        <w:trPr>
          <w:trHeight w:val="308"/>
        </w:trPr>
        <w:tc>
          <w:tcPr>
            <w:tcW w:w="5360" w:type="dxa"/>
            <w:tcBorders>
              <w:top w:val="nil"/>
              <w:left w:val="nil"/>
              <w:bottom w:val="single" w:sz="4" w:space="0" w:color="auto"/>
              <w:right w:val="nil"/>
            </w:tcBorders>
            <w:shd w:val="clear" w:color="000000" w:fill="FFFFFF"/>
            <w:noWrap/>
            <w:vAlign w:val="bottom"/>
            <w:hideMark/>
          </w:tcPr>
          <w:p w14:paraId="5D9C19FF"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More Personal Computing</w:t>
            </w:r>
          </w:p>
        </w:tc>
        <w:tc>
          <w:tcPr>
            <w:tcW w:w="1540" w:type="dxa"/>
            <w:tcBorders>
              <w:top w:val="nil"/>
              <w:left w:val="nil"/>
              <w:bottom w:val="single" w:sz="4" w:space="0" w:color="auto"/>
              <w:right w:val="nil"/>
            </w:tcBorders>
            <w:shd w:val="clear" w:color="000000" w:fill="FFFFFF"/>
            <w:noWrap/>
            <w:vAlign w:val="bottom"/>
            <w:hideMark/>
          </w:tcPr>
          <w:p w14:paraId="489E3968"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2,565 </w:t>
            </w:r>
          </w:p>
        </w:tc>
        <w:tc>
          <w:tcPr>
            <w:tcW w:w="180" w:type="dxa"/>
            <w:tcBorders>
              <w:top w:val="nil"/>
              <w:left w:val="nil"/>
              <w:bottom w:val="nil"/>
              <w:right w:val="nil"/>
            </w:tcBorders>
            <w:shd w:val="clear" w:color="000000" w:fill="FFFFFF"/>
            <w:noWrap/>
            <w:vAlign w:val="bottom"/>
            <w:hideMark/>
          </w:tcPr>
          <w:p w14:paraId="790D2897"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w:t>
            </w:r>
          </w:p>
        </w:tc>
        <w:tc>
          <w:tcPr>
            <w:tcW w:w="1200" w:type="dxa"/>
            <w:tcBorders>
              <w:top w:val="nil"/>
              <w:left w:val="nil"/>
              <w:bottom w:val="nil"/>
              <w:right w:val="nil"/>
            </w:tcBorders>
            <w:shd w:val="clear" w:color="000000" w:fill="FFFFFF"/>
            <w:noWrap/>
            <w:vAlign w:val="bottom"/>
            <w:hideMark/>
          </w:tcPr>
          <w:p w14:paraId="08DB1295"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2,033 </w:t>
            </w:r>
          </w:p>
        </w:tc>
      </w:tr>
      <w:tr w:rsidR="00D82087" w:rsidRPr="00D82087" w14:paraId="6F764F47" w14:textId="77777777" w:rsidTr="00D82087">
        <w:trPr>
          <w:trHeight w:val="315"/>
        </w:trPr>
        <w:tc>
          <w:tcPr>
            <w:tcW w:w="5360" w:type="dxa"/>
            <w:tcBorders>
              <w:top w:val="nil"/>
              <w:left w:val="nil"/>
              <w:bottom w:val="nil"/>
              <w:right w:val="nil"/>
            </w:tcBorders>
            <w:shd w:val="clear" w:color="000000" w:fill="FFFFFF"/>
            <w:noWrap/>
            <w:vAlign w:val="bottom"/>
            <w:hideMark/>
          </w:tcPr>
          <w:p w14:paraId="49E7A553" w14:textId="77777777" w:rsidR="00D82087" w:rsidRPr="00D82087" w:rsidRDefault="00D82087" w:rsidP="00D82087">
            <w:pPr>
              <w:spacing w:after="0" w:line="240" w:lineRule="auto"/>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Total operating income</w:t>
            </w:r>
          </w:p>
        </w:tc>
        <w:tc>
          <w:tcPr>
            <w:tcW w:w="1540" w:type="dxa"/>
            <w:tcBorders>
              <w:top w:val="nil"/>
              <w:left w:val="nil"/>
              <w:bottom w:val="single" w:sz="8" w:space="0" w:color="auto"/>
              <w:right w:val="nil"/>
            </w:tcBorders>
            <w:shd w:val="clear" w:color="auto" w:fill="auto"/>
            <w:noWrap/>
            <w:vAlign w:val="bottom"/>
            <w:hideMark/>
          </w:tcPr>
          <w:p w14:paraId="56BE2DF4" w14:textId="77777777" w:rsidR="00D82087" w:rsidRPr="00D82087" w:rsidRDefault="00D82087" w:rsidP="00D82087">
            <w:pPr>
              <w:spacing w:after="0" w:line="240" w:lineRule="auto"/>
              <w:jc w:val="right"/>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xml:space="preserve"> $7,708 </w:t>
            </w:r>
          </w:p>
        </w:tc>
        <w:tc>
          <w:tcPr>
            <w:tcW w:w="180" w:type="dxa"/>
            <w:tcBorders>
              <w:top w:val="nil"/>
              <w:left w:val="nil"/>
              <w:bottom w:val="nil"/>
              <w:right w:val="nil"/>
            </w:tcBorders>
            <w:shd w:val="clear" w:color="000000" w:fill="FFFFFF"/>
            <w:noWrap/>
            <w:vAlign w:val="bottom"/>
            <w:hideMark/>
          </w:tcPr>
          <w:p w14:paraId="58F5CA72" w14:textId="77777777" w:rsidR="00D82087" w:rsidRPr="00D82087" w:rsidRDefault="00D82087" w:rsidP="00D82087">
            <w:pPr>
              <w:spacing w:after="0" w:line="240" w:lineRule="auto"/>
              <w:rPr>
                <w:rFonts w:ascii="Segoe UI" w:eastAsia="Times New Roman" w:hAnsi="Segoe UI" w:cs="Segoe UI"/>
                <w:b/>
                <w:bCs/>
                <w:color w:val="666666"/>
                <w:sz w:val="20"/>
                <w:szCs w:val="20"/>
              </w:rPr>
            </w:pPr>
            <w:r w:rsidRPr="00D82087">
              <w:rPr>
                <w:rFonts w:ascii="Segoe UI" w:eastAsia="Times New Roman" w:hAnsi="Segoe UI" w:cs="Segoe UI"/>
                <w:b/>
                <w:bCs/>
                <w:color w:val="666666"/>
                <w:sz w:val="20"/>
                <w:szCs w:val="20"/>
              </w:rPr>
              <w:t> </w:t>
            </w:r>
          </w:p>
        </w:tc>
        <w:tc>
          <w:tcPr>
            <w:tcW w:w="1200" w:type="dxa"/>
            <w:tcBorders>
              <w:top w:val="single" w:sz="4" w:space="0" w:color="auto"/>
              <w:left w:val="nil"/>
              <w:bottom w:val="single" w:sz="8" w:space="0" w:color="auto"/>
              <w:right w:val="nil"/>
            </w:tcBorders>
            <w:shd w:val="clear" w:color="000000" w:fill="FFFFFF"/>
            <w:noWrap/>
            <w:vAlign w:val="bottom"/>
            <w:hideMark/>
          </w:tcPr>
          <w:p w14:paraId="68646B53" w14:textId="77777777" w:rsidR="00D82087" w:rsidRPr="00D82087" w:rsidRDefault="00D82087" w:rsidP="00D82087">
            <w:pPr>
              <w:spacing w:after="0" w:line="240" w:lineRule="auto"/>
              <w:jc w:val="right"/>
              <w:rPr>
                <w:rFonts w:ascii="Segoe UI" w:eastAsia="Times New Roman" w:hAnsi="Segoe UI" w:cs="Segoe UI"/>
                <w:color w:val="666666"/>
                <w:sz w:val="20"/>
                <w:szCs w:val="20"/>
              </w:rPr>
            </w:pPr>
            <w:r w:rsidRPr="00D82087">
              <w:rPr>
                <w:rFonts w:ascii="Segoe UI" w:eastAsia="Times New Roman" w:hAnsi="Segoe UI" w:cs="Segoe UI"/>
                <w:color w:val="666666"/>
                <w:sz w:val="20"/>
                <w:szCs w:val="20"/>
              </w:rPr>
              <w:t xml:space="preserve"> $6,715 </w:t>
            </w:r>
          </w:p>
        </w:tc>
      </w:tr>
    </w:tbl>
    <w:p w14:paraId="516C7F26" w14:textId="77777777" w:rsidR="00D82087" w:rsidRDefault="00D82087">
      <w:pPr>
        <w:spacing w:after="160" w:line="259" w:lineRule="auto"/>
        <w:rPr>
          <w:rFonts w:ascii="Segoe UI" w:hAnsi="Segoe UI" w:cs="Segoe UI"/>
          <w:color w:val="666666"/>
          <w:sz w:val="20"/>
          <w:szCs w:val="20"/>
        </w:rPr>
      </w:pPr>
    </w:p>
    <w:sectPr w:rsidR="00D82087" w:rsidSect="00D82087">
      <w:pgSz w:w="12240" w:h="15840" w:code="1"/>
      <w:pgMar w:top="9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1408E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7B20DC"/>
    <w:multiLevelType w:val="hybridMultilevel"/>
    <w:tmpl w:val="30A2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30F24"/>
    <w:multiLevelType w:val="hybridMultilevel"/>
    <w:tmpl w:val="FABC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9339C"/>
    <w:multiLevelType w:val="hybridMultilevel"/>
    <w:tmpl w:val="662AF1DA"/>
    <w:lvl w:ilvl="0" w:tplc="E7207E3C">
      <w:start w:val="1"/>
      <w:numFmt w:val="bullet"/>
      <w:lvlText w:val="•"/>
      <w:lvlJc w:val="left"/>
      <w:pPr>
        <w:tabs>
          <w:tab w:val="num" w:pos="720"/>
        </w:tabs>
        <w:ind w:left="720" w:hanging="360"/>
      </w:pPr>
      <w:rPr>
        <w:rFonts w:ascii="Arial" w:hAnsi="Arial" w:hint="default"/>
      </w:rPr>
    </w:lvl>
    <w:lvl w:ilvl="1" w:tplc="3AD2F926" w:tentative="1">
      <w:start w:val="1"/>
      <w:numFmt w:val="bullet"/>
      <w:lvlText w:val="•"/>
      <w:lvlJc w:val="left"/>
      <w:pPr>
        <w:tabs>
          <w:tab w:val="num" w:pos="1440"/>
        </w:tabs>
        <w:ind w:left="1440" w:hanging="360"/>
      </w:pPr>
      <w:rPr>
        <w:rFonts w:ascii="Arial" w:hAnsi="Arial" w:hint="default"/>
      </w:rPr>
    </w:lvl>
    <w:lvl w:ilvl="2" w:tplc="AE9ABCF6" w:tentative="1">
      <w:start w:val="1"/>
      <w:numFmt w:val="bullet"/>
      <w:lvlText w:val="•"/>
      <w:lvlJc w:val="left"/>
      <w:pPr>
        <w:tabs>
          <w:tab w:val="num" w:pos="2160"/>
        </w:tabs>
        <w:ind w:left="2160" w:hanging="360"/>
      </w:pPr>
      <w:rPr>
        <w:rFonts w:ascii="Arial" w:hAnsi="Arial" w:hint="default"/>
      </w:rPr>
    </w:lvl>
    <w:lvl w:ilvl="3" w:tplc="ACEEBF20" w:tentative="1">
      <w:start w:val="1"/>
      <w:numFmt w:val="bullet"/>
      <w:lvlText w:val="•"/>
      <w:lvlJc w:val="left"/>
      <w:pPr>
        <w:tabs>
          <w:tab w:val="num" w:pos="2880"/>
        </w:tabs>
        <w:ind w:left="2880" w:hanging="360"/>
      </w:pPr>
      <w:rPr>
        <w:rFonts w:ascii="Arial" w:hAnsi="Arial" w:hint="default"/>
      </w:rPr>
    </w:lvl>
    <w:lvl w:ilvl="4" w:tplc="A0567BB2" w:tentative="1">
      <w:start w:val="1"/>
      <w:numFmt w:val="bullet"/>
      <w:lvlText w:val="•"/>
      <w:lvlJc w:val="left"/>
      <w:pPr>
        <w:tabs>
          <w:tab w:val="num" w:pos="3600"/>
        </w:tabs>
        <w:ind w:left="3600" w:hanging="360"/>
      </w:pPr>
      <w:rPr>
        <w:rFonts w:ascii="Arial" w:hAnsi="Arial" w:hint="default"/>
      </w:rPr>
    </w:lvl>
    <w:lvl w:ilvl="5" w:tplc="EA0EB0F6" w:tentative="1">
      <w:start w:val="1"/>
      <w:numFmt w:val="bullet"/>
      <w:lvlText w:val="•"/>
      <w:lvlJc w:val="left"/>
      <w:pPr>
        <w:tabs>
          <w:tab w:val="num" w:pos="4320"/>
        </w:tabs>
        <w:ind w:left="4320" w:hanging="360"/>
      </w:pPr>
      <w:rPr>
        <w:rFonts w:ascii="Arial" w:hAnsi="Arial" w:hint="default"/>
      </w:rPr>
    </w:lvl>
    <w:lvl w:ilvl="6" w:tplc="58A40C22" w:tentative="1">
      <w:start w:val="1"/>
      <w:numFmt w:val="bullet"/>
      <w:lvlText w:val="•"/>
      <w:lvlJc w:val="left"/>
      <w:pPr>
        <w:tabs>
          <w:tab w:val="num" w:pos="5040"/>
        </w:tabs>
        <w:ind w:left="5040" w:hanging="360"/>
      </w:pPr>
      <w:rPr>
        <w:rFonts w:ascii="Arial" w:hAnsi="Arial" w:hint="default"/>
      </w:rPr>
    </w:lvl>
    <w:lvl w:ilvl="7" w:tplc="EE7E11F8" w:tentative="1">
      <w:start w:val="1"/>
      <w:numFmt w:val="bullet"/>
      <w:lvlText w:val="•"/>
      <w:lvlJc w:val="left"/>
      <w:pPr>
        <w:tabs>
          <w:tab w:val="num" w:pos="5760"/>
        </w:tabs>
        <w:ind w:left="5760" w:hanging="360"/>
      </w:pPr>
      <w:rPr>
        <w:rFonts w:ascii="Arial" w:hAnsi="Arial" w:hint="default"/>
      </w:rPr>
    </w:lvl>
    <w:lvl w:ilvl="8" w:tplc="AF92EA4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41E73BD"/>
    <w:multiLevelType w:val="hybridMultilevel"/>
    <w:tmpl w:val="59360830"/>
    <w:lvl w:ilvl="0" w:tplc="1ABAA840">
      <w:start w:val="1"/>
      <w:numFmt w:val="bullet"/>
      <w:lvlText w:val=""/>
      <w:lvlJc w:val="left"/>
      <w:pPr>
        <w:ind w:left="720" w:hanging="360"/>
      </w:pPr>
      <w:rPr>
        <w:rFonts w:ascii="Symbol" w:hAnsi="Symbol"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420381"/>
    <w:multiLevelType w:val="hybridMultilevel"/>
    <w:tmpl w:val="28A83BCC"/>
    <w:lvl w:ilvl="0" w:tplc="52783CC0">
      <w:start w:val="1"/>
      <w:numFmt w:val="bullet"/>
      <w:lvlText w:val="•"/>
      <w:lvlJc w:val="left"/>
      <w:pPr>
        <w:tabs>
          <w:tab w:val="num" w:pos="720"/>
        </w:tabs>
        <w:ind w:left="720" w:hanging="360"/>
      </w:pPr>
      <w:rPr>
        <w:rFonts w:ascii="Arial" w:hAnsi="Arial" w:hint="default"/>
      </w:rPr>
    </w:lvl>
    <w:lvl w:ilvl="1" w:tplc="F0408A94" w:tentative="1">
      <w:start w:val="1"/>
      <w:numFmt w:val="bullet"/>
      <w:lvlText w:val="•"/>
      <w:lvlJc w:val="left"/>
      <w:pPr>
        <w:tabs>
          <w:tab w:val="num" w:pos="1440"/>
        </w:tabs>
        <w:ind w:left="1440" w:hanging="360"/>
      </w:pPr>
      <w:rPr>
        <w:rFonts w:ascii="Arial" w:hAnsi="Arial" w:hint="default"/>
      </w:rPr>
    </w:lvl>
    <w:lvl w:ilvl="2" w:tplc="F44235F2" w:tentative="1">
      <w:start w:val="1"/>
      <w:numFmt w:val="bullet"/>
      <w:lvlText w:val="•"/>
      <w:lvlJc w:val="left"/>
      <w:pPr>
        <w:tabs>
          <w:tab w:val="num" w:pos="2160"/>
        </w:tabs>
        <w:ind w:left="2160" w:hanging="360"/>
      </w:pPr>
      <w:rPr>
        <w:rFonts w:ascii="Arial" w:hAnsi="Arial" w:hint="default"/>
      </w:rPr>
    </w:lvl>
    <w:lvl w:ilvl="3" w:tplc="D60E7B26" w:tentative="1">
      <w:start w:val="1"/>
      <w:numFmt w:val="bullet"/>
      <w:lvlText w:val="•"/>
      <w:lvlJc w:val="left"/>
      <w:pPr>
        <w:tabs>
          <w:tab w:val="num" w:pos="2880"/>
        </w:tabs>
        <w:ind w:left="2880" w:hanging="360"/>
      </w:pPr>
      <w:rPr>
        <w:rFonts w:ascii="Arial" w:hAnsi="Arial" w:hint="default"/>
      </w:rPr>
    </w:lvl>
    <w:lvl w:ilvl="4" w:tplc="E144A4CE" w:tentative="1">
      <w:start w:val="1"/>
      <w:numFmt w:val="bullet"/>
      <w:lvlText w:val="•"/>
      <w:lvlJc w:val="left"/>
      <w:pPr>
        <w:tabs>
          <w:tab w:val="num" w:pos="3600"/>
        </w:tabs>
        <w:ind w:left="3600" w:hanging="360"/>
      </w:pPr>
      <w:rPr>
        <w:rFonts w:ascii="Arial" w:hAnsi="Arial" w:hint="default"/>
      </w:rPr>
    </w:lvl>
    <w:lvl w:ilvl="5" w:tplc="DDACB252" w:tentative="1">
      <w:start w:val="1"/>
      <w:numFmt w:val="bullet"/>
      <w:lvlText w:val="•"/>
      <w:lvlJc w:val="left"/>
      <w:pPr>
        <w:tabs>
          <w:tab w:val="num" w:pos="4320"/>
        </w:tabs>
        <w:ind w:left="4320" w:hanging="360"/>
      </w:pPr>
      <w:rPr>
        <w:rFonts w:ascii="Arial" w:hAnsi="Arial" w:hint="default"/>
      </w:rPr>
    </w:lvl>
    <w:lvl w:ilvl="6" w:tplc="85D260A2" w:tentative="1">
      <w:start w:val="1"/>
      <w:numFmt w:val="bullet"/>
      <w:lvlText w:val="•"/>
      <w:lvlJc w:val="left"/>
      <w:pPr>
        <w:tabs>
          <w:tab w:val="num" w:pos="5040"/>
        </w:tabs>
        <w:ind w:left="5040" w:hanging="360"/>
      </w:pPr>
      <w:rPr>
        <w:rFonts w:ascii="Arial" w:hAnsi="Arial" w:hint="default"/>
      </w:rPr>
    </w:lvl>
    <w:lvl w:ilvl="7" w:tplc="8DEE4D24" w:tentative="1">
      <w:start w:val="1"/>
      <w:numFmt w:val="bullet"/>
      <w:lvlText w:val="•"/>
      <w:lvlJc w:val="left"/>
      <w:pPr>
        <w:tabs>
          <w:tab w:val="num" w:pos="5760"/>
        </w:tabs>
        <w:ind w:left="5760" w:hanging="360"/>
      </w:pPr>
      <w:rPr>
        <w:rFonts w:ascii="Arial" w:hAnsi="Arial" w:hint="default"/>
      </w:rPr>
    </w:lvl>
    <w:lvl w:ilvl="8" w:tplc="DC20552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7A77599"/>
    <w:multiLevelType w:val="hybridMultilevel"/>
    <w:tmpl w:val="A426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9F66DF"/>
    <w:multiLevelType w:val="hybridMultilevel"/>
    <w:tmpl w:val="9F46C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D408C6"/>
    <w:multiLevelType w:val="hybridMultilevel"/>
    <w:tmpl w:val="AAC4A912"/>
    <w:lvl w:ilvl="0" w:tplc="380C888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BE4448"/>
    <w:multiLevelType w:val="hybridMultilevel"/>
    <w:tmpl w:val="6DFA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7B461B"/>
    <w:multiLevelType w:val="hybridMultilevel"/>
    <w:tmpl w:val="6EDEC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C87F8C"/>
    <w:multiLevelType w:val="hybridMultilevel"/>
    <w:tmpl w:val="F4B4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B1219B"/>
    <w:multiLevelType w:val="hybridMultilevel"/>
    <w:tmpl w:val="C8F018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77EC7A75"/>
    <w:multiLevelType w:val="hybridMultilevel"/>
    <w:tmpl w:val="7182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660CCC"/>
    <w:multiLevelType w:val="hybridMultilevel"/>
    <w:tmpl w:val="4810E528"/>
    <w:lvl w:ilvl="0" w:tplc="EB5CB466">
      <w:start w:val="1"/>
      <w:numFmt w:val="bullet"/>
      <w:lvlText w:val="•"/>
      <w:lvlJc w:val="left"/>
      <w:pPr>
        <w:tabs>
          <w:tab w:val="num" w:pos="720"/>
        </w:tabs>
        <w:ind w:left="720" w:hanging="360"/>
      </w:pPr>
      <w:rPr>
        <w:rFonts w:ascii="Arial" w:hAnsi="Arial" w:hint="default"/>
      </w:rPr>
    </w:lvl>
    <w:lvl w:ilvl="1" w:tplc="5B8EDA7C" w:tentative="1">
      <w:start w:val="1"/>
      <w:numFmt w:val="bullet"/>
      <w:lvlText w:val="•"/>
      <w:lvlJc w:val="left"/>
      <w:pPr>
        <w:tabs>
          <w:tab w:val="num" w:pos="1440"/>
        </w:tabs>
        <w:ind w:left="1440" w:hanging="360"/>
      </w:pPr>
      <w:rPr>
        <w:rFonts w:ascii="Arial" w:hAnsi="Arial" w:hint="default"/>
      </w:rPr>
    </w:lvl>
    <w:lvl w:ilvl="2" w:tplc="60CABE0E" w:tentative="1">
      <w:start w:val="1"/>
      <w:numFmt w:val="bullet"/>
      <w:lvlText w:val="•"/>
      <w:lvlJc w:val="left"/>
      <w:pPr>
        <w:tabs>
          <w:tab w:val="num" w:pos="2160"/>
        </w:tabs>
        <w:ind w:left="2160" w:hanging="360"/>
      </w:pPr>
      <w:rPr>
        <w:rFonts w:ascii="Arial" w:hAnsi="Arial" w:hint="default"/>
      </w:rPr>
    </w:lvl>
    <w:lvl w:ilvl="3" w:tplc="CC346DBE" w:tentative="1">
      <w:start w:val="1"/>
      <w:numFmt w:val="bullet"/>
      <w:lvlText w:val="•"/>
      <w:lvlJc w:val="left"/>
      <w:pPr>
        <w:tabs>
          <w:tab w:val="num" w:pos="2880"/>
        </w:tabs>
        <w:ind w:left="2880" w:hanging="360"/>
      </w:pPr>
      <w:rPr>
        <w:rFonts w:ascii="Arial" w:hAnsi="Arial" w:hint="default"/>
      </w:rPr>
    </w:lvl>
    <w:lvl w:ilvl="4" w:tplc="76D0ACFA" w:tentative="1">
      <w:start w:val="1"/>
      <w:numFmt w:val="bullet"/>
      <w:lvlText w:val="•"/>
      <w:lvlJc w:val="left"/>
      <w:pPr>
        <w:tabs>
          <w:tab w:val="num" w:pos="3600"/>
        </w:tabs>
        <w:ind w:left="3600" w:hanging="360"/>
      </w:pPr>
      <w:rPr>
        <w:rFonts w:ascii="Arial" w:hAnsi="Arial" w:hint="default"/>
      </w:rPr>
    </w:lvl>
    <w:lvl w:ilvl="5" w:tplc="7428BBE4" w:tentative="1">
      <w:start w:val="1"/>
      <w:numFmt w:val="bullet"/>
      <w:lvlText w:val="•"/>
      <w:lvlJc w:val="left"/>
      <w:pPr>
        <w:tabs>
          <w:tab w:val="num" w:pos="4320"/>
        </w:tabs>
        <w:ind w:left="4320" w:hanging="360"/>
      </w:pPr>
      <w:rPr>
        <w:rFonts w:ascii="Arial" w:hAnsi="Arial" w:hint="default"/>
      </w:rPr>
    </w:lvl>
    <w:lvl w:ilvl="6" w:tplc="A9B04D5E" w:tentative="1">
      <w:start w:val="1"/>
      <w:numFmt w:val="bullet"/>
      <w:lvlText w:val="•"/>
      <w:lvlJc w:val="left"/>
      <w:pPr>
        <w:tabs>
          <w:tab w:val="num" w:pos="5040"/>
        </w:tabs>
        <w:ind w:left="5040" w:hanging="360"/>
      </w:pPr>
      <w:rPr>
        <w:rFonts w:ascii="Arial" w:hAnsi="Arial" w:hint="default"/>
      </w:rPr>
    </w:lvl>
    <w:lvl w:ilvl="7" w:tplc="7914700A" w:tentative="1">
      <w:start w:val="1"/>
      <w:numFmt w:val="bullet"/>
      <w:lvlText w:val="•"/>
      <w:lvlJc w:val="left"/>
      <w:pPr>
        <w:tabs>
          <w:tab w:val="num" w:pos="5760"/>
        </w:tabs>
        <w:ind w:left="5760" w:hanging="360"/>
      </w:pPr>
      <w:rPr>
        <w:rFonts w:ascii="Arial" w:hAnsi="Arial" w:hint="default"/>
      </w:rPr>
    </w:lvl>
    <w:lvl w:ilvl="8" w:tplc="D27A3AC2" w:tentative="1">
      <w:start w:val="1"/>
      <w:numFmt w:val="bullet"/>
      <w:lvlText w:val="•"/>
      <w:lvlJc w:val="left"/>
      <w:pPr>
        <w:tabs>
          <w:tab w:val="num" w:pos="6480"/>
        </w:tabs>
        <w:ind w:left="6480" w:hanging="360"/>
      </w:pPr>
      <w:rPr>
        <w:rFonts w:ascii="Arial" w:hAnsi="Arial" w:hint="default"/>
      </w:rPr>
    </w:lvl>
  </w:abstractNum>
  <w:num w:numId="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9"/>
  </w:num>
  <w:num w:numId="4">
    <w:abstractNumId w:val="2"/>
  </w:num>
  <w:num w:numId="5">
    <w:abstractNumId w:val="3"/>
  </w:num>
  <w:num w:numId="6">
    <w:abstractNumId w:val="8"/>
  </w:num>
  <w:num w:numId="7">
    <w:abstractNumId w:val="5"/>
  </w:num>
  <w:num w:numId="8">
    <w:abstractNumId w:val="0"/>
  </w:num>
  <w:num w:numId="9">
    <w:abstractNumId w:val="6"/>
  </w:num>
  <w:num w:numId="10">
    <w:abstractNumId w:val="1"/>
  </w:num>
  <w:num w:numId="11">
    <w:abstractNumId w:val="10"/>
  </w:num>
  <w:num w:numId="12">
    <w:abstractNumId w:val="13"/>
  </w:num>
  <w:num w:numId="13">
    <w:abstractNumId w:val="11"/>
  </w:num>
  <w:num w:numId="14">
    <w:abstractNumId w:val="7"/>
  </w:num>
  <w:num w:numId="15">
    <w:abstractNumId w:val="14"/>
  </w:num>
  <w:num w:numId="1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WAFVersion" w:val="5.0"/>
  </w:docVars>
  <w:rsids>
    <w:rsidRoot w:val="00CE53EC"/>
    <w:rsid w:val="00000C04"/>
    <w:rsid w:val="00002383"/>
    <w:rsid w:val="000038BB"/>
    <w:rsid w:val="00004065"/>
    <w:rsid w:val="0000441C"/>
    <w:rsid w:val="0000634D"/>
    <w:rsid w:val="0000638F"/>
    <w:rsid w:val="00007EE5"/>
    <w:rsid w:val="00010FC0"/>
    <w:rsid w:val="000110D4"/>
    <w:rsid w:val="00011EA3"/>
    <w:rsid w:val="000120E8"/>
    <w:rsid w:val="0001314A"/>
    <w:rsid w:val="00013FCB"/>
    <w:rsid w:val="00015AD3"/>
    <w:rsid w:val="00015B18"/>
    <w:rsid w:val="0001709E"/>
    <w:rsid w:val="0001747A"/>
    <w:rsid w:val="00020931"/>
    <w:rsid w:val="00021721"/>
    <w:rsid w:val="00021A9F"/>
    <w:rsid w:val="000243DE"/>
    <w:rsid w:val="00024BA2"/>
    <w:rsid w:val="000256EB"/>
    <w:rsid w:val="000266BE"/>
    <w:rsid w:val="00032E56"/>
    <w:rsid w:val="00034937"/>
    <w:rsid w:val="00034F44"/>
    <w:rsid w:val="00035AF9"/>
    <w:rsid w:val="00035E72"/>
    <w:rsid w:val="00035E92"/>
    <w:rsid w:val="00037D0D"/>
    <w:rsid w:val="0004108A"/>
    <w:rsid w:val="00041E87"/>
    <w:rsid w:val="00043236"/>
    <w:rsid w:val="000439EB"/>
    <w:rsid w:val="00044422"/>
    <w:rsid w:val="00044A49"/>
    <w:rsid w:val="00044C86"/>
    <w:rsid w:val="000462EA"/>
    <w:rsid w:val="00047BCF"/>
    <w:rsid w:val="00051498"/>
    <w:rsid w:val="00051BF1"/>
    <w:rsid w:val="0005538D"/>
    <w:rsid w:val="000605C7"/>
    <w:rsid w:val="00066AFF"/>
    <w:rsid w:val="0006712A"/>
    <w:rsid w:val="00075DD1"/>
    <w:rsid w:val="000764AC"/>
    <w:rsid w:val="0007673A"/>
    <w:rsid w:val="00080F0C"/>
    <w:rsid w:val="00081047"/>
    <w:rsid w:val="00084696"/>
    <w:rsid w:val="000856AD"/>
    <w:rsid w:val="00085D2D"/>
    <w:rsid w:val="00086222"/>
    <w:rsid w:val="00090FEF"/>
    <w:rsid w:val="000958BD"/>
    <w:rsid w:val="00097E26"/>
    <w:rsid w:val="000A15A1"/>
    <w:rsid w:val="000A15F8"/>
    <w:rsid w:val="000A1D9F"/>
    <w:rsid w:val="000A2331"/>
    <w:rsid w:val="000A263F"/>
    <w:rsid w:val="000B1942"/>
    <w:rsid w:val="000B27C9"/>
    <w:rsid w:val="000C142D"/>
    <w:rsid w:val="000C159C"/>
    <w:rsid w:val="000C1ECF"/>
    <w:rsid w:val="000C25B3"/>
    <w:rsid w:val="000C26DE"/>
    <w:rsid w:val="000C4644"/>
    <w:rsid w:val="000C5F73"/>
    <w:rsid w:val="000C78D2"/>
    <w:rsid w:val="000C798B"/>
    <w:rsid w:val="000D0031"/>
    <w:rsid w:val="000D2567"/>
    <w:rsid w:val="000D2F4D"/>
    <w:rsid w:val="000D41B6"/>
    <w:rsid w:val="000E1040"/>
    <w:rsid w:val="000E1B22"/>
    <w:rsid w:val="000E37E8"/>
    <w:rsid w:val="000E4009"/>
    <w:rsid w:val="000E4719"/>
    <w:rsid w:val="000E60D9"/>
    <w:rsid w:val="000F0A3E"/>
    <w:rsid w:val="000F2037"/>
    <w:rsid w:val="000F4CFD"/>
    <w:rsid w:val="000F5AC8"/>
    <w:rsid w:val="000F6454"/>
    <w:rsid w:val="0010017C"/>
    <w:rsid w:val="0010162B"/>
    <w:rsid w:val="00101C8A"/>
    <w:rsid w:val="00102762"/>
    <w:rsid w:val="001052C7"/>
    <w:rsid w:val="0010531D"/>
    <w:rsid w:val="001060CA"/>
    <w:rsid w:val="001069FA"/>
    <w:rsid w:val="00106CB8"/>
    <w:rsid w:val="00110FDE"/>
    <w:rsid w:val="00112AE6"/>
    <w:rsid w:val="00114C9B"/>
    <w:rsid w:val="00116736"/>
    <w:rsid w:val="00117E34"/>
    <w:rsid w:val="00121A22"/>
    <w:rsid w:val="001237F2"/>
    <w:rsid w:val="00124C64"/>
    <w:rsid w:val="001279A0"/>
    <w:rsid w:val="00133363"/>
    <w:rsid w:val="00143379"/>
    <w:rsid w:val="00143A12"/>
    <w:rsid w:val="00144C1A"/>
    <w:rsid w:val="00144CF2"/>
    <w:rsid w:val="00145E06"/>
    <w:rsid w:val="00147052"/>
    <w:rsid w:val="00152EF0"/>
    <w:rsid w:val="0015334C"/>
    <w:rsid w:val="00154668"/>
    <w:rsid w:val="00155CAC"/>
    <w:rsid w:val="001566A0"/>
    <w:rsid w:val="00157192"/>
    <w:rsid w:val="00157EEA"/>
    <w:rsid w:val="001626B2"/>
    <w:rsid w:val="0016327D"/>
    <w:rsid w:val="00164C00"/>
    <w:rsid w:val="00164F0A"/>
    <w:rsid w:val="001650B3"/>
    <w:rsid w:val="001658BC"/>
    <w:rsid w:val="00166963"/>
    <w:rsid w:val="001712AA"/>
    <w:rsid w:val="00171E28"/>
    <w:rsid w:val="00175FBC"/>
    <w:rsid w:val="00176F75"/>
    <w:rsid w:val="001807B9"/>
    <w:rsid w:val="0018107D"/>
    <w:rsid w:val="00183BD4"/>
    <w:rsid w:val="001846F5"/>
    <w:rsid w:val="00184F2C"/>
    <w:rsid w:val="00185FA6"/>
    <w:rsid w:val="00186B3D"/>
    <w:rsid w:val="001875A1"/>
    <w:rsid w:val="00187DAB"/>
    <w:rsid w:val="00190071"/>
    <w:rsid w:val="001900AD"/>
    <w:rsid w:val="001903E6"/>
    <w:rsid w:val="00196EDE"/>
    <w:rsid w:val="00197B22"/>
    <w:rsid w:val="001A1292"/>
    <w:rsid w:val="001A2E1A"/>
    <w:rsid w:val="001A64DC"/>
    <w:rsid w:val="001A6ACE"/>
    <w:rsid w:val="001A770D"/>
    <w:rsid w:val="001B013C"/>
    <w:rsid w:val="001B04EB"/>
    <w:rsid w:val="001B1173"/>
    <w:rsid w:val="001B1235"/>
    <w:rsid w:val="001B12B6"/>
    <w:rsid w:val="001B137F"/>
    <w:rsid w:val="001B1C9B"/>
    <w:rsid w:val="001B4BA0"/>
    <w:rsid w:val="001B50E8"/>
    <w:rsid w:val="001B566D"/>
    <w:rsid w:val="001B57C3"/>
    <w:rsid w:val="001B7186"/>
    <w:rsid w:val="001B782D"/>
    <w:rsid w:val="001C078B"/>
    <w:rsid w:val="001C07A9"/>
    <w:rsid w:val="001C0F9B"/>
    <w:rsid w:val="001C3338"/>
    <w:rsid w:val="001C3A5E"/>
    <w:rsid w:val="001C3EC2"/>
    <w:rsid w:val="001C503A"/>
    <w:rsid w:val="001C5FB6"/>
    <w:rsid w:val="001C6AF9"/>
    <w:rsid w:val="001C7128"/>
    <w:rsid w:val="001D12C3"/>
    <w:rsid w:val="001D4AA5"/>
    <w:rsid w:val="001D7C5D"/>
    <w:rsid w:val="001E21FD"/>
    <w:rsid w:val="001E2911"/>
    <w:rsid w:val="001E2BAD"/>
    <w:rsid w:val="001E346A"/>
    <w:rsid w:val="001E48CA"/>
    <w:rsid w:val="001E4F9A"/>
    <w:rsid w:val="001E6772"/>
    <w:rsid w:val="001E7FDD"/>
    <w:rsid w:val="001F1730"/>
    <w:rsid w:val="001F3443"/>
    <w:rsid w:val="001F3D43"/>
    <w:rsid w:val="001F5F82"/>
    <w:rsid w:val="00200536"/>
    <w:rsid w:val="00201584"/>
    <w:rsid w:val="00201B89"/>
    <w:rsid w:val="002025B4"/>
    <w:rsid w:val="0020384B"/>
    <w:rsid w:val="00206B8C"/>
    <w:rsid w:val="00206BCB"/>
    <w:rsid w:val="00207638"/>
    <w:rsid w:val="00207B8E"/>
    <w:rsid w:val="002110B2"/>
    <w:rsid w:val="00211790"/>
    <w:rsid w:val="00213A99"/>
    <w:rsid w:val="002158D4"/>
    <w:rsid w:val="00217037"/>
    <w:rsid w:val="0021755D"/>
    <w:rsid w:val="00220FCA"/>
    <w:rsid w:val="0022170C"/>
    <w:rsid w:val="0022200C"/>
    <w:rsid w:val="00222C01"/>
    <w:rsid w:val="002242AA"/>
    <w:rsid w:val="00224443"/>
    <w:rsid w:val="0022618A"/>
    <w:rsid w:val="00227467"/>
    <w:rsid w:val="002304FC"/>
    <w:rsid w:val="00232EA2"/>
    <w:rsid w:val="002331CF"/>
    <w:rsid w:val="0023521E"/>
    <w:rsid w:val="00236E33"/>
    <w:rsid w:val="00236E9E"/>
    <w:rsid w:val="00237782"/>
    <w:rsid w:val="00237F55"/>
    <w:rsid w:val="00242F86"/>
    <w:rsid w:val="00243400"/>
    <w:rsid w:val="00244276"/>
    <w:rsid w:val="00244572"/>
    <w:rsid w:val="00244F71"/>
    <w:rsid w:val="002469C1"/>
    <w:rsid w:val="002472FE"/>
    <w:rsid w:val="002475A7"/>
    <w:rsid w:val="0025136B"/>
    <w:rsid w:val="00251AE7"/>
    <w:rsid w:val="002530BF"/>
    <w:rsid w:val="00254152"/>
    <w:rsid w:val="002543C5"/>
    <w:rsid w:val="00255A49"/>
    <w:rsid w:val="00256C91"/>
    <w:rsid w:val="00261A92"/>
    <w:rsid w:val="00263368"/>
    <w:rsid w:val="00266B41"/>
    <w:rsid w:val="00267DFE"/>
    <w:rsid w:val="0027077C"/>
    <w:rsid w:val="002713ED"/>
    <w:rsid w:val="002726A6"/>
    <w:rsid w:val="002778DA"/>
    <w:rsid w:val="00280E39"/>
    <w:rsid w:val="00281959"/>
    <w:rsid w:val="00281E0C"/>
    <w:rsid w:val="00282544"/>
    <w:rsid w:val="0028660D"/>
    <w:rsid w:val="00286E36"/>
    <w:rsid w:val="00286E90"/>
    <w:rsid w:val="00287423"/>
    <w:rsid w:val="002910E3"/>
    <w:rsid w:val="00291D25"/>
    <w:rsid w:val="002940C9"/>
    <w:rsid w:val="00294864"/>
    <w:rsid w:val="002960CB"/>
    <w:rsid w:val="0029649B"/>
    <w:rsid w:val="0029699B"/>
    <w:rsid w:val="002974F6"/>
    <w:rsid w:val="002A2CA4"/>
    <w:rsid w:val="002B24C0"/>
    <w:rsid w:val="002B4F9E"/>
    <w:rsid w:val="002B558E"/>
    <w:rsid w:val="002B6173"/>
    <w:rsid w:val="002C1294"/>
    <w:rsid w:val="002C1389"/>
    <w:rsid w:val="002C3504"/>
    <w:rsid w:val="002C3B23"/>
    <w:rsid w:val="002C69B9"/>
    <w:rsid w:val="002C7FF0"/>
    <w:rsid w:val="002D0BDC"/>
    <w:rsid w:val="002D16D0"/>
    <w:rsid w:val="002D2C83"/>
    <w:rsid w:val="002D584B"/>
    <w:rsid w:val="002D647D"/>
    <w:rsid w:val="002D738B"/>
    <w:rsid w:val="002E002F"/>
    <w:rsid w:val="002E2474"/>
    <w:rsid w:val="002E3045"/>
    <w:rsid w:val="002E79B3"/>
    <w:rsid w:val="002E7D83"/>
    <w:rsid w:val="002E7D89"/>
    <w:rsid w:val="002F2FAE"/>
    <w:rsid w:val="002F34B2"/>
    <w:rsid w:val="002F59C2"/>
    <w:rsid w:val="002F6AD3"/>
    <w:rsid w:val="00300C49"/>
    <w:rsid w:val="0030481B"/>
    <w:rsid w:val="0030537D"/>
    <w:rsid w:val="0030593B"/>
    <w:rsid w:val="00307B2D"/>
    <w:rsid w:val="00310AE9"/>
    <w:rsid w:val="00312768"/>
    <w:rsid w:val="003129AF"/>
    <w:rsid w:val="00312E43"/>
    <w:rsid w:val="00313181"/>
    <w:rsid w:val="00322290"/>
    <w:rsid w:val="00327EAC"/>
    <w:rsid w:val="0033149C"/>
    <w:rsid w:val="003359A2"/>
    <w:rsid w:val="00336EA8"/>
    <w:rsid w:val="00337960"/>
    <w:rsid w:val="00340B9D"/>
    <w:rsid w:val="00342FC8"/>
    <w:rsid w:val="00347C36"/>
    <w:rsid w:val="00351191"/>
    <w:rsid w:val="00353302"/>
    <w:rsid w:val="003534CF"/>
    <w:rsid w:val="00355455"/>
    <w:rsid w:val="00355975"/>
    <w:rsid w:val="00356AED"/>
    <w:rsid w:val="00356DC3"/>
    <w:rsid w:val="00357A52"/>
    <w:rsid w:val="003604D2"/>
    <w:rsid w:val="0036108E"/>
    <w:rsid w:val="00361E4B"/>
    <w:rsid w:val="00363568"/>
    <w:rsid w:val="00363806"/>
    <w:rsid w:val="003660BB"/>
    <w:rsid w:val="00366C0A"/>
    <w:rsid w:val="00367199"/>
    <w:rsid w:val="0037183A"/>
    <w:rsid w:val="00371A51"/>
    <w:rsid w:val="003733CA"/>
    <w:rsid w:val="003738D5"/>
    <w:rsid w:val="003739EF"/>
    <w:rsid w:val="00373B10"/>
    <w:rsid w:val="00375305"/>
    <w:rsid w:val="003759CB"/>
    <w:rsid w:val="0037613B"/>
    <w:rsid w:val="00376DB3"/>
    <w:rsid w:val="003809FE"/>
    <w:rsid w:val="00381952"/>
    <w:rsid w:val="00382FF6"/>
    <w:rsid w:val="0038580B"/>
    <w:rsid w:val="003863F7"/>
    <w:rsid w:val="00386784"/>
    <w:rsid w:val="00386DFF"/>
    <w:rsid w:val="00390047"/>
    <w:rsid w:val="00392EB7"/>
    <w:rsid w:val="00396407"/>
    <w:rsid w:val="00396D6F"/>
    <w:rsid w:val="003A06F1"/>
    <w:rsid w:val="003A0FCC"/>
    <w:rsid w:val="003A19AA"/>
    <w:rsid w:val="003A2755"/>
    <w:rsid w:val="003A2CB1"/>
    <w:rsid w:val="003A4C3A"/>
    <w:rsid w:val="003A56C1"/>
    <w:rsid w:val="003A5D32"/>
    <w:rsid w:val="003A6204"/>
    <w:rsid w:val="003A7B18"/>
    <w:rsid w:val="003B30F7"/>
    <w:rsid w:val="003B3B4C"/>
    <w:rsid w:val="003B3D4B"/>
    <w:rsid w:val="003B4F4D"/>
    <w:rsid w:val="003B73A4"/>
    <w:rsid w:val="003C02AC"/>
    <w:rsid w:val="003C03C7"/>
    <w:rsid w:val="003C1B8E"/>
    <w:rsid w:val="003C1DEA"/>
    <w:rsid w:val="003C26B1"/>
    <w:rsid w:val="003C2978"/>
    <w:rsid w:val="003C33F8"/>
    <w:rsid w:val="003C3616"/>
    <w:rsid w:val="003C40C6"/>
    <w:rsid w:val="003C7115"/>
    <w:rsid w:val="003D1340"/>
    <w:rsid w:val="003D37E4"/>
    <w:rsid w:val="003D621B"/>
    <w:rsid w:val="003D682D"/>
    <w:rsid w:val="003D71DD"/>
    <w:rsid w:val="003E0A59"/>
    <w:rsid w:val="003E134C"/>
    <w:rsid w:val="003E24E9"/>
    <w:rsid w:val="003E660A"/>
    <w:rsid w:val="003E7137"/>
    <w:rsid w:val="003F10C4"/>
    <w:rsid w:val="003F5E35"/>
    <w:rsid w:val="003F672C"/>
    <w:rsid w:val="003F6F77"/>
    <w:rsid w:val="003F7345"/>
    <w:rsid w:val="00400720"/>
    <w:rsid w:val="004079D5"/>
    <w:rsid w:val="0041129E"/>
    <w:rsid w:val="00411F50"/>
    <w:rsid w:val="00413289"/>
    <w:rsid w:val="00415544"/>
    <w:rsid w:val="0041619C"/>
    <w:rsid w:val="00416776"/>
    <w:rsid w:val="00416EF1"/>
    <w:rsid w:val="0041725A"/>
    <w:rsid w:val="004241DD"/>
    <w:rsid w:val="004266D6"/>
    <w:rsid w:val="00433909"/>
    <w:rsid w:val="00434DDB"/>
    <w:rsid w:val="00436BA1"/>
    <w:rsid w:val="004379BC"/>
    <w:rsid w:val="00437A2E"/>
    <w:rsid w:val="00440C8D"/>
    <w:rsid w:val="00441B7E"/>
    <w:rsid w:val="00444E3B"/>
    <w:rsid w:val="0045052F"/>
    <w:rsid w:val="00453241"/>
    <w:rsid w:val="0045372A"/>
    <w:rsid w:val="00453F71"/>
    <w:rsid w:val="004557DE"/>
    <w:rsid w:val="00456DBE"/>
    <w:rsid w:val="00461704"/>
    <w:rsid w:val="00463ED2"/>
    <w:rsid w:val="00465024"/>
    <w:rsid w:val="00465309"/>
    <w:rsid w:val="0046707C"/>
    <w:rsid w:val="004700B0"/>
    <w:rsid w:val="0047106F"/>
    <w:rsid w:val="004721EF"/>
    <w:rsid w:val="00472F57"/>
    <w:rsid w:val="00474627"/>
    <w:rsid w:val="00475596"/>
    <w:rsid w:val="004757AD"/>
    <w:rsid w:val="0047671A"/>
    <w:rsid w:val="004772B7"/>
    <w:rsid w:val="004827DE"/>
    <w:rsid w:val="00483382"/>
    <w:rsid w:val="004843FF"/>
    <w:rsid w:val="0048640C"/>
    <w:rsid w:val="00486E0C"/>
    <w:rsid w:val="00486E2F"/>
    <w:rsid w:val="004875F3"/>
    <w:rsid w:val="004913F8"/>
    <w:rsid w:val="00491D8C"/>
    <w:rsid w:val="00491E18"/>
    <w:rsid w:val="00495BEF"/>
    <w:rsid w:val="00496A29"/>
    <w:rsid w:val="00496F2D"/>
    <w:rsid w:val="004A1168"/>
    <w:rsid w:val="004A28AA"/>
    <w:rsid w:val="004A3336"/>
    <w:rsid w:val="004A5E48"/>
    <w:rsid w:val="004A670A"/>
    <w:rsid w:val="004A675A"/>
    <w:rsid w:val="004B0756"/>
    <w:rsid w:val="004B55AA"/>
    <w:rsid w:val="004B5CFD"/>
    <w:rsid w:val="004B63B3"/>
    <w:rsid w:val="004B6A05"/>
    <w:rsid w:val="004B6DEB"/>
    <w:rsid w:val="004C0CE3"/>
    <w:rsid w:val="004C1AD7"/>
    <w:rsid w:val="004C1F56"/>
    <w:rsid w:val="004C3C73"/>
    <w:rsid w:val="004C5578"/>
    <w:rsid w:val="004C647E"/>
    <w:rsid w:val="004C7B78"/>
    <w:rsid w:val="004D1833"/>
    <w:rsid w:val="004D1B13"/>
    <w:rsid w:val="004D2A09"/>
    <w:rsid w:val="004D2A4B"/>
    <w:rsid w:val="004D43E0"/>
    <w:rsid w:val="004D48A3"/>
    <w:rsid w:val="004D7376"/>
    <w:rsid w:val="004D7CA1"/>
    <w:rsid w:val="004E0940"/>
    <w:rsid w:val="004E0B4A"/>
    <w:rsid w:val="004E19BE"/>
    <w:rsid w:val="004E3491"/>
    <w:rsid w:val="004E576E"/>
    <w:rsid w:val="004E6014"/>
    <w:rsid w:val="004E7FBA"/>
    <w:rsid w:val="004F08F2"/>
    <w:rsid w:val="004F0E67"/>
    <w:rsid w:val="004F48F6"/>
    <w:rsid w:val="004F4D50"/>
    <w:rsid w:val="004F512A"/>
    <w:rsid w:val="004F6D5B"/>
    <w:rsid w:val="004F78D4"/>
    <w:rsid w:val="004F7A28"/>
    <w:rsid w:val="0050173A"/>
    <w:rsid w:val="00501F1F"/>
    <w:rsid w:val="00501F40"/>
    <w:rsid w:val="00505450"/>
    <w:rsid w:val="00505853"/>
    <w:rsid w:val="00506BFE"/>
    <w:rsid w:val="00506E79"/>
    <w:rsid w:val="00507114"/>
    <w:rsid w:val="00510411"/>
    <w:rsid w:val="005111AA"/>
    <w:rsid w:val="005166EC"/>
    <w:rsid w:val="00520D95"/>
    <w:rsid w:val="00522A06"/>
    <w:rsid w:val="00524A03"/>
    <w:rsid w:val="00526A97"/>
    <w:rsid w:val="0052731A"/>
    <w:rsid w:val="0052788F"/>
    <w:rsid w:val="00527BD3"/>
    <w:rsid w:val="00530875"/>
    <w:rsid w:val="00530AB3"/>
    <w:rsid w:val="00530EFD"/>
    <w:rsid w:val="00531017"/>
    <w:rsid w:val="00531B28"/>
    <w:rsid w:val="00533245"/>
    <w:rsid w:val="005341E7"/>
    <w:rsid w:val="005345E5"/>
    <w:rsid w:val="0053552B"/>
    <w:rsid w:val="00535679"/>
    <w:rsid w:val="00535AE2"/>
    <w:rsid w:val="00535CF8"/>
    <w:rsid w:val="0053639C"/>
    <w:rsid w:val="005364D3"/>
    <w:rsid w:val="00536CF4"/>
    <w:rsid w:val="00537B20"/>
    <w:rsid w:val="00540784"/>
    <w:rsid w:val="0054199E"/>
    <w:rsid w:val="00546FA9"/>
    <w:rsid w:val="005543D4"/>
    <w:rsid w:val="00555907"/>
    <w:rsid w:val="0056003F"/>
    <w:rsid w:val="005614AF"/>
    <w:rsid w:val="005651FE"/>
    <w:rsid w:val="00565FFD"/>
    <w:rsid w:val="00572A2D"/>
    <w:rsid w:val="0057338C"/>
    <w:rsid w:val="0057635D"/>
    <w:rsid w:val="0057767D"/>
    <w:rsid w:val="00577D9B"/>
    <w:rsid w:val="00580839"/>
    <w:rsid w:val="0058118C"/>
    <w:rsid w:val="005835F1"/>
    <w:rsid w:val="00584987"/>
    <w:rsid w:val="00587D39"/>
    <w:rsid w:val="0059177C"/>
    <w:rsid w:val="005921FA"/>
    <w:rsid w:val="00592975"/>
    <w:rsid w:val="00592C27"/>
    <w:rsid w:val="00596D2A"/>
    <w:rsid w:val="00597E01"/>
    <w:rsid w:val="005A0F27"/>
    <w:rsid w:val="005A203B"/>
    <w:rsid w:val="005A6C36"/>
    <w:rsid w:val="005A6FBF"/>
    <w:rsid w:val="005A7B93"/>
    <w:rsid w:val="005B1213"/>
    <w:rsid w:val="005B2496"/>
    <w:rsid w:val="005B61C6"/>
    <w:rsid w:val="005B61DC"/>
    <w:rsid w:val="005B638E"/>
    <w:rsid w:val="005C1D23"/>
    <w:rsid w:val="005C39E5"/>
    <w:rsid w:val="005C4333"/>
    <w:rsid w:val="005C4D81"/>
    <w:rsid w:val="005C4FF9"/>
    <w:rsid w:val="005C6489"/>
    <w:rsid w:val="005C70CB"/>
    <w:rsid w:val="005D1836"/>
    <w:rsid w:val="005D2A23"/>
    <w:rsid w:val="005D4717"/>
    <w:rsid w:val="005D5250"/>
    <w:rsid w:val="005D600C"/>
    <w:rsid w:val="005E085E"/>
    <w:rsid w:val="005E17BE"/>
    <w:rsid w:val="005E3AD9"/>
    <w:rsid w:val="005E5152"/>
    <w:rsid w:val="005F21FB"/>
    <w:rsid w:val="005F4336"/>
    <w:rsid w:val="005F4399"/>
    <w:rsid w:val="005F4ADF"/>
    <w:rsid w:val="005F4C2E"/>
    <w:rsid w:val="005F637E"/>
    <w:rsid w:val="005F6870"/>
    <w:rsid w:val="005F6B64"/>
    <w:rsid w:val="006008D1"/>
    <w:rsid w:val="00600DD8"/>
    <w:rsid w:val="00601DCD"/>
    <w:rsid w:val="00602E64"/>
    <w:rsid w:val="00603EBA"/>
    <w:rsid w:val="0060609C"/>
    <w:rsid w:val="00607B3D"/>
    <w:rsid w:val="00607D56"/>
    <w:rsid w:val="00607F66"/>
    <w:rsid w:val="00610726"/>
    <w:rsid w:val="00611053"/>
    <w:rsid w:val="00611C56"/>
    <w:rsid w:val="0061421F"/>
    <w:rsid w:val="0061435C"/>
    <w:rsid w:val="006153B5"/>
    <w:rsid w:val="0061560F"/>
    <w:rsid w:val="00616D2D"/>
    <w:rsid w:val="00616F2D"/>
    <w:rsid w:val="0061710B"/>
    <w:rsid w:val="006210BA"/>
    <w:rsid w:val="00621C28"/>
    <w:rsid w:val="006223AC"/>
    <w:rsid w:val="006226A0"/>
    <w:rsid w:val="0062285C"/>
    <w:rsid w:val="00622C6A"/>
    <w:rsid w:val="006241E1"/>
    <w:rsid w:val="006244F0"/>
    <w:rsid w:val="00630B5C"/>
    <w:rsid w:val="0063344C"/>
    <w:rsid w:val="006367A1"/>
    <w:rsid w:val="006367A5"/>
    <w:rsid w:val="00636C7D"/>
    <w:rsid w:val="006377AD"/>
    <w:rsid w:val="00641483"/>
    <w:rsid w:val="006416EA"/>
    <w:rsid w:val="006427B9"/>
    <w:rsid w:val="006429C0"/>
    <w:rsid w:val="00643D93"/>
    <w:rsid w:val="0064430A"/>
    <w:rsid w:val="00646C58"/>
    <w:rsid w:val="006510FE"/>
    <w:rsid w:val="00653F3B"/>
    <w:rsid w:val="00654107"/>
    <w:rsid w:val="0065795E"/>
    <w:rsid w:val="00657F18"/>
    <w:rsid w:val="006630B6"/>
    <w:rsid w:val="00663A10"/>
    <w:rsid w:val="0066501F"/>
    <w:rsid w:val="00665391"/>
    <w:rsid w:val="00666C3D"/>
    <w:rsid w:val="0066728A"/>
    <w:rsid w:val="006707F5"/>
    <w:rsid w:val="00670EB4"/>
    <w:rsid w:val="00671A84"/>
    <w:rsid w:val="00671B7E"/>
    <w:rsid w:val="00671EF4"/>
    <w:rsid w:val="00671FDF"/>
    <w:rsid w:val="00676F65"/>
    <w:rsid w:val="006772BC"/>
    <w:rsid w:val="0068103C"/>
    <w:rsid w:val="00683104"/>
    <w:rsid w:val="00683214"/>
    <w:rsid w:val="0068710C"/>
    <w:rsid w:val="00687C8C"/>
    <w:rsid w:val="0069673C"/>
    <w:rsid w:val="00697778"/>
    <w:rsid w:val="006A235C"/>
    <w:rsid w:val="006A3E2C"/>
    <w:rsid w:val="006A7532"/>
    <w:rsid w:val="006B19FA"/>
    <w:rsid w:val="006B3AC8"/>
    <w:rsid w:val="006B591F"/>
    <w:rsid w:val="006B7A17"/>
    <w:rsid w:val="006C01F8"/>
    <w:rsid w:val="006C0AB2"/>
    <w:rsid w:val="006C327F"/>
    <w:rsid w:val="006C5579"/>
    <w:rsid w:val="006C5BED"/>
    <w:rsid w:val="006C62FB"/>
    <w:rsid w:val="006D0768"/>
    <w:rsid w:val="006D3E0A"/>
    <w:rsid w:val="006D521D"/>
    <w:rsid w:val="006D56FF"/>
    <w:rsid w:val="006D5784"/>
    <w:rsid w:val="006D5AB9"/>
    <w:rsid w:val="006D6883"/>
    <w:rsid w:val="006E22E5"/>
    <w:rsid w:val="006E36AF"/>
    <w:rsid w:val="006E3A29"/>
    <w:rsid w:val="006E6B5D"/>
    <w:rsid w:val="006E6E24"/>
    <w:rsid w:val="006E7AF8"/>
    <w:rsid w:val="006F094D"/>
    <w:rsid w:val="006F3827"/>
    <w:rsid w:val="006F533E"/>
    <w:rsid w:val="006F5E68"/>
    <w:rsid w:val="007001B7"/>
    <w:rsid w:val="007018E5"/>
    <w:rsid w:val="00701E17"/>
    <w:rsid w:val="00702389"/>
    <w:rsid w:val="00702BBE"/>
    <w:rsid w:val="00711368"/>
    <w:rsid w:val="007146CE"/>
    <w:rsid w:val="00722891"/>
    <w:rsid w:val="00726318"/>
    <w:rsid w:val="00726FA4"/>
    <w:rsid w:val="007275DF"/>
    <w:rsid w:val="00727B38"/>
    <w:rsid w:val="00731173"/>
    <w:rsid w:val="00731B1E"/>
    <w:rsid w:val="00731DBC"/>
    <w:rsid w:val="00733F5F"/>
    <w:rsid w:val="00734CE1"/>
    <w:rsid w:val="00737BC9"/>
    <w:rsid w:val="00742EFA"/>
    <w:rsid w:val="00750815"/>
    <w:rsid w:val="007510E8"/>
    <w:rsid w:val="00752088"/>
    <w:rsid w:val="007534DA"/>
    <w:rsid w:val="007568E8"/>
    <w:rsid w:val="00757579"/>
    <w:rsid w:val="00757F8D"/>
    <w:rsid w:val="007611B0"/>
    <w:rsid w:val="00762DE8"/>
    <w:rsid w:val="00767905"/>
    <w:rsid w:val="0077229E"/>
    <w:rsid w:val="00773002"/>
    <w:rsid w:val="00773F67"/>
    <w:rsid w:val="00775E53"/>
    <w:rsid w:val="00776774"/>
    <w:rsid w:val="007771DC"/>
    <w:rsid w:val="0078043A"/>
    <w:rsid w:val="0078092B"/>
    <w:rsid w:val="00780D78"/>
    <w:rsid w:val="00783945"/>
    <w:rsid w:val="0078398E"/>
    <w:rsid w:val="00784489"/>
    <w:rsid w:val="00784EA2"/>
    <w:rsid w:val="00786E86"/>
    <w:rsid w:val="00787A4D"/>
    <w:rsid w:val="007907C1"/>
    <w:rsid w:val="007916BF"/>
    <w:rsid w:val="0079243F"/>
    <w:rsid w:val="00793BB4"/>
    <w:rsid w:val="00794650"/>
    <w:rsid w:val="0079497A"/>
    <w:rsid w:val="007A070B"/>
    <w:rsid w:val="007A214C"/>
    <w:rsid w:val="007A339F"/>
    <w:rsid w:val="007A521D"/>
    <w:rsid w:val="007A6D45"/>
    <w:rsid w:val="007B11AD"/>
    <w:rsid w:val="007B25C1"/>
    <w:rsid w:val="007B2D3E"/>
    <w:rsid w:val="007C37B3"/>
    <w:rsid w:val="007C4D24"/>
    <w:rsid w:val="007C79C7"/>
    <w:rsid w:val="007D20F0"/>
    <w:rsid w:val="007D6B5B"/>
    <w:rsid w:val="007D731F"/>
    <w:rsid w:val="007E0DA5"/>
    <w:rsid w:val="007E303F"/>
    <w:rsid w:val="007E4B57"/>
    <w:rsid w:val="007E4D4C"/>
    <w:rsid w:val="007E5AA1"/>
    <w:rsid w:val="007E64CF"/>
    <w:rsid w:val="007E7157"/>
    <w:rsid w:val="007F000E"/>
    <w:rsid w:val="007F0ADA"/>
    <w:rsid w:val="007F2AD6"/>
    <w:rsid w:val="007F3364"/>
    <w:rsid w:val="007F5638"/>
    <w:rsid w:val="007F6D5B"/>
    <w:rsid w:val="007F79E5"/>
    <w:rsid w:val="007F7D9E"/>
    <w:rsid w:val="008028D1"/>
    <w:rsid w:val="00803961"/>
    <w:rsid w:val="00803E40"/>
    <w:rsid w:val="00805784"/>
    <w:rsid w:val="008104E7"/>
    <w:rsid w:val="00810D47"/>
    <w:rsid w:val="0081319F"/>
    <w:rsid w:val="00817EEC"/>
    <w:rsid w:val="00823998"/>
    <w:rsid w:val="0082493D"/>
    <w:rsid w:val="008266B4"/>
    <w:rsid w:val="0082767B"/>
    <w:rsid w:val="00827CA4"/>
    <w:rsid w:val="00833A92"/>
    <w:rsid w:val="0083579D"/>
    <w:rsid w:val="00835CE8"/>
    <w:rsid w:val="00836E0B"/>
    <w:rsid w:val="008379EF"/>
    <w:rsid w:val="008438B1"/>
    <w:rsid w:val="008453C7"/>
    <w:rsid w:val="008502AD"/>
    <w:rsid w:val="008508BF"/>
    <w:rsid w:val="00850D50"/>
    <w:rsid w:val="008542E2"/>
    <w:rsid w:val="00855233"/>
    <w:rsid w:val="008554C2"/>
    <w:rsid w:val="008635B1"/>
    <w:rsid w:val="00863E03"/>
    <w:rsid w:val="0086457B"/>
    <w:rsid w:val="008662C3"/>
    <w:rsid w:val="00870FB9"/>
    <w:rsid w:val="0087162E"/>
    <w:rsid w:val="00871803"/>
    <w:rsid w:val="00871DFA"/>
    <w:rsid w:val="008742BE"/>
    <w:rsid w:val="008761AF"/>
    <w:rsid w:val="00876EE0"/>
    <w:rsid w:val="0087713D"/>
    <w:rsid w:val="00877658"/>
    <w:rsid w:val="008779F6"/>
    <w:rsid w:val="008801C9"/>
    <w:rsid w:val="008803CE"/>
    <w:rsid w:val="00880BD0"/>
    <w:rsid w:val="008819C6"/>
    <w:rsid w:val="00881E61"/>
    <w:rsid w:val="00882728"/>
    <w:rsid w:val="00882AE6"/>
    <w:rsid w:val="008849D1"/>
    <w:rsid w:val="00885001"/>
    <w:rsid w:val="00886C92"/>
    <w:rsid w:val="00887150"/>
    <w:rsid w:val="00890380"/>
    <w:rsid w:val="0089043B"/>
    <w:rsid w:val="0089096E"/>
    <w:rsid w:val="00894824"/>
    <w:rsid w:val="00897B68"/>
    <w:rsid w:val="008A001B"/>
    <w:rsid w:val="008A035A"/>
    <w:rsid w:val="008A1F8B"/>
    <w:rsid w:val="008A27BD"/>
    <w:rsid w:val="008A323F"/>
    <w:rsid w:val="008A420C"/>
    <w:rsid w:val="008B1250"/>
    <w:rsid w:val="008B1A3B"/>
    <w:rsid w:val="008B3E82"/>
    <w:rsid w:val="008B4A95"/>
    <w:rsid w:val="008B590D"/>
    <w:rsid w:val="008B5E53"/>
    <w:rsid w:val="008B6314"/>
    <w:rsid w:val="008B631D"/>
    <w:rsid w:val="008B7D51"/>
    <w:rsid w:val="008C0D76"/>
    <w:rsid w:val="008C2CD2"/>
    <w:rsid w:val="008C65A6"/>
    <w:rsid w:val="008C6F4E"/>
    <w:rsid w:val="008D0856"/>
    <w:rsid w:val="008D1DB8"/>
    <w:rsid w:val="008D3995"/>
    <w:rsid w:val="008D4D15"/>
    <w:rsid w:val="008D57EC"/>
    <w:rsid w:val="008D77E3"/>
    <w:rsid w:val="008D7EA2"/>
    <w:rsid w:val="008E000C"/>
    <w:rsid w:val="008E2916"/>
    <w:rsid w:val="008E2BE4"/>
    <w:rsid w:val="008E7AA5"/>
    <w:rsid w:val="008F08A2"/>
    <w:rsid w:val="008F3448"/>
    <w:rsid w:val="008F42F1"/>
    <w:rsid w:val="008F5B05"/>
    <w:rsid w:val="008F6584"/>
    <w:rsid w:val="008F7B0F"/>
    <w:rsid w:val="009007C4"/>
    <w:rsid w:val="009027F9"/>
    <w:rsid w:val="009043EC"/>
    <w:rsid w:val="0090447E"/>
    <w:rsid w:val="0090649B"/>
    <w:rsid w:val="00910806"/>
    <w:rsid w:val="009130F3"/>
    <w:rsid w:val="00914277"/>
    <w:rsid w:val="00914A80"/>
    <w:rsid w:val="00914BB1"/>
    <w:rsid w:val="00916DCC"/>
    <w:rsid w:val="00921CC2"/>
    <w:rsid w:val="00922A04"/>
    <w:rsid w:val="00922E46"/>
    <w:rsid w:val="00923AF5"/>
    <w:rsid w:val="009240F6"/>
    <w:rsid w:val="009244A4"/>
    <w:rsid w:val="00924706"/>
    <w:rsid w:val="00927B6D"/>
    <w:rsid w:val="009301BB"/>
    <w:rsid w:val="00932319"/>
    <w:rsid w:val="00932AF6"/>
    <w:rsid w:val="00934AAA"/>
    <w:rsid w:val="00935CF7"/>
    <w:rsid w:val="00935DB6"/>
    <w:rsid w:val="00937236"/>
    <w:rsid w:val="00937EAC"/>
    <w:rsid w:val="00942236"/>
    <w:rsid w:val="0094304D"/>
    <w:rsid w:val="00943A06"/>
    <w:rsid w:val="00945230"/>
    <w:rsid w:val="009533AB"/>
    <w:rsid w:val="0096158D"/>
    <w:rsid w:val="00963C26"/>
    <w:rsid w:val="00963F33"/>
    <w:rsid w:val="0096435D"/>
    <w:rsid w:val="0096509D"/>
    <w:rsid w:val="00965B50"/>
    <w:rsid w:val="00966883"/>
    <w:rsid w:val="00966DC8"/>
    <w:rsid w:val="009670CD"/>
    <w:rsid w:val="00967D01"/>
    <w:rsid w:val="00970835"/>
    <w:rsid w:val="00971186"/>
    <w:rsid w:val="00971F48"/>
    <w:rsid w:val="009725B4"/>
    <w:rsid w:val="00976023"/>
    <w:rsid w:val="00976796"/>
    <w:rsid w:val="00980F29"/>
    <w:rsid w:val="00982714"/>
    <w:rsid w:val="0098378E"/>
    <w:rsid w:val="00984D95"/>
    <w:rsid w:val="00986EDD"/>
    <w:rsid w:val="00987A5B"/>
    <w:rsid w:val="00996D25"/>
    <w:rsid w:val="00997CFC"/>
    <w:rsid w:val="009A1AE4"/>
    <w:rsid w:val="009A2766"/>
    <w:rsid w:val="009A3A96"/>
    <w:rsid w:val="009A3D96"/>
    <w:rsid w:val="009A4A2E"/>
    <w:rsid w:val="009A4A64"/>
    <w:rsid w:val="009A62F9"/>
    <w:rsid w:val="009A781D"/>
    <w:rsid w:val="009A782F"/>
    <w:rsid w:val="009B02B4"/>
    <w:rsid w:val="009B0848"/>
    <w:rsid w:val="009B249E"/>
    <w:rsid w:val="009B4629"/>
    <w:rsid w:val="009B74B5"/>
    <w:rsid w:val="009C0017"/>
    <w:rsid w:val="009C2635"/>
    <w:rsid w:val="009C2D4B"/>
    <w:rsid w:val="009C4DAD"/>
    <w:rsid w:val="009C52AC"/>
    <w:rsid w:val="009C6CB9"/>
    <w:rsid w:val="009C7F00"/>
    <w:rsid w:val="009D04FF"/>
    <w:rsid w:val="009D0B39"/>
    <w:rsid w:val="009D1BE0"/>
    <w:rsid w:val="009D5F02"/>
    <w:rsid w:val="009D696C"/>
    <w:rsid w:val="009D6AEB"/>
    <w:rsid w:val="009D74C3"/>
    <w:rsid w:val="009E221E"/>
    <w:rsid w:val="009E239D"/>
    <w:rsid w:val="009E2A89"/>
    <w:rsid w:val="009E3681"/>
    <w:rsid w:val="009E3943"/>
    <w:rsid w:val="009E5184"/>
    <w:rsid w:val="009E58EB"/>
    <w:rsid w:val="009E7699"/>
    <w:rsid w:val="009E7E89"/>
    <w:rsid w:val="009F06D6"/>
    <w:rsid w:val="009F2449"/>
    <w:rsid w:val="009F24D4"/>
    <w:rsid w:val="009F256B"/>
    <w:rsid w:val="009F2E19"/>
    <w:rsid w:val="009F3E22"/>
    <w:rsid w:val="009F3F3E"/>
    <w:rsid w:val="009F5545"/>
    <w:rsid w:val="009F6E4F"/>
    <w:rsid w:val="00A018E5"/>
    <w:rsid w:val="00A0259A"/>
    <w:rsid w:val="00A04EB5"/>
    <w:rsid w:val="00A055DB"/>
    <w:rsid w:val="00A05CE0"/>
    <w:rsid w:val="00A063AB"/>
    <w:rsid w:val="00A0788B"/>
    <w:rsid w:val="00A07E22"/>
    <w:rsid w:val="00A10A0D"/>
    <w:rsid w:val="00A11326"/>
    <w:rsid w:val="00A138B1"/>
    <w:rsid w:val="00A13C23"/>
    <w:rsid w:val="00A16B3B"/>
    <w:rsid w:val="00A22219"/>
    <w:rsid w:val="00A22ACE"/>
    <w:rsid w:val="00A22B34"/>
    <w:rsid w:val="00A22BE9"/>
    <w:rsid w:val="00A230B9"/>
    <w:rsid w:val="00A2380E"/>
    <w:rsid w:val="00A2383F"/>
    <w:rsid w:val="00A26F6E"/>
    <w:rsid w:val="00A27ED3"/>
    <w:rsid w:val="00A327FF"/>
    <w:rsid w:val="00A33A84"/>
    <w:rsid w:val="00A36A1B"/>
    <w:rsid w:val="00A37976"/>
    <w:rsid w:val="00A40875"/>
    <w:rsid w:val="00A40EAB"/>
    <w:rsid w:val="00A40F73"/>
    <w:rsid w:val="00A41861"/>
    <w:rsid w:val="00A4538B"/>
    <w:rsid w:val="00A46865"/>
    <w:rsid w:val="00A468D0"/>
    <w:rsid w:val="00A46EF0"/>
    <w:rsid w:val="00A51610"/>
    <w:rsid w:val="00A52346"/>
    <w:rsid w:val="00A52712"/>
    <w:rsid w:val="00A52949"/>
    <w:rsid w:val="00A531CF"/>
    <w:rsid w:val="00A542C6"/>
    <w:rsid w:val="00A60064"/>
    <w:rsid w:val="00A60919"/>
    <w:rsid w:val="00A60B32"/>
    <w:rsid w:val="00A65389"/>
    <w:rsid w:val="00A675E9"/>
    <w:rsid w:val="00A67752"/>
    <w:rsid w:val="00A700ED"/>
    <w:rsid w:val="00A70DC7"/>
    <w:rsid w:val="00A721CE"/>
    <w:rsid w:val="00A7275B"/>
    <w:rsid w:val="00A72858"/>
    <w:rsid w:val="00A73454"/>
    <w:rsid w:val="00A756B2"/>
    <w:rsid w:val="00A7590A"/>
    <w:rsid w:val="00A7723C"/>
    <w:rsid w:val="00A80D1A"/>
    <w:rsid w:val="00A84FB6"/>
    <w:rsid w:val="00A85D9C"/>
    <w:rsid w:val="00A92224"/>
    <w:rsid w:val="00A92704"/>
    <w:rsid w:val="00A92FD4"/>
    <w:rsid w:val="00A9492E"/>
    <w:rsid w:val="00A94B01"/>
    <w:rsid w:val="00AA0DA7"/>
    <w:rsid w:val="00AA63FB"/>
    <w:rsid w:val="00AA6671"/>
    <w:rsid w:val="00AB0543"/>
    <w:rsid w:val="00AB090B"/>
    <w:rsid w:val="00AB0A53"/>
    <w:rsid w:val="00AB1525"/>
    <w:rsid w:val="00AB1B0C"/>
    <w:rsid w:val="00AB23E4"/>
    <w:rsid w:val="00AB254B"/>
    <w:rsid w:val="00AB32AB"/>
    <w:rsid w:val="00AB3423"/>
    <w:rsid w:val="00AB35B8"/>
    <w:rsid w:val="00AB39A4"/>
    <w:rsid w:val="00AB3B67"/>
    <w:rsid w:val="00AB4E0B"/>
    <w:rsid w:val="00AB7E9D"/>
    <w:rsid w:val="00AC1D2D"/>
    <w:rsid w:val="00AC2BDE"/>
    <w:rsid w:val="00AC2D18"/>
    <w:rsid w:val="00AC4395"/>
    <w:rsid w:val="00AC4886"/>
    <w:rsid w:val="00AC722F"/>
    <w:rsid w:val="00AC7406"/>
    <w:rsid w:val="00AC7A6E"/>
    <w:rsid w:val="00AD21EE"/>
    <w:rsid w:val="00AD22BC"/>
    <w:rsid w:val="00AD255B"/>
    <w:rsid w:val="00AD2997"/>
    <w:rsid w:val="00AD5258"/>
    <w:rsid w:val="00AE2745"/>
    <w:rsid w:val="00AE48BB"/>
    <w:rsid w:val="00AE4CFE"/>
    <w:rsid w:val="00AE54B7"/>
    <w:rsid w:val="00AE65CB"/>
    <w:rsid w:val="00AE7531"/>
    <w:rsid w:val="00AF4189"/>
    <w:rsid w:val="00AF6C46"/>
    <w:rsid w:val="00B00E6B"/>
    <w:rsid w:val="00B028D7"/>
    <w:rsid w:val="00B02AD2"/>
    <w:rsid w:val="00B03B4E"/>
    <w:rsid w:val="00B0633F"/>
    <w:rsid w:val="00B0661D"/>
    <w:rsid w:val="00B0674D"/>
    <w:rsid w:val="00B07020"/>
    <w:rsid w:val="00B0733C"/>
    <w:rsid w:val="00B1183E"/>
    <w:rsid w:val="00B119A6"/>
    <w:rsid w:val="00B129E7"/>
    <w:rsid w:val="00B1398F"/>
    <w:rsid w:val="00B13FC5"/>
    <w:rsid w:val="00B143BC"/>
    <w:rsid w:val="00B1587A"/>
    <w:rsid w:val="00B17EF8"/>
    <w:rsid w:val="00B2066D"/>
    <w:rsid w:val="00B210AC"/>
    <w:rsid w:val="00B21ED8"/>
    <w:rsid w:val="00B2322C"/>
    <w:rsid w:val="00B23F9F"/>
    <w:rsid w:val="00B258F3"/>
    <w:rsid w:val="00B26F9D"/>
    <w:rsid w:val="00B3091F"/>
    <w:rsid w:val="00B3257B"/>
    <w:rsid w:val="00B34520"/>
    <w:rsid w:val="00B349AB"/>
    <w:rsid w:val="00B34A11"/>
    <w:rsid w:val="00B36157"/>
    <w:rsid w:val="00B4074E"/>
    <w:rsid w:val="00B41640"/>
    <w:rsid w:val="00B42827"/>
    <w:rsid w:val="00B43171"/>
    <w:rsid w:val="00B44948"/>
    <w:rsid w:val="00B45A84"/>
    <w:rsid w:val="00B47708"/>
    <w:rsid w:val="00B5022B"/>
    <w:rsid w:val="00B50653"/>
    <w:rsid w:val="00B5088E"/>
    <w:rsid w:val="00B5187D"/>
    <w:rsid w:val="00B5201F"/>
    <w:rsid w:val="00B53A4F"/>
    <w:rsid w:val="00B5626E"/>
    <w:rsid w:val="00B56B76"/>
    <w:rsid w:val="00B56C24"/>
    <w:rsid w:val="00B5716D"/>
    <w:rsid w:val="00B573E3"/>
    <w:rsid w:val="00B57420"/>
    <w:rsid w:val="00B60AE1"/>
    <w:rsid w:val="00B63418"/>
    <w:rsid w:val="00B6687B"/>
    <w:rsid w:val="00B71ED0"/>
    <w:rsid w:val="00B72631"/>
    <w:rsid w:val="00B72BFD"/>
    <w:rsid w:val="00B73889"/>
    <w:rsid w:val="00B73FF9"/>
    <w:rsid w:val="00B74BA0"/>
    <w:rsid w:val="00B74E24"/>
    <w:rsid w:val="00B76CED"/>
    <w:rsid w:val="00B774C6"/>
    <w:rsid w:val="00B831CE"/>
    <w:rsid w:val="00B83EB1"/>
    <w:rsid w:val="00B8539A"/>
    <w:rsid w:val="00B85777"/>
    <w:rsid w:val="00B87CD0"/>
    <w:rsid w:val="00B90FB9"/>
    <w:rsid w:val="00B90FF0"/>
    <w:rsid w:val="00B9339B"/>
    <w:rsid w:val="00B96072"/>
    <w:rsid w:val="00B9647C"/>
    <w:rsid w:val="00B96A4F"/>
    <w:rsid w:val="00B97890"/>
    <w:rsid w:val="00BA0737"/>
    <w:rsid w:val="00BA07C6"/>
    <w:rsid w:val="00BA13C0"/>
    <w:rsid w:val="00BA3F50"/>
    <w:rsid w:val="00BA49F9"/>
    <w:rsid w:val="00BA4CE4"/>
    <w:rsid w:val="00BA5138"/>
    <w:rsid w:val="00BA700E"/>
    <w:rsid w:val="00BA70C1"/>
    <w:rsid w:val="00BB18BB"/>
    <w:rsid w:val="00BB3038"/>
    <w:rsid w:val="00BB4EA2"/>
    <w:rsid w:val="00BB59AA"/>
    <w:rsid w:val="00BB61AA"/>
    <w:rsid w:val="00BB7575"/>
    <w:rsid w:val="00BB7F6F"/>
    <w:rsid w:val="00BC018A"/>
    <w:rsid w:val="00BC12D2"/>
    <w:rsid w:val="00BC26CE"/>
    <w:rsid w:val="00BC3AC8"/>
    <w:rsid w:val="00BC3C05"/>
    <w:rsid w:val="00BC4848"/>
    <w:rsid w:val="00BC6101"/>
    <w:rsid w:val="00BC70FF"/>
    <w:rsid w:val="00BD062C"/>
    <w:rsid w:val="00BD1E86"/>
    <w:rsid w:val="00BD2514"/>
    <w:rsid w:val="00BD3576"/>
    <w:rsid w:val="00BD677D"/>
    <w:rsid w:val="00BE297E"/>
    <w:rsid w:val="00BE3B34"/>
    <w:rsid w:val="00BE488E"/>
    <w:rsid w:val="00BE48FD"/>
    <w:rsid w:val="00BE5349"/>
    <w:rsid w:val="00BE61AB"/>
    <w:rsid w:val="00BF1307"/>
    <w:rsid w:val="00BF2B9D"/>
    <w:rsid w:val="00BF707D"/>
    <w:rsid w:val="00BF7E8F"/>
    <w:rsid w:val="00C01AA1"/>
    <w:rsid w:val="00C035E3"/>
    <w:rsid w:val="00C06E19"/>
    <w:rsid w:val="00C129F4"/>
    <w:rsid w:val="00C13933"/>
    <w:rsid w:val="00C14F8C"/>
    <w:rsid w:val="00C15D10"/>
    <w:rsid w:val="00C226F0"/>
    <w:rsid w:val="00C22EFE"/>
    <w:rsid w:val="00C2355C"/>
    <w:rsid w:val="00C23AE8"/>
    <w:rsid w:val="00C24EA9"/>
    <w:rsid w:val="00C25370"/>
    <w:rsid w:val="00C256F7"/>
    <w:rsid w:val="00C27029"/>
    <w:rsid w:val="00C30CC6"/>
    <w:rsid w:val="00C33BBA"/>
    <w:rsid w:val="00C361C3"/>
    <w:rsid w:val="00C41252"/>
    <w:rsid w:val="00C42235"/>
    <w:rsid w:val="00C43DE7"/>
    <w:rsid w:val="00C44583"/>
    <w:rsid w:val="00C46DA5"/>
    <w:rsid w:val="00C47E06"/>
    <w:rsid w:val="00C508C4"/>
    <w:rsid w:val="00C50D55"/>
    <w:rsid w:val="00C5146A"/>
    <w:rsid w:val="00C51E29"/>
    <w:rsid w:val="00C54327"/>
    <w:rsid w:val="00C547E0"/>
    <w:rsid w:val="00C54CB2"/>
    <w:rsid w:val="00C557F8"/>
    <w:rsid w:val="00C55E0C"/>
    <w:rsid w:val="00C571BE"/>
    <w:rsid w:val="00C5748C"/>
    <w:rsid w:val="00C609A8"/>
    <w:rsid w:val="00C61C50"/>
    <w:rsid w:val="00C61EAD"/>
    <w:rsid w:val="00C62767"/>
    <w:rsid w:val="00C62A0B"/>
    <w:rsid w:val="00C6441C"/>
    <w:rsid w:val="00C66F2B"/>
    <w:rsid w:val="00C67F4F"/>
    <w:rsid w:val="00C73FD1"/>
    <w:rsid w:val="00C76224"/>
    <w:rsid w:val="00C7663E"/>
    <w:rsid w:val="00C81B8B"/>
    <w:rsid w:val="00C81BA7"/>
    <w:rsid w:val="00C836C6"/>
    <w:rsid w:val="00C8504B"/>
    <w:rsid w:val="00C91D89"/>
    <w:rsid w:val="00C95826"/>
    <w:rsid w:val="00CA2014"/>
    <w:rsid w:val="00CA2C07"/>
    <w:rsid w:val="00CA32D3"/>
    <w:rsid w:val="00CA3D7E"/>
    <w:rsid w:val="00CA4027"/>
    <w:rsid w:val="00CA5FFB"/>
    <w:rsid w:val="00CA63DF"/>
    <w:rsid w:val="00CA69DA"/>
    <w:rsid w:val="00CA6AD8"/>
    <w:rsid w:val="00CA72C9"/>
    <w:rsid w:val="00CA74D8"/>
    <w:rsid w:val="00CB0309"/>
    <w:rsid w:val="00CB7477"/>
    <w:rsid w:val="00CC0164"/>
    <w:rsid w:val="00CC4ADB"/>
    <w:rsid w:val="00CC4C24"/>
    <w:rsid w:val="00CC56A6"/>
    <w:rsid w:val="00CC5CA7"/>
    <w:rsid w:val="00CC643F"/>
    <w:rsid w:val="00CC6A47"/>
    <w:rsid w:val="00CC7674"/>
    <w:rsid w:val="00CD1DAD"/>
    <w:rsid w:val="00CD216A"/>
    <w:rsid w:val="00CD4953"/>
    <w:rsid w:val="00CD50ED"/>
    <w:rsid w:val="00CD68B4"/>
    <w:rsid w:val="00CE12A7"/>
    <w:rsid w:val="00CE4959"/>
    <w:rsid w:val="00CE4D62"/>
    <w:rsid w:val="00CE53EC"/>
    <w:rsid w:val="00CE59A3"/>
    <w:rsid w:val="00CE5AC6"/>
    <w:rsid w:val="00CE6002"/>
    <w:rsid w:val="00CE6F6C"/>
    <w:rsid w:val="00CF0B43"/>
    <w:rsid w:val="00CF1B8E"/>
    <w:rsid w:val="00CF378E"/>
    <w:rsid w:val="00CF43B5"/>
    <w:rsid w:val="00CF5673"/>
    <w:rsid w:val="00CF6323"/>
    <w:rsid w:val="00D010E9"/>
    <w:rsid w:val="00D01D65"/>
    <w:rsid w:val="00D03174"/>
    <w:rsid w:val="00D04083"/>
    <w:rsid w:val="00D040BF"/>
    <w:rsid w:val="00D04D57"/>
    <w:rsid w:val="00D07C5A"/>
    <w:rsid w:val="00D07EC7"/>
    <w:rsid w:val="00D103B6"/>
    <w:rsid w:val="00D10665"/>
    <w:rsid w:val="00D10D88"/>
    <w:rsid w:val="00D11EC7"/>
    <w:rsid w:val="00D132E9"/>
    <w:rsid w:val="00D133E6"/>
    <w:rsid w:val="00D1449D"/>
    <w:rsid w:val="00D205CC"/>
    <w:rsid w:val="00D22C47"/>
    <w:rsid w:val="00D23796"/>
    <w:rsid w:val="00D249C6"/>
    <w:rsid w:val="00D2639D"/>
    <w:rsid w:val="00D26EBB"/>
    <w:rsid w:val="00D27AA5"/>
    <w:rsid w:val="00D27DFD"/>
    <w:rsid w:val="00D30A92"/>
    <w:rsid w:val="00D32F68"/>
    <w:rsid w:val="00D33FA1"/>
    <w:rsid w:val="00D34A96"/>
    <w:rsid w:val="00D35466"/>
    <w:rsid w:val="00D372C2"/>
    <w:rsid w:val="00D37DDA"/>
    <w:rsid w:val="00D438AE"/>
    <w:rsid w:val="00D45EFF"/>
    <w:rsid w:val="00D474EF"/>
    <w:rsid w:val="00D47F31"/>
    <w:rsid w:val="00D517E8"/>
    <w:rsid w:val="00D5192B"/>
    <w:rsid w:val="00D53708"/>
    <w:rsid w:val="00D55758"/>
    <w:rsid w:val="00D56AA6"/>
    <w:rsid w:val="00D60058"/>
    <w:rsid w:val="00D60F1C"/>
    <w:rsid w:val="00D62706"/>
    <w:rsid w:val="00D633B2"/>
    <w:rsid w:val="00D63E8E"/>
    <w:rsid w:val="00D64933"/>
    <w:rsid w:val="00D64DA1"/>
    <w:rsid w:val="00D65F90"/>
    <w:rsid w:val="00D6631D"/>
    <w:rsid w:val="00D77B5F"/>
    <w:rsid w:val="00D81FD6"/>
    <w:rsid w:val="00D82087"/>
    <w:rsid w:val="00D822BC"/>
    <w:rsid w:val="00D84B5B"/>
    <w:rsid w:val="00D8763E"/>
    <w:rsid w:val="00D90220"/>
    <w:rsid w:val="00D953B3"/>
    <w:rsid w:val="00D966D5"/>
    <w:rsid w:val="00D97617"/>
    <w:rsid w:val="00DA01EE"/>
    <w:rsid w:val="00DA23D5"/>
    <w:rsid w:val="00DA2C0C"/>
    <w:rsid w:val="00DA3248"/>
    <w:rsid w:val="00DA3D5E"/>
    <w:rsid w:val="00DA3D70"/>
    <w:rsid w:val="00DA5E3B"/>
    <w:rsid w:val="00DA5EAD"/>
    <w:rsid w:val="00DA6638"/>
    <w:rsid w:val="00DA7796"/>
    <w:rsid w:val="00DB2170"/>
    <w:rsid w:val="00DB3A0E"/>
    <w:rsid w:val="00DB3AE8"/>
    <w:rsid w:val="00DB67B5"/>
    <w:rsid w:val="00DC1C00"/>
    <w:rsid w:val="00DC205A"/>
    <w:rsid w:val="00DC221D"/>
    <w:rsid w:val="00DC2DD2"/>
    <w:rsid w:val="00DC54A2"/>
    <w:rsid w:val="00DC6599"/>
    <w:rsid w:val="00DC67A2"/>
    <w:rsid w:val="00DC7796"/>
    <w:rsid w:val="00DC7CC6"/>
    <w:rsid w:val="00DD00BF"/>
    <w:rsid w:val="00DD46EA"/>
    <w:rsid w:val="00DD58E7"/>
    <w:rsid w:val="00DE1221"/>
    <w:rsid w:val="00DE14B6"/>
    <w:rsid w:val="00DE1D24"/>
    <w:rsid w:val="00DE2275"/>
    <w:rsid w:val="00DE248F"/>
    <w:rsid w:val="00DE4D82"/>
    <w:rsid w:val="00DE5D5A"/>
    <w:rsid w:val="00DE69A8"/>
    <w:rsid w:val="00DF2E3F"/>
    <w:rsid w:val="00DF3287"/>
    <w:rsid w:val="00DF49C8"/>
    <w:rsid w:val="00DF4C09"/>
    <w:rsid w:val="00DF6E54"/>
    <w:rsid w:val="00E01F54"/>
    <w:rsid w:val="00E03592"/>
    <w:rsid w:val="00E04222"/>
    <w:rsid w:val="00E051D4"/>
    <w:rsid w:val="00E06293"/>
    <w:rsid w:val="00E10BB7"/>
    <w:rsid w:val="00E1136D"/>
    <w:rsid w:val="00E11634"/>
    <w:rsid w:val="00E1167C"/>
    <w:rsid w:val="00E13724"/>
    <w:rsid w:val="00E14E95"/>
    <w:rsid w:val="00E1520C"/>
    <w:rsid w:val="00E155B4"/>
    <w:rsid w:val="00E1605B"/>
    <w:rsid w:val="00E178B2"/>
    <w:rsid w:val="00E17D95"/>
    <w:rsid w:val="00E231CB"/>
    <w:rsid w:val="00E23BB0"/>
    <w:rsid w:val="00E24D27"/>
    <w:rsid w:val="00E30E2E"/>
    <w:rsid w:val="00E31659"/>
    <w:rsid w:val="00E33B20"/>
    <w:rsid w:val="00E33C70"/>
    <w:rsid w:val="00E34404"/>
    <w:rsid w:val="00E344D5"/>
    <w:rsid w:val="00E3468A"/>
    <w:rsid w:val="00E36D85"/>
    <w:rsid w:val="00E40237"/>
    <w:rsid w:val="00E44B09"/>
    <w:rsid w:val="00E44ED6"/>
    <w:rsid w:val="00E46A3B"/>
    <w:rsid w:val="00E50162"/>
    <w:rsid w:val="00E512A3"/>
    <w:rsid w:val="00E51EE2"/>
    <w:rsid w:val="00E52315"/>
    <w:rsid w:val="00E5260D"/>
    <w:rsid w:val="00E544DC"/>
    <w:rsid w:val="00E5454F"/>
    <w:rsid w:val="00E552C7"/>
    <w:rsid w:val="00E57DE0"/>
    <w:rsid w:val="00E57E38"/>
    <w:rsid w:val="00E60259"/>
    <w:rsid w:val="00E62A6C"/>
    <w:rsid w:val="00E62E12"/>
    <w:rsid w:val="00E6557D"/>
    <w:rsid w:val="00E65A59"/>
    <w:rsid w:val="00E702E9"/>
    <w:rsid w:val="00E71C2D"/>
    <w:rsid w:val="00E7380F"/>
    <w:rsid w:val="00E74D34"/>
    <w:rsid w:val="00E760C1"/>
    <w:rsid w:val="00E7627E"/>
    <w:rsid w:val="00E76EBC"/>
    <w:rsid w:val="00E7796C"/>
    <w:rsid w:val="00E809A9"/>
    <w:rsid w:val="00E80C2F"/>
    <w:rsid w:val="00E80C4E"/>
    <w:rsid w:val="00E8203D"/>
    <w:rsid w:val="00E84CAA"/>
    <w:rsid w:val="00E85ACA"/>
    <w:rsid w:val="00E8608F"/>
    <w:rsid w:val="00E90E88"/>
    <w:rsid w:val="00E924A9"/>
    <w:rsid w:val="00E93132"/>
    <w:rsid w:val="00E93283"/>
    <w:rsid w:val="00E9354F"/>
    <w:rsid w:val="00E95F2C"/>
    <w:rsid w:val="00E963A2"/>
    <w:rsid w:val="00E97670"/>
    <w:rsid w:val="00EA3C23"/>
    <w:rsid w:val="00EA7626"/>
    <w:rsid w:val="00EA7A62"/>
    <w:rsid w:val="00EA7E1C"/>
    <w:rsid w:val="00EB2F06"/>
    <w:rsid w:val="00EB40F4"/>
    <w:rsid w:val="00EB5885"/>
    <w:rsid w:val="00EB5F69"/>
    <w:rsid w:val="00EB688F"/>
    <w:rsid w:val="00EB728B"/>
    <w:rsid w:val="00EB762C"/>
    <w:rsid w:val="00EC1B0B"/>
    <w:rsid w:val="00EC47EA"/>
    <w:rsid w:val="00EC49C4"/>
    <w:rsid w:val="00EC5AD7"/>
    <w:rsid w:val="00EC7645"/>
    <w:rsid w:val="00ED3028"/>
    <w:rsid w:val="00ED40F9"/>
    <w:rsid w:val="00ED4513"/>
    <w:rsid w:val="00ED4BE8"/>
    <w:rsid w:val="00ED5AC4"/>
    <w:rsid w:val="00ED75AE"/>
    <w:rsid w:val="00EE1103"/>
    <w:rsid w:val="00EE33FE"/>
    <w:rsid w:val="00EE3493"/>
    <w:rsid w:val="00EE3A31"/>
    <w:rsid w:val="00EE42AD"/>
    <w:rsid w:val="00EE4506"/>
    <w:rsid w:val="00EE58F1"/>
    <w:rsid w:val="00EE7923"/>
    <w:rsid w:val="00EF16E4"/>
    <w:rsid w:val="00EF1900"/>
    <w:rsid w:val="00EF2380"/>
    <w:rsid w:val="00EF2765"/>
    <w:rsid w:val="00EF664A"/>
    <w:rsid w:val="00EF7965"/>
    <w:rsid w:val="00F0008C"/>
    <w:rsid w:val="00F0144F"/>
    <w:rsid w:val="00F01F7A"/>
    <w:rsid w:val="00F020D5"/>
    <w:rsid w:val="00F02E2D"/>
    <w:rsid w:val="00F04714"/>
    <w:rsid w:val="00F05498"/>
    <w:rsid w:val="00F0799F"/>
    <w:rsid w:val="00F14237"/>
    <w:rsid w:val="00F14D14"/>
    <w:rsid w:val="00F16142"/>
    <w:rsid w:val="00F2058A"/>
    <w:rsid w:val="00F21B40"/>
    <w:rsid w:val="00F2302B"/>
    <w:rsid w:val="00F23605"/>
    <w:rsid w:val="00F254BA"/>
    <w:rsid w:val="00F3052A"/>
    <w:rsid w:val="00F36CCF"/>
    <w:rsid w:val="00F42008"/>
    <w:rsid w:val="00F439CE"/>
    <w:rsid w:val="00F46073"/>
    <w:rsid w:val="00F513F3"/>
    <w:rsid w:val="00F51555"/>
    <w:rsid w:val="00F52491"/>
    <w:rsid w:val="00F52E4D"/>
    <w:rsid w:val="00F54226"/>
    <w:rsid w:val="00F55421"/>
    <w:rsid w:val="00F60146"/>
    <w:rsid w:val="00F60E61"/>
    <w:rsid w:val="00F62C28"/>
    <w:rsid w:val="00F64103"/>
    <w:rsid w:val="00F646D2"/>
    <w:rsid w:val="00F65EC6"/>
    <w:rsid w:val="00F6763E"/>
    <w:rsid w:val="00F67F1B"/>
    <w:rsid w:val="00F71FA9"/>
    <w:rsid w:val="00F729A0"/>
    <w:rsid w:val="00F72D67"/>
    <w:rsid w:val="00F745A0"/>
    <w:rsid w:val="00F75A23"/>
    <w:rsid w:val="00F774C0"/>
    <w:rsid w:val="00F818C8"/>
    <w:rsid w:val="00F830A3"/>
    <w:rsid w:val="00F84999"/>
    <w:rsid w:val="00F84C08"/>
    <w:rsid w:val="00F84CE2"/>
    <w:rsid w:val="00F85580"/>
    <w:rsid w:val="00F90B10"/>
    <w:rsid w:val="00F91A43"/>
    <w:rsid w:val="00F926BF"/>
    <w:rsid w:val="00F93E07"/>
    <w:rsid w:val="00F9613C"/>
    <w:rsid w:val="00F97A8A"/>
    <w:rsid w:val="00F97C7C"/>
    <w:rsid w:val="00FA164C"/>
    <w:rsid w:val="00FA3188"/>
    <w:rsid w:val="00FA46C2"/>
    <w:rsid w:val="00FA4731"/>
    <w:rsid w:val="00FA5436"/>
    <w:rsid w:val="00FB505F"/>
    <w:rsid w:val="00FB766D"/>
    <w:rsid w:val="00FC027E"/>
    <w:rsid w:val="00FC221E"/>
    <w:rsid w:val="00FC55F5"/>
    <w:rsid w:val="00FC579F"/>
    <w:rsid w:val="00FC6685"/>
    <w:rsid w:val="00FC69A1"/>
    <w:rsid w:val="00FC6DD0"/>
    <w:rsid w:val="00FC7F84"/>
    <w:rsid w:val="00FD02D9"/>
    <w:rsid w:val="00FD521D"/>
    <w:rsid w:val="00FE31AC"/>
    <w:rsid w:val="00FE475A"/>
    <w:rsid w:val="00FE4C46"/>
    <w:rsid w:val="00FE5C8B"/>
    <w:rsid w:val="00FE7B20"/>
    <w:rsid w:val="00FF1283"/>
    <w:rsid w:val="00FF1C22"/>
    <w:rsid w:val="00FF21DE"/>
    <w:rsid w:val="00FF3A82"/>
    <w:rsid w:val="00FF3D39"/>
    <w:rsid w:val="00FF42AD"/>
    <w:rsid w:val="00FF5028"/>
    <w:rsid w:val="00FF6F71"/>
    <w:rsid w:val="3A42354A"/>
    <w:rsid w:val="45064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02DE3"/>
  <w15:chartTrackingRefBased/>
  <w15:docId w15:val="{17263F99-EA25-4EE2-A4D0-2EB422735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56AD"/>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6AD"/>
    <w:pPr>
      <w:ind w:left="720"/>
      <w:contextualSpacing/>
    </w:pPr>
    <w:rPr>
      <w:rFonts w:ascii="Times New Roman" w:hAnsi="Times New Roman"/>
      <w:sz w:val="24"/>
    </w:rPr>
  </w:style>
  <w:style w:type="paragraph" w:styleId="NoSpacing">
    <w:name w:val="No Spacing"/>
    <w:uiPriority w:val="1"/>
    <w:qFormat/>
    <w:rsid w:val="000856AD"/>
    <w:pPr>
      <w:spacing w:after="0" w:line="240" w:lineRule="auto"/>
    </w:pPr>
    <w:rPr>
      <w:rFonts w:ascii="Calibri" w:eastAsia="Calibri" w:hAnsi="Calibri" w:cs="Times New Roman"/>
    </w:rPr>
  </w:style>
  <w:style w:type="paragraph" w:styleId="NormalWeb">
    <w:name w:val="Normal (Web)"/>
    <w:basedOn w:val="Normal"/>
    <w:link w:val="NormalWebChar"/>
    <w:uiPriority w:val="99"/>
    <w:rsid w:val="000856AD"/>
    <w:pPr>
      <w:spacing w:before="100" w:beforeAutospacing="1" w:after="100" w:afterAutospacing="1" w:line="240" w:lineRule="auto"/>
      <w:jc w:val="both"/>
    </w:pPr>
    <w:rPr>
      <w:rFonts w:ascii="Arial" w:eastAsia="Times New Roman" w:hAnsi="Arial"/>
      <w:sz w:val="24"/>
      <w:szCs w:val="24"/>
    </w:rPr>
  </w:style>
  <w:style w:type="character" w:customStyle="1" w:styleId="NormalWebChar">
    <w:name w:val="Normal (Web) Char"/>
    <w:link w:val="NormalWeb"/>
    <w:uiPriority w:val="99"/>
    <w:rsid w:val="000856AD"/>
    <w:rPr>
      <w:rFonts w:ascii="Arial" w:eastAsia="Times New Roman" w:hAnsi="Arial" w:cs="Times New Roman"/>
      <w:sz w:val="24"/>
      <w:szCs w:val="24"/>
    </w:rPr>
  </w:style>
  <w:style w:type="character" w:styleId="Hyperlink">
    <w:name w:val="Hyperlink"/>
    <w:basedOn w:val="DefaultParagraphFont"/>
    <w:uiPriority w:val="99"/>
    <w:unhideWhenUsed/>
    <w:rsid w:val="000856AD"/>
    <w:rPr>
      <w:color w:val="0563C1" w:themeColor="hyperlink"/>
      <w:u w:val="single"/>
    </w:rPr>
  </w:style>
  <w:style w:type="character" w:styleId="CommentReference">
    <w:name w:val="annotation reference"/>
    <w:basedOn w:val="DefaultParagraphFont"/>
    <w:uiPriority w:val="99"/>
    <w:semiHidden/>
    <w:unhideWhenUsed/>
    <w:rsid w:val="006E7AF8"/>
    <w:rPr>
      <w:sz w:val="16"/>
      <w:szCs w:val="16"/>
    </w:rPr>
  </w:style>
  <w:style w:type="paragraph" w:styleId="CommentText">
    <w:name w:val="annotation text"/>
    <w:basedOn w:val="Normal"/>
    <w:link w:val="CommentTextChar"/>
    <w:uiPriority w:val="99"/>
    <w:semiHidden/>
    <w:unhideWhenUsed/>
    <w:rsid w:val="006E7AF8"/>
    <w:pPr>
      <w:spacing w:line="240" w:lineRule="auto"/>
    </w:pPr>
    <w:rPr>
      <w:sz w:val="20"/>
      <w:szCs w:val="20"/>
    </w:rPr>
  </w:style>
  <w:style w:type="character" w:customStyle="1" w:styleId="CommentTextChar">
    <w:name w:val="Comment Text Char"/>
    <w:basedOn w:val="DefaultParagraphFont"/>
    <w:link w:val="CommentText"/>
    <w:uiPriority w:val="99"/>
    <w:semiHidden/>
    <w:rsid w:val="006E7AF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6E7AF8"/>
    <w:rPr>
      <w:b/>
      <w:bCs/>
    </w:rPr>
  </w:style>
  <w:style w:type="character" w:customStyle="1" w:styleId="CommentSubjectChar">
    <w:name w:val="Comment Subject Char"/>
    <w:basedOn w:val="CommentTextChar"/>
    <w:link w:val="CommentSubject"/>
    <w:uiPriority w:val="99"/>
    <w:semiHidden/>
    <w:rsid w:val="006E7AF8"/>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6E7A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AF8"/>
    <w:rPr>
      <w:rFonts w:ascii="Segoe UI" w:eastAsia="Calibri" w:hAnsi="Segoe UI" w:cs="Segoe UI"/>
      <w:sz w:val="18"/>
      <w:szCs w:val="18"/>
    </w:rPr>
  </w:style>
  <w:style w:type="paragraph" w:styleId="ListBullet">
    <w:name w:val="List Bullet"/>
    <w:basedOn w:val="Normal"/>
    <w:uiPriority w:val="99"/>
    <w:unhideWhenUsed/>
    <w:rsid w:val="007611B0"/>
    <w:pPr>
      <w:numPr>
        <w:numId w:val="8"/>
      </w:numPr>
      <w:contextualSpacing/>
    </w:pPr>
  </w:style>
  <w:style w:type="character" w:customStyle="1" w:styleId="Mention1">
    <w:name w:val="Mention1"/>
    <w:basedOn w:val="DefaultParagraphFont"/>
    <w:uiPriority w:val="99"/>
    <w:semiHidden/>
    <w:unhideWhenUsed/>
    <w:rsid w:val="0018107D"/>
    <w:rPr>
      <w:color w:val="2B579A"/>
      <w:shd w:val="clear" w:color="auto" w:fill="E6E6E6"/>
    </w:rPr>
  </w:style>
  <w:style w:type="character" w:styleId="FollowedHyperlink">
    <w:name w:val="FollowedHyperlink"/>
    <w:basedOn w:val="DefaultParagraphFont"/>
    <w:uiPriority w:val="99"/>
    <w:semiHidden/>
    <w:unhideWhenUsed/>
    <w:rsid w:val="003129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35472">
      <w:bodyDiv w:val="1"/>
      <w:marLeft w:val="0"/>
      <w:marRight w:val="0"/>
      <w:marTop w:val="0"/>
      <w:marBottom w:val="0"/>
      <w:divBdr>
        <w:top w:val="none" w:sz="0" w:space="0" w:color="auto"/>
        <w:left w:val="none" w:sz="0" w:space="0" w:color="auto"/>
        <w:bottom w:val="none" w:sz="0" w:space="0" w:color="auto"/>
        <w:right w:val="none" w:sz="0" w:space="0" w:color="auto"/>
      </w:divBdr>
    </w:div>
    <w:div w:id="251941204">
      <w:bodyDiv w:val="1"/>
      <w:marLeft w:val="0"/>
      <w:marRight w:val="0"/>
      <w:marTop w:val="0"/>
      <w:marBottom w:val="0"/>
      <w:divBdr>
        <w:top w:val="none" w:sz="0" w:space="0" w:color="auto"/>
        <w:left w:val="none" w:sz="0" w:space="0" w:color="auto"/>
        <w:bottom w:val="none" w:sz="0" w:space="0" w:color="auto"/>
        <w:right w:val="none" w:sz="0" w:space="0" w:color="auto"/>
      </w:divBdr>
    </w:div>
    <w:div w:id="270091263">
      <w:bodyDiv w:val="1"/>
      <w:marLeft w:val="0"/>
      <w:marRight w:val="0"/>
      <w:marTop w:val="0"/>
      <w:marBottom w:val="0"/>
      <w:divBdr>
        <w:top w:val="none" w:sz="0" w:space="0" w:color="auto"/>
        <w:left w:val="none" w:sz="0" w:space="0" w:color="auto"/>
        <w:bottom w:val="none" w:sz="0" w:space="0" w:color="auto"/>
        <w:right w:val="none" w:sz="0" w:space="0" w:color="auto"/>
      </w:divBdr>
    </w:div>
    <w:div w:id="271868095">
      <w:bodyDiv w:val="1"/>
      <w:marLeft w:val="0"/>
      <w:marRight w:val="0"/>
      <w:marTop w:val="0"/>
      <w:marBottom w:val="0"/>
      <w:divBdr>
        <w:top w:val="none" w:sz="0" w:space="0" w:color="auto"/>
        <w:left w:val="none" w:sz="0" w:space="0" w:color="auto"/>
        <w:bottom w:val="none" w:sz="0" w:space="0" w:color="auto"/>
        <w:right w:val="none" w:sz="0" w:space="0" w:color="auto"/>
      </w:divBdr>
    </w:div>
    <w:div w:id="321354255">
      <w:bodyDiv w:val="1"/>
      <w:marLeft w:val="0"/>
      <w:marRight w:val="0"/>
      <w:marTop w:val="0"/>
      <w:marBottom w:val="0"/>
      <w:divBdr>
        <w:top w:val="none" w:sz="0" w:space="0" w:color="auto"/>
        <w:left w:val="none" w:sz="0" w:space="0" w:color="auto"/>
        <w:bottom w:val="none" w:sz="0" w:space="0" w:color="auto"/>
        <w:right w:val="none" w:sz="0" w:space="0" w:color="auto"/>
      </w:divBdr>
    </w:div>
    <w:div w:id="334385923">
      <w:bodyDiv w:val="1"/>
      <w:marLeft w:val="0"/>
      <w:marRight w:val="0"/>
      <w:marTop w:val="0"/>
      <w:marBottom w:val="0"/>
      <w:divBdr>
        <w:top w:val="none" w:sz="0" w:space="0" w:color="auto"/>
        <w:left w:val="none" w:sz="0" w:space="0" w:color="auto"/>
        <w:bottom w:val="none" w:sz="0" w:space="0" w:color="auto"/>
        <w:right w:val="none" w:sz="0" w:space="0" w:color="auto"/>
      </w:divBdr>
    </w:div>
    <w:div w:id="342320208">
      <w:bodyDiv w:val="1"/>
      <w:marLeft w:val="0"/>
      <w:marRight w:val="0"/>
      <w:marTop w:val="0"/>
      <w:marBottom w:val="0"/>
      <w:divBdr>
        <w:top w:val="none" w:sz="0" w:space="0" w:color="auto"/>
        <w:left w:val="none" w:sz="0" w:space="0" w:color="auto"/>
        <w:bottom w:val="none" w:sz="0" w:space="0" w:color="auto"/>
        <w:right w:val="none" w:sz="0" w:space="0" w:color="auto"/>
      </w:divBdr>
    </w:div>
    <w:div w:id="416295485">
      <w:bodyDiv w:val="1"/>
      <w:marLeft w:val="0"/>
      <w:marRight w:val="0"/>
      <w:marTop w:val="0"/>
      <w:marBottom w:val="0"/>
      <w:divBdr>
        <w:top w:val="none" w:sz="0" w:space="0" w:color="auto"/>
        <w:left w:val="none" w:sz="0" w:space="0" w:color="auto"/>
        <w:bottom w:val="none" w:sz="0" w:space="0" w:color="auto"/>
        <w:right w:val="none" w:sz="0" w:space="0" w:color="auto"/>
      </w:divBdr>
    </w:div>
    <w:div w:id="459883835">
      <w:bodyDiv w:val="1"/>
      <w:marLeft w:val="0"/>
      <w:marRight w:val="0"/>
      <w:marTop w:val="0"/>
      <w:marBottom w:val="0"/>
      <w:divBdr>
        <w:top w:val="none" w:sz="0" w:space="0" w:color="auto"/>
        <w:left w:val="none" w:sz="0" w:space="0" w:color="auto"/>
        <w:bottom w:val="none" w:sz="0" w:space="0" w:color="auto"/>
        <w:right w:val="none" w:sz="0" w:space="0" w:color="auto"/>
      </w:divBdr>
    </w:div>
    <w:div w:id="539631793">
      <w:bodyDiv w:val="1"/>
      <w:marLeft w:val="0"/>
      <w:marRight w:val="0"/>
      <w:marTop w:val="0"/>
      <w:marBottom w:val="0"/>
      <w:divBdr>
        <w:top w:val="none" w:sz="0" w:space="0" w:color="auto"/>
        <w:left w:val="none" w:sz="0" w:space="0" w:color="auto"/>
        <w:bottom w:val="none" w:sz="0" w:space="0" w:color="auto"/>
        <w:right w:val="none" w:sz="0" w:space="0" w:color="auto"/>
      </w:divBdr>
    </w:div>
    <w:div w:id="611789674">
      <w:bodyDiv w:val="1"/>
      <w:marLeft w:val="0"/>
      <w:marRight w:val="0"/>
      <w:marTop w:val="0"/>
      <w:marBottom w:val="0"/>
      <w:divBdr>
        <w:top w:val="none" w:sz="0" w:space="0" w:color="auto"/>
        <w:left w:val="none" w:sz="0" w:space="0" w:color="auto"/>
        <w:bottom w:val="none" w:sz="0" w:space="0" w:color="auto"/>
        <w:right w:val="none" w:sz="0" w:space="0" w:color="auto"/>
      </w:divBdr>
    </w:div>
    <w:div w:id="629240533">
      <w:bodyDiv w:val="1"/>
      <w:marLeft w:val="0"/>
      <w:marRight w:val="0"/>
      <w:marTop w:val="0"/>
      <w:marBottom w:val="0"/>
      <w:divBdr>
        <w:top w:val="none" w:sz="0" w:space="0" w:color="auto"/>
        <w:left w:val="none" w:sz="0" w:space="0" w:color="auto"/>
        <w:bottom w:val="none" w:sz="0" w:space="0" w:color="auto"/>
        <w:right w:val="none" w:sz="0" w:space="0" w:color="auto"/>
      </w:divBdr>
      <w:divsChild>
        <w:div w:id="161237869">
          <w:marLeft w:val="446"/>
          <w:marRight w:val="0"/>
          <w:marTop w:val="122"/>
          <w:marBottom w:val="0"/>
          <w:divBdr>
            <w:top w:val="none" w:sz="0" w:space="0" w:color="auto"/>
            <w:left w:val="none" w:sz="0" w:space="0" w:color="auto"/>
            <w:bottom w:val="none" w:sz="0" w:space="0" w:color="auto"/>
            <w:right w:val="none" w:sz="0" w:space="0" w:color="auto"/>
          </w:divBdr>
        </w:div>
      </w:divsChild>
    </w:div>
    <w:div w:id="748042431">
      <w:bodyDiv w:val="1"/>
      <w:marLeft w:val="0"/>
      <w:marRight w:val="0"/>
      <w:marTop w:val="0"/>
      <w:marBottom w:val="0"/>
      <w:divBdr>
        <w:top w:val="none" w:sz="0" w:space="0" w:color="auto"/>
        <w:left w:val="none" w:sz="0" w:space="0" w:color="auto"/>
        <w:bottom w:val="none" w:sz="0" w:space="0" w:color="auto"/>
        <w:right w:val="none" w:sz="0" w:space="0" w:color="auto"/>
      </w:divBdr>
    </w:div>
    <w:div w:id="868950669">
      <w:bodyDiv w:val="1"/>
      <w:marLeft w:val="0"/>
      <w:marRight w:val="0"/>
      <w:marTop w:val="0"/>
      <w:marBottom w:val="0"/>
      <w:divBdr>
        <w:top w:val="none" w:sz="0" w:space="0" w:color="auto"/>
        <w:left w:val="none" w:sz="0" w:space="0" w:color="auto"/>
        <w:bottom w:val="none" w:sz="0" w:space="0" w:color="auto"/>
        <w:right w:val="none" w:sz="0" w:space="0" w:color="auto"/>
      </w:divBdr>
    </w:div>
    <w:div w:id="924996772">
      <w:bodyDiv w:val="1"/>
      <w:marLeft w:val="0"/>
      <w:marRight w:val="0"/>
      <w:marTop w:val="0"/>
      <w:marBottom w:val="0"/>
      <w:divBdr>
        <w:top w:val="none" w:sz="0" w:space="0" w:color="auto"/>
        <w:left w:val="none" w:sz="0" w:space="0" w:color="auto"/>
        <w:bottom w:val="none" w:sz="0" w:space="0" w:color="auto"/>
        <w:right w:val="none" w:sz="0" w:space="0" w:color="auto"/>
      </w:divBdr>
    </w:div>
    <w:div w:id="970329996">
      <w:bodyDiv w:val="1"/>
      <w:marLeft w:val="0"/>
      <w:marRight w:val="0"/>
      <w:marTop w:val="0"/>
      <w:marBottom w:val="0"/>
      <w:divBdr>
        <w:top w:val="none" w:sz="0" w:space="0" w:color="auto"/>
        <w:left w:val="none" w:sz="0" w:space="0" w:color="auto"/>
        <w:bottom w:val="none" w:sz="0" w:space="0" w:color="auto"/>
        <w:right w:val="none" w:sz="0" w:space="0" w:color="auto"/>
      </w:divBdr>
      <w:divsChild>
        <w:div w:id="1650592190">
          <w:marLeft w:val="446"/>
          <w:marRight w:val="0"/>
          <w:marTop w:val="120"/>
          <w:marBottom w:val="0"/>
          <w:divBdr>
            <w:top w:val="none" w:sz="0" w:space="0" w:color="auto"/>
            <w:left w:val="none" w:sz="0" w:space="0" w:color="auto"/>
            <w:bottom w:val="none" w:sz="0" w:space="0" w:color="auto"/>
            <w:right w:val="none" w:sz="0" w:space="0" w:color="auto"/>
          </w:divBdr>
        </w:div>
      </w:divsChild>
    </w:div>
    <w:div w:id="1009137465">
      <w:bodyDiv w:val="1"/>
      <w:marLeft w:val="0"/>
      <w:marRight w:val="0"/>
      <w:marTop w:val="0"/>
      <w:marBottom w:val="0"/>
      <w:divBdr>
        <w:top w:val="none" w:sz="0" w:space="0" w:color="auto"/>
        <w:left w:val="none" w:sz="0" w:space="0" w:color="auto"/>
        <w:bottom w:val="none" w:sz="0" w:space="0" w:color="auto"/>
        <w:right w:val="none" w:sz="0" w:space="0" w:color="auto"/>
      </w:divBdr>
    </w:div>
    <w:div w:id="1157765857">
      <w:bodyDiv w:val="1"/>
      <w:marLeft w:val="0"/>
      <w:marRight w:val="0"/>
      <w:marTop w:val="0"/>
      <w:marBottom w:val="0"/>
      <w:divBdr>
        <w:top w:val="none" w:sz="0" w:space="0" w:color="auto"/>
        <w:left w:val="none" w:sz="0" w:space="0" w:color="auto"/>
        <w:bottom w:val="none" w:sz="0" w:space="0" w:color="auto"/>
        <w:right w:val="none" w:sz="0" w:space="0" w:color="auto"/>
      </w:divBdr>
    </w:div>
    <w:div w:id="1167595703">
      <w:bodyDiv w:val="1"/>
      <w:marLeft w:val="0"/>
      <w:marRight w:val="0"/>
      <w:marTop w:val="0"/>
      <w:marBottom w:val="0"/>
      <w:divBdr>
        <w:top w:val="none" w:sz="0" w:space="0" w:color="auto"/>
        <w:left w:val="none" w:sz="0" w:space="0" w:color="auto"/>
        <w:bottom w:val="none" w:sz="0" w:space="0" w:color="auto"/>
        <w:right w:val="none" w:sz="0" w:space="0" w:color="auto"/>
      </w:divBdr>
    </w:div>
    <w:div w:id="1345202382">
      <w:bodyDiv w:val="1"/>
      <w:marLeft w:val="0"/>
      <w:marRight w:val="0"/>
      <w:marTop w:val="0"/>
      <w:marBottom w:val="0"/>
      <w:divBdr>
        <w:top w:val="none" w:sz="0" w:space="0" w:color="auto"/>
        <w:left w:val="none" w:sz="0" w:space="0" w:color="auto"/>
        <w:bottom w:val="none" w:sz="0" w:space="0" w:color="auto"/>
        <w:right w:val="none" w:sz="0" w:space="0" w:color="auto"/>
      </w:divBdr>
    </w:div>
    <w:div w:id="1421757827">
      <w:bodyDiv w:val="1"/>
      <w:marLeft w:val="0"/>
      <w:marRight w:val="0"/>
      <w:marTop w:val="0"/>
      <w:marBottom w:val="0"/>
      <w:divBdr>
        <w:top w:val="none" w:sz="0" w:space="0" w:color="auto"/>
        <w:left w:val="none" w:sz="0" w:space="0" w:color="auto"/>
        <w:bottom w:val="none" w:sz="0" w:space="0" w:color="auto"/>
        <w:right w:val="none" w:sz="0" w:space="0" w:color="auto"/>
      </w:divBdr>
    </w:div>
    <w:div w:id="1541673441">
      <w:bodyDiv w:val="1"/>
      <w:marLeft w:val="0"/>
      <w:marRight w:val="0"/>
      <w:marTop w:val="0"/>
      <w:marBottom w:val="0"/>
      <w:divBdr>
        <w:top w:val="none" w:sz="0" w:space="0" w:color="auto"/>
        <w:left w:val="none" w:sz="0" w:space="0" w:color="auto"/>
        <w:bottom w:val="none" w:sz="0" w:space="0" w:color="auto"/>
        <w:right w:val="none" w:sz="0" w:space="0" w:color="auto"/>
      </w:divBdr>
    </w:div>
    <w:div w:id="1579828471">
      <w:bodyDiv w:val="1"/>
      <w:marLeft w:val="0"/>
      <w:marRight w:val="0"/>
      <w:marTop w:val="0"/>
      <w:marBottom w:val="0"/>
      <w:divBdr>
        <w:top w:val="none" w:sz="0" w:space="0" w:color="auto"/>
        <w:left w:val="none" w:sz="0" w:space="0" w:color="auto"/>
        <w:bottom w:val="none" w:sz="0" w:space="0" w:color="auto"/>
        <w:right w:val="none" w:sz="0" w:space="0" w:color="auto"/>
      </w:divBdr>
    </w:div>
    <w:div w:id="1642226048">
      <w:bodyDiv w:val="1"/>
      <w:marLeft w:val="0"/>
      <w:marRight w:val="0"/>
      <w:marTop w:val="0"/>
      <w:marBottom w:val="0"/>
      <w:divBdr>
        <w:top w:val="none" w:sz="0" w:space="0" w:color="auto"/>
        <w:left w:val="none" w:sz="0" w:space="0" w:color="auto"/>
        <w:bottom w:val="none" w:sz="0" w:space="0" w:color="auto"/>
        <w:right w:val="none" w:sz="0" w:space="0" w:color="auto"/>
      </w:divBdr>
    </w:div>
    <w:div w:id="1653440068">
      <w:bodyDiv w:val="1"/>
      <w:marLeft w:val="0"/>
      <w:marRight w:val="0"/>
      <w:marTop w:val="0"/>
      <w:marBottom w:val="0"/>
      <w:divBdr>
        <w:top w:val="none" w:sz="0" w:space="0" w:color="auto"/>
        <w:left w:val="none" w:sz="0" w:space="0" w:color="auto"/>
        <w:bottom w:val="none" w:sz="0" w:space="0" w:color="auto"/>
        <w:right w:val="none" w:sz="0" w:space="0" w:color="auto"/>
      </w:divBdr>
    </w:div>
    <w:div w:id="1713963480">
      <w:bodyDiv w:val="1"/>
      <w:marLeft w:val="0"/>
      <w:marRight w:val="0"/>
      <w:marTop w:val="0"/>
      <w:marBottom w:val="0"/>
      <w:divBdr>
        <w:top w:val="none" w:sz="0" w:space="0" w:color="auto"/>
        <w:left w:val="none" w:sz="0" w:space="0" w:color="auto"/>
        <w:bottom w:val="none" w:sz="0" w:space="0" w:color="auto"/>
        <w:right w:val="none" w:sz="0" w:space="0" w:color="auto"/>
      </w:divBdr>
    </w:div>
    <w:div w:id="1722634517">
      <w:bodyDiv w:val="1"/>
      <w:marLeft w:val="0"/>
      <w:marRight w:val="0"/>
      <w:marTop w:val="0"/>
      <w:marBottom w:val="0"/>
      <w:divBdr>
        <w:top w:val="none" w:sz="0" w:space="0" w:color="auto"/>
        <w:left w:val="none" w:sz="0" w:space="0" w:color="auto"/>
        <w:bottom w:val="none" w:sz="0" w:space="0" w:color="auto"/>
        <w:right w:val="none" w:sz="0" w:space="0" w:color="auto"/>
      </w:divBdr>
      <w:divsChild>
        <w:div w:id="1642615503">
          <w:marLeft w:val="446"/>
          <w:marRight w:val="0"/>
          <w:marTop w:val="120"/>
          <w:marBottom w:val="0"/>
          <w:divBdr>
            <w:top w:val="none" w:sz="0" w:space="0" w:color="auto"/>
            <w:left w:val="none" w:sz="0" w:space="0" w:color="auto"/>
            <w:bottom w:val="none" w:sz="0" w:space="0" w:color="auto"/>
            <w:right w:val="none" w:sz="0" w:space="0" w:color="auto"/>
          </w:divBdr>
        </w:div>
      </w:divsChild>
    </w:div>
    <w:div w:id="1787315115">
      <w:bodyDiv w:val="1"/>
      <w:marLeft w:val="0"/>
      <w:marRight w:val="0"/>
      <w:marTop w:val="0"/>
      <w:marBottom w:val="0"/>
      <w:divBdr>
        <w:top w:val="none" w:sz="0" w:space="0" w:color="auto"/>
        <w:left w:val="none" w:sz="0" w:space="0" w:color="auto"/>
        <w:bottom w:val="none" w:sz="0" w:space="0" w:color="auto"/>
        <w:right w:val="none" w:sz="0" w:space="0" w:color="auto"/>
      </w:divBdr>
    </w:div>
    <w:div w:id="1843398397">
      <w:bodyDiv w:val="1"/>
      <w:marLeft w:val="0"/>
      <w:marRight w:val="0"/>
      <w:marTop w:val="0"/>
      <w:marBottom w:val="0"/>
      <w:divBdr>
        <w:top w:val="none" w:sz="0" w:space="0" w:color="auto"/>
        <w:left w:val="none" w:sz="0" w:space="0" w:color="auto"/>
        <w:bottom w:val="none" w:sz="0" w:space="0" w:color="auto"/>
        <w:right w:val="none" w:sz="0" w:space="0" w:color="auto"/>
      </w:divBdr>
    </w:div>
    <w:div w:id="1928340485">
      <w:bodyDiv w:val="1"/>
      <w:marLeft w:val="0"/>
      <w:marRight w:val="0"/>
      <w:marTop w:val="0"/>
      <w:marBottom w:val="0"/>
      <w:divBdr>
        <w:top w:val="none" w:sz="0" w:space="0" w:color="auto"/>
        <w:left w:val="none" w:sz="0" w:space="0" w:color="auto"/>
        <w:bottom w:val="none" w:sz="0" w:space="0" w:color="auto"/>
        <w:right w:val="none" w:sz="0" w:space="0" w:color="auto"/>
      </w:divBdr>
    </w:div>
    <w:div w:id="1938519144">
      <w:bodyDiv w:val="1"/>
      <w:marLeft w:val="0"/>
      <w:marRight w:val="0"/>
      <w:marTop w:val="0"/>
      <w:marBottom w:val="0"/>
      <w:divBdr>
        <w:top w:val="none" w:sz="0" w:space="0" w:color="auto"/>
        <w:left w:val="none" w:sz="0" w:space="0" w:color="auto"/>
        <w:bottom w:val="none" w:sz="0" w:space="0" w:color="auto"/>
        <w:right w:val="none" w:sz="0" w:space="0" w:color="auto"/>
      </w:divBdr>
    </w:div>
    <w:div w:id="1938521172">
      <w:bodyDiv w:val="1"/>
      <w:marLeft w:val="0"/>
      <w:marRight w:val="0"/>
      <w:marTop w:val="0"/>
      <w:marBottom w:val="0"/>
      <w:divBdr>
        <w:top w:val="none" w:sz="0" w:space="0" w:color="auto"/>
        <w:left w:val="none" w:sz="0" w:space="0" w:color="auto"/>
        <w:bottom w:val="none" w:sz="0" w:space="0" w:color="auto"/>
        <w:right w:val="none" w:sz="0" w:space="0" w:color="auto"/>
      </w:divBdr>
    </w:div>
    <w:div w:id="2101095842">
      <w:bodyDiv w:val="1"/>
      <w:marLeft w:val="0"/>
      <w:marRight w:val="0"/>
      <w:marTop w:val="0"/>
      <w:marBottom w:val="0"/>
      <w:divBdr>
        <w:top w:val="none" w:sz="0" w:space="0" w:color="auto"/>
        <w:left w:val="none" w:sz="0" w:space="0" w:color="auto"/>
        <w:bottom w:val="none" w:sz="0" w:space="0" w:color="auto"/>
        <w:right w:val="none" w:sz="0" w:space="0" w:color="auto"/>
      </w:divBdr>
    </w:div>
    <w:div w:id="210738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icrosoft.com/en-us/investor"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microsoft.com/new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rt@we-worldwide.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www.microsoft.com/en-us/investor" TargetMode="External"/><Relationship Id="rId4" Type="http://schemas.openxmlformats.org/officeDocument/2006/relationships/customXml" Target="../customXml/item4.xml"/><Relationship Id="rId9" Type="http://schemas.openxmlformats.org/officeDocument/2006/relationships/hyperlink" Target="http://www.microsoft.com/en-us/investo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4A522D-392F-4932-9B26-8F3088DB2B4F}">
  <we:reference id="a2f81ef3-861e-433c-aa96-b14683d186de" version="1.0.0.0" store="EXCatalog" storeType="EXCatalog"/>
  <we:alternateReferences/>
  <we:properties>
    <we:property name="HighLightPoint"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473b0e9bba1494e973f11b3aeff246c xmlns="27edee5f-94e3-4077-b4ce-20f56c0ba83d">
      <Terms xmlns="http://schemas.microsoft.com/office/infopath/2007/PartnerControls"/>
    </n473b0e9bba1494e973f11b3aeff246c>
    <fe47e074c1434d4aadeadff4e1712687 xmlns="27edee5f-94e3-4077-b4ce-20f56c0ba83d">
      <Terms xmlns="http://schemas.microsoft.com/office/infopath/2007/PartnerControls"/>
    </fe47e074c1434d4aadeadff4e1712687>
    <TaxCatchAll xmlns="230e9df3-be65-4c73-a93b-d1236ebd677e"/>
    <eff3ae4720aa4110b0794bc7b101c94d xmlns="27edee5f-94e3-4077-b4ce-20f56c0ba83d">
      <Terms xmlns="http://schemas.microsoft.com/office/infopath/2007/PartnerControls"/>
    </eff3ae4720aa4110b0794bc7b101c94d>
    <_dlc_DocId xmlns="230e9df3-be65-4c73-a93b-d1236ebd677e">MSFIN-328430140-13</_dlc_DocId>
    <_dlc_DocIdUrl xmlns="230e9df3-be65-4c73-a93b-d1236ebd677e">
      <Url>https://microsoft.sharepoint.com/teams/EarningsRelease/FY18Q1/_layouts/15/DocIdRedir.aspx?ID=MSFIN-328430140-13</Url>
      <Description>MSFIN-328430140-13</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ER Document Library" ma:contentTypeID="0x0101002DEF51921D697F4DB2B582A6545F0CB300F0893E85497EDA4890B5DD4A30D3129D" ma:contentTypeVersion="14" ma:contentTypeDescription="Document Library with additional metadata fields for Earning Release Process:  Deliverable Type, Milestone, ER Subject" ma:contentTypeScope="" ma:versionID="296d0bc0e86863c55c2ae40609205807">
  <xsd:schema xmlns:xsd="http://www.w3.org/2001/XMLSchema" xmlns:xs="http://www.w3.org/2001/XMLSchema" xmlns:p="http://schemas.microsoft.com/office/2006/metadata/properties" xmlns:ns2="27edee5f-94e3-4077-b4ce-20f56c0ba83d" xmlns:ns3="230e9df3-be65-4c73-a93b-d1236ebd677e" xmlns:ns4="cc27ce26-10f9-4366-8651-a9725df189dc" targetNamespace="http://schemas.microsoft.com/office/2006/metadata/properties" ma:root="true" ma:fieldsID="27eef706cb219a6988004760fd7b7065" ns2:_="" ns3:_="" ns4:_="">
    <xsd:import namespace="27edee5f-94e3-4077-b4ce-20f56c0ba83d"/>
    <xsd:import namespace="230e9df3-be65-4c73-a93b-d1236ebd677e"/>
    <xsd:import namespace="cc27ce26-10f9-4366-8651-a9725df189dc"/>
    <xsd:element name="properties">
      <xsd:complexType>
        <xsd:sequence>
          <xsd:element name="documentManagement">
            <xsd:complexType>
              <xsd:all>
                <xsd:element ref="ns2:fe47e074c1434d4aadeadff4e1712687" minOccurs="0"/>
                <xsd:element ref="ns3:TaxCatchAll" minOccurs="0"/>
                <xsd:element ref="ns3:TaxCatchAllLabel" minOccurs="0"/>
                <xsd:element ref="ns2:n473b0e9bba1494e973f11b3aeff246c" minOccurs="0"/>
                <xsd:element ref="ns2:eff3ae4720aa4110b0794bc7b101c94d" minOccurs="0"/>
                <xsd:element ref="ns4:MediaServiceMetadata" minOccurs="0"/>
                <xsd:element ref="ns4:MediaServiceFastMetadata"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edee5f-94e3-4077-b4ce-20f56c0ba83d" elementFormDefault="qualified">
    <xsd:import namespace="http://schemas.microsoft.com/office/2006/documentManagement/types"/>
    <xsd:import namespace="http://schemas.microsoft.com/office/infopath/2007/PartnerControls"/>
    <xsd:element name="fe47e074c1434d4aadeadff4e1712687" ma:index="2" nillable="true" ma:taxonomy="true" ma:internalName="fe47e074c1434d4aadeadff4e1712687" ma:taxonomyFieldName="Deliverable_x0020_Type" ma:displayName="Deliverable Type" ma:readOnly="false" ma:default="" ma:fieldId="{fe47e074-c143-4d4a-adea-dff4e1712687}" ma:sspId="e385fb40-52d4-4fae-9c5b-3e8ff8a5878e" ma:termSetId="adf44d6a-ca33-454c-903c-ccebb34e628e" ma:anchorId="00000000-0000-0000-0000-000000000000" ma:open="false" ma:isKeyword="false">
      <xsd:complexType>
        <xsd:sequence>
          <xsd:element ref="pc:Terms" minOccurs="0" maxOccurs="1"/>
        </xsd:sequence>
      </xsd:complexType>
    </xsd:element>
    <xsd:element name="n473b0e9bba1494e973f11b3aeff246c" ma:index="6" nillable="true" ma:taxonomy="true" ma:internalName="n473b0e9bba1494e973f11b3aeff246c" ma:taxonomyFieldName="Milestone" ma:displayName="Milestone" ma:readOnly="false" ma:default="" ma:fieldId="{7473b0e9-bba1-494e-973f-11b3aeff246c}" ma:sspId="e385fb40-52d4-4fae-9c5b-3e8ff8a5878e" ma:termSetId="ec41a49f-3450-4369-9127-62a38f9703f6" ma:anchorId="00000000-0000-0000-0000-000000000000" ma:open="false" ma:isKeyword="false">
      <xsd:complexType>
        <xsd:sequence>
          <xsd:element ref="pc:Terms" minOccurs="0" maxOccurs="1"/>
        </xsd:sequence>
      </xsd:complexType>
    </xsd:element>
    <xsd:element name="eff3ae4720aa4110b0794bc7b101c94d" ma:index="8" nillable="true" ma:taxonomy="true" ma:internalName="eff3ae4720aa4110b0794bc7b101c94d" ma:taxonomyFieldName="ER_x0020_Subject" ma:displayName="ER Subject" ma:readOnly="false" ma:default="" ma:fieldId="{eff3ae47-20aa-4110-b079-4bc7b101c94d}" ma:sspId="e385fb40-52d4-4fae-9c5b-3e8ff8a5878e" ma:termSetId="210bf72a-0ce2-4e1b-8aa6-2486fe9158b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3" nillable="true" ma:displayName="Taxonomy Catch All Column" ma:description="" ma:hidden="true" ma:list="{c14a363f-cf4a-4e78-bcc5-f0c282f95d62}" ma:internalName="TaxCatchAll" ma:showField="CatchAllData" ma:web="27edee5f-94e3-4077-b4ce-20f56c0ba83d">
      <xsd:complexType>
        <xsd:complexContent>
          <xsd:extension base="dms:MultiChoiceLookup">
            <xsd:sequence>
              <xsd:element name="Value" type="dms:Lookup" maxOccurs="unbounded" minOccurs="0" nillable="true"/>
            </xsd:sequence>
          </xsd:extension>
        </xsd:complexContent>
      </xsd:complexType>
    </xsd:element>
    <xsd:element name="TaxCatchAllLabel" ma:index="4" nillable="true" ma:displayName="Taxonomy Catch All Column1" ma:description="" ma:hidden="true" ma:list="{c14a363f-cf4a-4e78-bcc5-f0c282f95d62}" ma:internalName="TaxCatchAllLabel" ma:readOnly="true" ma:showField="CatchAllDataLabel" ma:web="27edee5f-94e3-4077-b4ce-20f56c0ba83d">
      <xsd:complexType>
        <xsd:complexContent>
          <xsd:extension base="dms:MultiChoiceLookup">
            <xsd:sequence>
              <xsd:element name="Value" type="dms:Lookup" maxOccurs="unbounded" minOccurs="0" nillable="true"/>
            </xsd:sequence>
          </xsd:extension>
        </xsd:complexContent>
      </xsd:complexType>
    </xsd:element>
    <xsd:element name="_dlc_DocId" ma:index="18" nillable="true" ma:displayName="Document ID Value" ma:description="The value of the document ID assigned to this item." ma:internalName="_dlc_DocId" ma:readOnly="true">
      <xsd:simpleType>
        <xsd:restriction base="dms:Text"/>
      </xsd:simpleType>
    </xsd:element>
    <xsd:element name="_dlc_DocIdUrl" ma:index="1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c27ce26-10f9-4366-8651-a9725df189dc" elementFormDefault="qualified">
    <xsd:import namespace="http://schemas.microsoft.com/office/2006/documentManagement/types"/>
    <xsd:import namespace="http://schemas.microsoft.com/office/infopath/2007/PartnerControls"/>
    <xsd:element name="MediaServiceMetadata" ma:index="16" nillable="true" ma:displayName="MediaServiceMetadata" ma:description="" ma:hidden="true" ma:internalName="MediaServiceMetadata" ma:readOnly="true">
      <xsd:simpleType>
        <xsd:restriction base="dms:Note"/>
      </xsd:simpleType>
    </xsd:element>
    <xsd:element name="MediaServiceFastMetadata" ma:index="17"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B1E5DFB-788E-4923-9D51-A874EB14B1B5}">
  <ds:schemaRefs>
    <ds:schemaRef ds:uri="http://purl.org/dc/terms/"/>
    <ds:schemaRef ds:uri="http://schemas.microsoft.com/office/infopath/2007/PartnerControls"/>
    <ds:schemaRef ds:uri="http://purl.org/dc/dcmitype/"/>
    <ds:schemaRef ds:uri="http://purl.org/dc/elements/1.1/"/>
    <ds:schemaRef ds:uri="http://schemas.microsoft.com/office/2006/metadata/properties"/>
    <ds:schemaRef ds:uri="http://schemas.microsoft.com/office/2006/documentManagement/types"/>
    <ds:schemaRef ds:uri="cc27ce26-10f9-4366-8651-a9725df189dc"/>
    <ds:schemaRef ds:uri="http://schemas.openxmlformats.org/package/2006/metadata/core-properties"/>
    <ds:schemaRef ds:uri="230e9df3-be65-4c73-a93b-d1236ebd677e"/>
    <ds:schemaRef ds:uri="27edee5f-94e3-4077-b4ce-20f56c0ba83d"/>
    <ds:schemaRef ds:uri="http://www.w3.org/XML/1998/namespace"/>
  </ds:schemaRefs>
</ds:datastoreItem>
</file>

<file path=customXml/itemProps2.xml><?xml version="1.0" encoding="utf-8"?>
<ds:datastoreItem xmlns:ds="http://schemas.openxmlformats.org/officeDocument/2006/customXml" ds:itemID="{3779D693-D2AB-4809-9982-FFAE41FB69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edee5f-94e3-4077-b4ce-20f56c0ba83d"/>
    <ds:schemaRef ds:uri="230e9df3-be65-4c73-a93b-d1236ebd677e"/>
    <ds:schemaRef ds:uri="cc27ce26-10f9-4366-8651-a9725df189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20B8B8-044F-43B1-865B-69AA29958EDD}">
  <ds:schemaRefs>
    <ds:schemaRef ds:uri="http://schemas.microsoft.com/sharepoint/v3/contenttype/forms"/>
  </ds:schemaRefs>
</ds:datastoreItem>
</file>

<file path=customXml/itemProps4.xml><?xml version="1.0" encoding="utf-8"?>
<ds:datastoreItem xmlns:ds="http://schemas.openxmlformats.org/officeDocument/2006/customXml" ds:itemID="{DB2EE169-BB85-442D-9A5F-640E78F8C6B5}">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2597</Words>
  <Characters>14807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Moxcey</dc:creator>
  <cp:keywords/>
  <dc:description/>
  <cp:lastModifiedBy>Dennie Kimbrough</cp:lastModifiedBy>
  <cp:revision>2</cp:revision>
  <cp:lastPrinted>2017-10-16T23:34:00Z</cp:lastPrinted>
  <dcterms:created xsi:type="dcterms:W3CDTF">2017-10-26T00:15:00Z</dcterms:created>
  <dcterms:modified xsi:type="dcterms:W3CDTF">2017-10-26T00:15:00Z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0x0101002DEF51921D697F4DB2B582A6545F0CB300F0893E85497EDA4890B5DD4A30D3129D</vt:lpwstr>
  </property>
  <property fmtid="{D5CDD505-2E9C-101B-9397-08002B2CF9AE}" pid="3" name="_dlc_DocIdItemGuid">
    <vt:lpwstr>e88ca523-c94c-4ac6-8c3c-f06acf48a708</vt:lpwstr>
  </property>
</Properties>
</file>