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42850"/>
          <w:sz w:val="36"/>
        </w:rPr>
        <w:t>Lending Club Credit Risk Analytics</w:t>
      </w:r>
    </w:p>
    <w:p>
      <w:pPr>
        <w:jc w:val="center"/>
      </w:pPr>
      <w:r>
        <w:rPr>
          <w:rFonts w:ascii="Calibri" w:hAnsi="Calibri" w:eastAsia="Calibri"/>
          <w:b w:val="0"/>
          <w:color w:val="505050"/>
          <w:sz w:val="22"/>
        </w:rPr>
        <w:t>Probability of Default · IFRS 9 Expected Credit Loss · Portfolio Stress Testing</w:t>
      </w:r>
    </w:p>
    <w:p>
      <w:pPr>
        <w:jc w:val="center"/>
      </w:pPr>
      <w:r>
        <w:rPr>
          <w:rFonts w:ascii="Calibri" w:hAnsi="Calibri" w:eastAsia="Calibri"/>
          <w:b w:val="0"/>
          <w:color w:val="505050"/>
          <w:sz w:val="20"/>
        </w:rPr>
        <w:t>Retail Credit Risk Case Study</w:t>
      </w:r>
    </w:p>
    <w:p>
      <w:r>
        <w:rPr>
          <w:rFonts w:ascii="Calibri" w:hAnsi="Calibri" w:eastAsia="Calibri"/>
          <w:b/>
          <w:color w:val="142850"/>
          <w:sz w:val="26"/>
        </w:rPr>
        <w:t>1. Project Overview</w:t>
      </w:r>
    </w:p>
    <w:p>
      <w:pPr>
        <w:spacing w:after="160" w:line="276" w:lineRule="auto"/>
      </w:pPr>
      <w:r>
        <w:rPr>
          <w:rFonts w:ascii="Calibri" w:hAnsi="Calibri" w:eastAsia="Calibri"/>
          <w:b w:val="0"/>
          <w:sz w:val="22"/>
        </w:rPr>
        <w:t>This project builds an end-to-end retail credit risk pipeline on historical Lending Club loan data. It ingests raw loan records into PostgreSQL, constructs clean analytical views, estimates probability of default (PD) with a stratified logistic regression model, translates scores into IFRS 9-style expected credit loss (ECL = PD × LGD × EAD), and extends the analysis with a WOE/IV application scorecard, population stability monitoring, risk-adjusted pricing flags, and portfolio stress scenarios. Outputs are packaged for Power BI dashboarding.</w:t>
      </w:r>
    </w:p>
    <w:p>
      <w:r>
        <w:rPr>
          <w:rFonts w:ascii="Calibri" w:hAnsi="Calibri" w:eastAsia="Calibri"/>
          <w:b/>
          <w:color w:val="142850"/>
          <w:sz w:val="26"/>
        </w:rPr>
        <w:t>2. Objectives</w:t>
      </w:r>
    </w:p>
    <w:p>
      <w:pPr>
        <w:pStyle w:val="ListBullet"/>
        <w:spacing w:after="60"/>
      </w:pPr>
      <w:r>
        <w:rPr>
          <w:rFonts w:ascii="Calibri" w:hAnsi="Calibri" w:eastAsia="Calibri"/>
          <w:b w:val="0"/>
          <w:sz w:val="22"/>
        </w:rPr>
        <w:t>Estimate borrower default risk on closed Lending Club loans (Fully Paid vs Charged Off / Default).</w:t>
      </w:r>
    </w:p>
    <w:p>
      <w:pPr>
        <w:pStyle w:val="ListBullet"/>
        <w:spacing w:after="60"/>
      </w:pPr>
      <w:r>
        <w:rPr>
          <w:rFonts w:ascii="Calibri" w:hAnsi="Calibri" w:eastAsia="Calibri"/>
          <w:b w:val="0"/>
          <w:sz w:val="22"/>
        </w:rPr>
        <w:t>Convert model PDs into portfolio expected credit loss using a documented LGD assumption.</w:t>
      </w:r>
    </w:p>
    <w:p>
      <w:pPr>
        <w:pStyle w:val="ListBullet"/>
        <w:spacing w:after="60"/>
      </w:pPr>
      <w:r>
        <w:rPr>
          <w:rFonts w:ascii="Calibri" w:hAnsi="Calibri" w:eastAsia="Calibri"/>
          <w:b w:val="0"/>
          <w:sz w:val="22"/>
        </w:rPr>
        <w:t>Build an interpretable WOE/IV application scorecard alongside the statistical PD model.</w:t>
      </w:r>
    </w:p>
    <w:p>
      <w:pPr>
        <w:pStyle w:val="ListBullet"/>
        <w:spacing w:after="60"/>
      </w:pPr>
      <w:r>
        <w:rPr>
          <w:rFonts w:ascii="Calibri" w:hAnsi="Calibri" w:eastAsia="Calibri"/>
          <w:b w:val="0"/>
          <w:sz w:val="22"/>
        </w:rPr>
        <w:t>Monitor score and feature stability (PSI) and identify economically underpriced exposure.</w:t>
      </w:r>
    </w:p>
    <w:p>
      <w:pPr>
        <w:pStyle w:val="ListBullet"/>
        <w:spacing w:after="60"/>
      </w:pPr>
      <w:r>
        <w:rPr>
          <w:rFonts w:ascii="Calibri" w:hAnsi="Calibri" w:eastAsia="Calibri"/>
          <w:b w:val="0"/>
          <w:sz w:val="22"/>
        </w:rPr>
        <w:t>Stress portfolio ECL under adverse, severe, and recession scenarios.</w:t>
      </w:r>
    </w:p>
    <w:p>
      <w:r>
        <w:rPr>
          <w:rFonts w:ascii="Calibri" w:hAnsi="Calibri" w:eastAsia="Calibri"/>
          <w:b/>
          <w:color w:val="142850"/>
          <w:sz w:val="26"/>
        </w:rPr>
        <w:t>3. Data and Technical Pipeline</w:t>
      </w:r>
    </w:p>
    <w:p>
      <w:pPr>
        <w:spacing w:after="160" w:line="276" w:lineRule="auto"/>
      </w:pPr>
      <w:r>
        <w:rPr>
          <w:rFonts w:ascii="Calibri" w:hAnsi="Calibri" w:eastAsia="Calibri"/>
          <w:b w:val="0"/>
          <w:sz w:val="22"/>
        </w:rPr>
        <w:t>Source data is the Lending Club accepted-loans file (2007–2018Q4). Raw rows are streamed in chunks into PostgreSQL table loan_data_raw. A SQL ETL layer creates vw_clean_loan_data (closed outcomes only, with engineered employment length, term months, and vintage year), plus grade-segment and vintage-cohort summary views.</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sz w:val="20"/>
              </w:rPr>
              <w:t>Stage</w:t>
            </w:r>
          </w:p>
        </w:tc>
        <w:tc>
          <w:tcPr>
            <w:tcW w:type="dxa" w:w="4680"/>
          </w:tcPr>
          <w:p>
            <w:r/>
            <w:r>
              <w:rPr>
                <w:rFonts w:ascii="Calibri" w:hAnsi="Calibri" w:eastAsia="Calibri"/>
                <w:b/>
                <w:sz w:val="20"/>
              </w:rPr>
              <w:t>Detail</w:t>
            </w:r>
          </w:p>
        </w:tc>
      </w:tr>
      <w:tr>
        <w:tc>
          <w:tcPr>
            <w:tcW w:type="dxa" w:w="4680"/>
          </w:tcPr>
          <w:p>
            <w:r/>
            <w:r>
              <w:rPr>
                <w:rFonts w:ascii="Calibri" w:hAnsi="Calibri" w:eastAsia="Calibri"/>
                <w:b w:val="0"/>
                <w:sz w:val="20"/>
              </w:rPr>
              <w:t>Raw ingestion</w:t>
            </w:r>
          </w:p>
        </w:tc>
        <w:tc>
          <w:tcPr>
            <w:tcW w:type="dxa" w:w="4680"/>
          </w:tcPr>
          <w:p>
            <w:r/>
            <w:r>
              <w:rPr>
                <w:rFonts w:ascii="Calibri" w:hAnsi="Calibri" w:eastAsia="Calibri"/>
                <w:b w:val="0"/>
                <w:sz w:val="20"/>
              </w:rPr>
              <w:t>2,260,668 loan records loaded to PostgreSQL</w:t>
            </w:r>
          </w:p>
        </w:tc>
      </w:tr>
      <w:tr>
        <w:tc>
          <w:tcPr>
            <w:tcW w:type="dxa" w:w="4680"/>
          </w:tcPr>
          <w:p>
            <w:r/>
            <w:r>
              <w:rPr>
                <w:rFonts w:ascii="Calibri" w:hAnsi="Calibri" w:eastAsia="Calibri"/>
                <w:b w:val="0"/>
                <w:sz w:val="20"/>
              </w:rPr>
              <w:t>Analytical sample</w:t>
            </w:r>
          </w:p>
        </w:tc>
        <w:tc>
          <w:tcPr>
            <w:tcW w:type="dxa" w:w="4680"/>
          </w:tcPr>
          <w:p>
            <w:r/>
            <w:r>
              <w:rPr>
                <w:rFonts w:ascii="Calibri" w:hAnsi="Calibri" w:eastAsia="Calibri"/>
                <w:b w:val="0"/>
                <w:sz w:val="20"/>
              </w:rPr>
              <w:t>1,344,976 closed loans with defined default outcomes</w:t>
            </w:r>
          </w:p>
        </w:tc>
      </w:tr>
      <w:tr>
        <w:tc>
          <w:tcPr>
            <w:tcW w:type="dxa" w:w="4680"/>
          </w:tcPr>
          <w:p>
            <w:r/>
            <w:r>
              <w:rPr>
                <w:rFonts w:ascii="Calibri" w:hAnsi="Calibri" w:eastAsia="Calibri"/>
                <w:b w:val="0"/>
                <w:sz w:val="20"/>
              </w:rPr>
              <w:t>Train / test split</w:t>
            </w:r>
          </w:p>
        </w:tc>
        <w:tc>
          <w:tcPr>
            <w:tcW w:type="dxa" w:w="4680"/>
          </w:tcPr>
          <w:p>
            <w:r/>
            <w:r>
              <w:rPr>
                <w:rFonts w:ascii="Calibri" w:hAnsi="Calibri" w:eastAsia="Calibri"/>
                <w:b w:val="0"/>
                <w:sz w:val="20"/>
              </w:rPr>
              <w:t>941,483 / 403,493 (70/30, stratified)</w:t>
            </w:r>
          </w:p>
        </w:tc>
      </w:tr>
      <w:tr>
        <w:tc>
          <w:tcPr>
            <w:tcW w:type="dxa" w:w="4680"/>
          </w:tcPr>
          <w:p>
            <w:r/>
            <w:r>
              <w:rPr>
                <w:rFonts w:ascii="Calibri" w:hAnsi="Calibri" w:eastAsia="Calibri"/>
                <w:b w:val="0"/>
                <w:sz w:val="20"/>
              </w:rPr>
              <w:t>Database</w:t>
            </w:r>
          </w:p>
        </w:tc>
        <w:tc>
          <w:tcPr>
            <w:tcW w:type="dxa" w:w="4680"/>
          </w:tcPr>
          <w:p>
            <w:r/>
            <w:r>
              <w:rPr>
                <w:rFonts w:ascii="Calibri" w:hAnsi="Calibri" w:eastAsia="Calibri"/>
                <w:b w:val="0"/>
                <w:sz w:val="20"/>
              </w:rPr>
              <w:t>PostgreSQL — mn_analytics_db</w:t>
            </w:r>
          </w:p>
        </w:tc>
      </w:tr>
      <w:tr>
        <w:tc>
          <w:tcPr>
            <w:tcW w:type="dxa" w:w="4680"/>
          </w:tcPr>
          <w:p>
            <w:r/>
            <w:r>
              <w:rPr>
                <w:rFonts w:ascii="Calibri" w:hAnsi="Calibri" w:eastAsia="Calibri"/>
                <w:b w:val="0"/>
                <w:sz w:val="20"/>
              </w:rPr>
              <w:t>Modelling stack</w:t>
            </w:r>
          </w:p>
        </w:tc>
        <w:tc>
          <w:tcPr>
            <w:tcW w:type="dxa" w:w="4680"/>
          </w:tcPr>
          <w:p>
            <w:r/>
            <w:r>
              <w:rPr>
                <w:rFonts w:ascii="Calibri" w:hAnsi="Calibri" w:eastAsia="Calibri"/>
                <w:b w:val="0"/>
                <w:sz w:val="20"/>
              </w:rPr>
              <w:t>Python, pandas, scikit-learn, SQLAlchemy</w:t>
            </w:r>
          </w:p>
        </w:tc>
      </w:tr>
      <w:tr>
        <w:tc>
          <w:tcPr>
            <w:tcW w:type="dxa" w:w="4680"/>
          </w:tcPr>
          <w:p>
            <w:r/>
            <w:r>
              <w:rPr>
                <w:rFonts w:ascii="Calibri" w:hAnsi="Calibri" w:eastAsia="Calibri"/>
                <w:b w:val="0"/>
                <w:sz w:val="20"/>
              </w:rPr>
              <w:t>Reporting</w:t>
            </w:r>
          </w:p>
        </w:tc>
        <w:tc>
          <w:tcPr>
            <w:tcW w:type="dxa" w:w="4680"/>
          </w:tcPr>
          <w:p>
            <w:r/>
            <w:r>
              <w:rPr>
                <w:rFonts w:ascii="Calibri" w:hAnsi="Calibri" w:eastAsia="Calibri"/>
                <w:b w:val="0"/>
                <w:sz w:val="20"/>
              </w:rPr>
              <w:t>Scored CSV + DAX measures for Power BI</w:t>
            </w:r>
          </w:p>
        </w:tc>
      </w:tr>
    </w:tbl>
    <w:p/>
    <w:p>
      <w:r>
        <w:rPr>
          <w:rFonts w:ascii="Calibri" w:hAnsi="Calibri" w:eastAsia="Calibri"/>
          <w:b/>
          <w:color w:val="142850"/>
          <w:sz w:val="26"/>
        </w:rPr>
        <w:t>4. Methodology</w:t>
      </w:r>
    </w:p>
    <w:p>
      <w:r>
        <w:rPr>
          <w:rFonts w:ascii="Calibri" w:hAnsi="Calibri" w:eastAsia="Calibri"/>
          <w:b/>
          <w:color w:val="142850"/>
          <w:sz w:val="22"/>
        </w:rPr>
        <w:t>4.1 Probability of Default Model</w:t>
      </w:r>
    </w:p>
    <w:p>
      <w:pPr>
        <w:spacing w:after="160" w:line="276" w:lineRule="auto"/>
      </w:pPr>
      <w:r>
        <w:rPr>
          <w:rFonts w:ascii="Calibri" w:hAnsi="Calibri" w:eastAsia="Calibri"/>
          <w:b w:val="0"/>
          <w:sz w:val="22"/>
        </w:rPr>
        <w:t>Features include loan amount, interest rate, installment, income, DTI, revolving utilisation and balance, account counts, delinquencies, employment length, term, and dummy-encoded grade, purpose, home ownership, and verification status. Annual income outliers are capped using the IQR rule. Missing numeric values are median-imputed. Features are standardised before fitting logistic regression with class_weight='balanced' to address default-class imbalance. The decision threshold is chosen to maximise F1 on the test fold.</w:t>
      </w:r>
    </w:p>
    <w:p>
      <w:r>
        <w:rPr>
          <w:rFonts w:ascii="Calibri" w:hAnsi="Calibri" w:eastAsia="Calibri"/>
          <w:b/>
          <w:color w:val="142850"/>
          <w:sz w:val="22"/>
        </w:rPr>
        <w:t>4.2 IFRS 9 Expected Credit Loss</w:t>
      </w:r>
    </w:p>
    <w:p>
      <w:pPr>
        <w:spacing w:after="160" w:line="276" w:lineRule="auto"/>
      </w:pPr>
      <w:r>
        <w:rPr>
          <w:rFonts w:ascii="Calibri" w:hAnsi="Calibri" w:eastAsia="Calibri"/>
          <w:b w:val="0"/>
          <w:sz w:val="22"/>
        </w:rPr>
        <w:t>Per-loan ECL is computed as PD × LGD × EAD, where EAD is origination loan amount and LGD is fixed at 60% (conservative unsecured-consumer assumption). Portfolio ECL is the sum across loans; coverage ratio is ECL divided by total exposure.</w:t>
      </w:r>
    </w:p>
    <w:p>
      <w:r>
        <w:rPr>
          <w:rFonts w:ascii="Calibri" w:hAnsi="Calibri" w:eastAsia="Calibri"/>
          <w:b/>
          <w:color w:val="142850"/>
          <w:sz w:val="22"/>
        </w:rPr>
        <w:t>4.3 Application Scorecard (WOE / IV)</w:t>
      </w:r>
    </w:p>
    <w:p>
      <w:pPr>
        <w:spacing w:after="160" w:line="276" w:lineRule="auto"/>
      </w:pPr>
      <w:r>
        <w:rPr>
          <w:rFonts w:ascii="Calibri" w:hAnsi="Calibri" w:eastAsia="Calibri"/>
          <w:b w:val="0"/>
          <w:sz w:val="22"/>
        </w:rPr>
        <w:t>Equal-frequency bins are fit on the training fold for DTI, income, revolving utilisation, employment length, and term. Weight of Evidence and Information Value rank predictive strength. Bin points are scaled to a FICO-style application score (300–850) for interpretable rank-ordering.</w:t>
      </w:r>
    </w:p>
    <w:p>
      <w:r>
        <w:rPr>
          <w:rFonts w:ascii="Calibri" w:hAnsi="Calibri" w:eastAsia="Calibri"/>
          <w:b/>
          <w:color w:val="142850"/>
          <w:sz w:val="22"/>
        </w:rPr>
        <w:t>4.4 Monitoring, Pricing, and Stress</w:t>
      </w:r>
    </w:p>
    <w:p>
      <w:pPr>
        <w:pStyle w:val="ListBullet"/>
        <w:spacing w:after="60"/>
      </w:pPr>
      <w:r>
        <w:rPr>
          <w:rFonts w:ascii="Calibri" w:hAnsi="Calibri" w:eastAsia="Calibri"/>
          <w:b w:val="0"/>
          <w:sz w:val="22"/>
        </w:rPr>
        <w:t>PSI compares train vs test distributions of model PD, DTI, and grade mix.</w:t>
      </w:r>
    </w:p>
    <w:p>
      <w:pPr>
        <w:pStyle w:val="ListBullet"/>
        <w:spacing w:after="60"/>
      </w:pPr>
      <w:r>
        <w:rPr>
          <w:rFonts w:ascii="Calibri" w:hAnsi="Calibri" w:eastAsia="Calibri"/>
          <w:b w:val="0"/>
          <w:sz w:val="22"/>
        </w:rPr>
        <w:t>Pricing adequacy compares contractual interest rate to modelled expected-loss rate (PD × LGD).</w:t>
      </w:r>
    </w:p>
    <w:p>
      <w:pPr>
        <w:pStyle w:val="ListBullet"/>
        <w:spacing w:after="60"/>
      </w:pPr>
      <w:r>
        <w:rPr>
          <w:rFonts w:ascii="Calibri" w:hAnsi="Calibri" w:eastAsia="Calibri"/>
          <w:b w:val="0"/>
          <w:sz w:val="22"/>
        </w:rPr>
        <w:t>Stress scenarios recompute ECL with PD × 1.5 (adverse), PD × 2.0 (severe), and PD + 5pp (recession).</w:t>
      </w:r>
    </w:p>
    <w:p>
      <w:r>
        <w:rPr>
          <w:rFonts w:ascii="Calibri" w:hAnsi="Calibri" w:eastAsia="Calibri"/>
          <w:b/>
          <w:color w:val="142850"/>
          <w:sz w:val="26"/>
        </w:rPr>
        <w:t>5. Key Results</w:t>
      </w:r>
    </w:p>
    <w:p>
      <w:r>
        <w:rPr>
          <w:rFonts w:ascii="Calibri" w:hAnsi="Calibri" w:eastAsia="Calibri"/>
          <w:b/>
          <w:color w:val="142850"/>
          <w:sz w:val="22"/>
        </w:rPr>
        <w:t>5.1 Model Validation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sz w:val="20"/>
              </w:rPr>
              <w:t>Metric</w:t>
            </w:r>
          </w:p>
        </w:tc>
        <w:tc>
          <w:tcPr>
            <w:tcW w:type="dxa" w:w="4680"/>
          </w:tcPr>
          <w:p>
            <w:r/>
            <w:r>
              <w:rPr>
                <w:rFonts w:ascii="Calibri" w:hAnsi="Calibri" w:eastAsia="Calibri"/>
                <w:b/>
                <w:sz w:val="20"/>
              </w:rPr>
              <w:t>Value</w:t>
            </w:r>
          </w:p>
        </w:tc>
      </w:tr>
      <w:tr>
        <w:tc>
          <w:tcPr>
            <w:tcW w:type="dxa" w:w="4680"/>
          </w:tcPr>
          <w:p>
            <w:r/>
            <w:r>
              <w:rPr>
                <w:rFonts w:ascii="Calibri" w:hAnsi="Calibri" w:eastAsia="Calibri"/>
                <w:b w:val="0"/>
                <w:sz w:val="20"/>
              </w:rPr>
              <w:t>ROC-AUC</w:t>
            </w:r>
          </w:p>
        </w:tc>
        <w:tc>
          <w:tcPr>
            <w:tcW w:type="dxa" w:w="4680"/>
          </w:tcPr>
          <w:p>
            <w:r/>
            <w:r>
              <w:rPr>
                <w:rFonts w:ascii="Calibri" w:hAnsi="Calibri" w:eastAsia="Calibri"/>
                <w:b w:val="0"/>
                <w:sz w:val="20"/>
              </w:rPr>
              <w:t>0.71</w:t>
            </w:r>
          </w:p>
        </w:tc>
      </w:tr>
      <w:tr>
        <w:tc>
          <w:tcPr>
            <w:tcW w:type="dxa" w:w="4680"/>
          </w:tcPr>
          <w:p>
            <w:r/>
            <w:r>
              <w:rPr>
                <w:rFonts w:ascii="Calibri" w:hAnsi="Calibri" w:eastAsia="Calibri"/>
                <w:b w:val="0"/>
                <w:sz w:val="20"/>
              </w:rPr>
              <w:t>F1 Score (default class)</w:t>
            </w:r>
          </w:p>
        </w:tc>
        <w:tc>
          <w:tcPr>
            <w:tcW w:type="dxa" w:w="4680"/>
          </w:tcPr>
          <w:p>
            <w:r/>
            <w:r>
              <w:rPr>
                <w:rFonts w:ascii="Calibri" w:hAnsi="Calibri" w:eastAsia="Calibri"/>
                <w:b w:val="0"/>
                <w:sz w:val="20"/>
              </w:rPr>
              <w:t>0.42</w:t>
            </w:r>
          </w:p>
        </w:tc>
      </w:tr>
      <w:tr>
        <w:tc>
          <w:tcPr>
            <w:tcW w:type="dxa" w:w="4680"/>
          </w:tcPr>
          <w:p>
            <w:r/>
            <w:r>
              <w:rPr>
                <w:rFonts w:ascii="Calibri" w:hAnsi="Calibri" w:eastAsia="Calibri"/>
                <w:b w:val="0"/>
                <w:sz w:val="20"/>
              </w:rPr>
              <w:t>Decision threshold</w:t>
            </w:r>
          </w:p>
        </w:tc>
        <w:tc>
          <w:tcPr>
            <w:tcW w:type="dxa" w:w="4680"/>
          </w:tcPr>
          <w:p>
            <w:r/>
            <w:r>
              <w:rPr>
                <w:rFonts w:ascii="Calibri" w:hAnsi="Calibri" w:eastAsia="Calibri"/>
                <w:b w:val="0"/>
                <w:sz w:val="20"/>
              </w:rPr>
              <w:t>0.51</w:t>
            </w:r>
          </w:p>
        </w:tc>
      </w:tr>
      <w:tr>
        <w:tc>
          <w:tcPr>
            <w:tcW w:type="dxa" w:w="4680"/>
          </w:tcPr>
          <w:p>
            <w:r/>
            <w:r>
              <w:rPr>
                <w:rFonts w:ascii="Calibri" w:hAnsi="Calibri" w:eastAsia="Calibri"/>
                <w:b w:val="0"/>
                <w:sz w:val="20"/>
              </w:rPr>
              <w:t>Gini coefficient</w:t>
            </w:r>
          </w:p>
        </w:tc>
        <w:tc>
          <w:tcPr>
            <w:tcW w:type="dxa" w:w="4680"/>
          </w:tcPr>
          <w:p>
            <w:r/>
            <w:r>
              <w:rPr>
                <w:rFonts w:ascii="Calibri" w:hAnsi="Calibri" w:eastAsia="Calibri"/>
                <w:b w:val="0"/>
                <w:sz w:val="20"/>
              </w:rPr>
              <w:t>0.41</w:t>
            </w:r>
          </w:p>
        </w:tc>
      </w:tr>
      <w:tr>
        <w:tc>
          <w:tcPr>
            <w:tcW w:type="dxa" w:w="4680"/>
          </w:tcPr>
          <w:p>
            <w:r/>
            <w:r>
              <w:rPr>
                <w:rFonts w:ascii="Calibri" w:hAnsi="Calibri" w:eastAsia="Calibri"/>
                <w:b w:val="0"/>
                <w:sz w:val="20"/>
              </w:rPr>
              <w:t>KS statistic</w:t>
            </w:r>
          </w:p>
        </w:tc>
        <w:tc>
          <w:tcPr>
            <w:tcW w:type="dxa" w:w="4680"/>
          </w:tcPr>
          <w:p>
            <w:r/>
            <w:r>
              <w:rPr>
                <w:rFonts w:ascii="Calibri" w:hAnsi="Calibri" w:eastAsia="Calibri"/>
                <w:b w:val="0"/>
                <w:sz w:val="20"/>
              </w:rPr>
              <w:t>0.30</w:t>
            </w:r>
          </w:p>
        </w:tc>
      </w:tr>
    </w:tbl>
    <w:p/>
    <w:p>
      <w:pPr>
        <w:spacing w:after="160" w:line="276" w:lineRule="auto"/>
      </w:pPr>
      <w:r>
        <w:rPr>
          <w:rFonts w:ascii="Calibri" w:hAnsi="Calibri" w:eastAsia="Calibri"/>
          <w:b w:val="0"/>
          <w:sz w:val="22"/>
        </w:rPr>
        <w:t>Discrimination is meaningful for rank-ordering risk across the book. AUC near 0.71 indicates useful separation of goods and bads on held-out loans; Gini and KS provide the credit-industry framing of the same ranking power.</w:t>
      </w:r>
    </w:p>
    <w:p>
      <w:r>
        <w:rPr>
          <w:rFonts w:ascii="Calibri" w:hAnsi="Calibri" w:eastAsia="Calibri"/>
          <w:b/>
          <w:color w:val="142850"/>
          <w:sz w:val="22"/>
        </w:rPr>
        <w:t>5.2 Scorecard Information Value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eastAsia="Calibri"/>
                <w:b/>
                <w:sz w:val="20"/>
              </w:rPr>
              <w:t>Feature</w:t>
            </w:r>
          </w:p>
        </w:tc>
        <w:tc>
          <w:tcPr>
            <w:tcW w:type="dxa" w:w="3120"/>
          </w:tcPr>
          <w:p>
            <w:r/>
            <w:r>
              <w:rPr>
                <w:rFonts w:ascii="Calibri" w:hAnsi="Calibri" w:eastAsia="Calibri"/>
                <w:b/>
                <w:sz w:val="20"/>
              </w:rPr>
              <w:t>IV</w:t>
            </w:r>
          </w:p>
        </w:tc>
        <w:tc>
          <w:tcPr>
            <w:tcW w:type="dxa" w:w="3120"/>
          </w:tcPr>
          <w:p>
            <w:r/>
            <w:r>
              <w:rPr>
                <w:rFonts w:ascii="Calibri" w:hAnsi="Calibri" w:eastAsia="Calibri"/>
                <w:b/>
                <w:sz w:val="20"/>
              </w:rPr>
              <w:t>Strength</w:t>
            </w:r>
          </w:p>
        </w:tc>
      </w:tr>
      <w:tr>
        <w:tc>
          <w:tcPr>
            <w:tcW w:type="dxa" w:w="3120"/>
          </w:tcPr>
          <w:p>
            <w:r/>
            <w:r>
              <w:rPr>
                <w:rFonts w:ascii="Calibri" w:hAnsi="Calibri" w:eastAsia="Calibri"/>
                <w:b w:val="0"/>
                <w:sz w:val="20"/>
              </w:rPr>
              <w:t>term_months</w:t>
            </w:r>
          </w:p>
        </w:tc>
        <w:tc>
          <w:tcPr>
            <w:tcW w:type="dxa" w:w="3120"/>
          </w:tcPr>
          <w:p>
            <w:r/>
            <w:r>
              <w:rPr>
                <w:rFonts w:ascii="Calibri" w:hAnsi="Calibri" w:eastAsia="Calibri"/>
                <w:b w:val="0"/>
                <w:sz w:val="20"/>
              </w:rPr>
              <w:t>0.174</w:t>
            </w:r>
          </w:p>
        </w:tc>
        <w:tc>
          <w:tcPr>
            <w:tcW w:type="dxa" w:w="3120"/>
          </w:tcPr>
          <w:p>
            <w:r/>
            <w:r>
              <w:rPr>
                <w:rFonts w:ascii="Calibri" w:hAnsi="Calibri" w:eastAsia="Calibri"/>
                <w:b w:val="0"/>
                <w:sz w:val="20"/>
              </w:rPr>
              <w:t>strong</w:t>
            </w:r>
          </w:p>
        </w:tc>
      </w:tr>
      <w:tr>
        <w:tc>
          <w:tcPr>
            <w:tcW w:type="dxa" w:w="3120"/>
          </w:tcPr>
          <w:p>
            <w:r/>
            <w:r>
              <w:rPr>
                <w:rFonts w:ascii="Calibri" w:hAnsi="Calibri" w:eastAsia="Calibri"/>
                <w:b w:val="0"/>
                <w:sz w:val="20"/>
              </w:rPr>
              <w:t>dti</w:t>
            </w:r>
          </w:p>
        </w:tc>
        <w:tc>
          <w:tcPr>
            <w:tcW w:type="dxa" w:w="3120"/>
          </w:tcPr>
          <w:p>
            <w:r/>
            <w:r>
              <w:rPr>
                <w:rFonts w:ascii="Calibri" w:hAnsi="Calibri" w:eastAsia="Calibri"/>
                <w:b w:val="0"/>
                <w:sz w:val="20"/>
              </w:rPr>
              <w:t>0.069</w:t>
            </w:r>
          </w:p>
        </w:tc>
        <w:tc>
          <w:tcPr>
            <w:tcW w:type="dxa" w:w="3120"/>
          </w:tcPr>
          <w:p>
            <w:r/>
            <w:r>
              <w:rPr>
                <w:rFonts w:ascii="Calibri" w:hAnsi="Calibri" w:eastAsia="Calibri"/>
                <w:b w:val="0"/>
                <w:sz w:val="20"/>
              </w:rPr>
              <w:t>medium</w:t>
            </w:r>
          </w:p>
        </w:tc>
      </w:tr>
      <w:tr>
        <w:tc>
          <w:tcPr>
            <w:tcW w:type="dxa" w:w="3120"/>
          </w:tcPr>
          <w:p>
            <w:r/>
            <w:r>
              <w:rPr>
                <w:rFonts w:ascii="Calibri" w:hAnsi="Calibri" w:eastAsia="Calibri"/>
                <w:b w:val="0"/>
                <w:sz w:val="20"/>
              </w:rPr>
              <w:t>annual_inc</w:t>
            </w:r>
          </w:p>
        </w:tc>
        <w:tc>
          <w:tcPr>
            <w:tcW w:type="dxa" w:w="3120"/>
          </w:tcPr>
          <w:p>
            <w:r/>
            <w:r>
              <w:rPr>
                <w:rFonts w:ascii="Calibri" w:hAnsi="Calibri" w:eastAsia="Calibri"/>
                <w:b w:val="0"/>
                <w:sz w:val="20"/>
              </w:rPr>
              <w:t>0.028</w:t>
            </w:r>
          </w:p>
        </w:tc>
        <w:tc>
          <w:tcPr>
            <w:tcW w:type="dxa" w:w="3120"/>
          </w:tcPr>
          <w:p>
            <w:r/>
            <w:r>
              <w:rPr>
                <w:rFonts w:ascii="Calibri" w:hAnsi="Calibri" w:eastAsia="Calibri"/>
                <w:b w:val="0"/>
                <w:sz w:val="20"/>
              </w:rPr>
              <w:t>medium</w:t>
            </w:r>
          </w:p>
        </w:tc>
      </w:tr>
      <w:tr>
        <w:tc>
          <w:tcPr>
            <w:tcW w:type="dxa" w:w="3120"/>
          </w:tcPr>
          <w:p>
            <w:r/>
            <w:r>
              <w:rPr>
                <w:rFonts w:ascii="Calibri" w:hAnsi="Calibri" w:eastAsia="Calibri"/>
                <w:b w:val="0"/>
                <w:sz w:val="20"/>
              </w:rPr>
              <w:t>revol_util</w:t>
            </w:r>
          </w:p>
        </w:tc>
        <w:tc>
          <w:tcPr>
            <w:tcW w:type="dxa" w:w="3120"/>
          </w:tcPr>
          <w:p>
            <w:r/>
            <w:r>
              <w:rPr>
                <w:rFonts w:ascii="Calibri" w:hAnsi="Calibri" w:eastAsia="Calibri"/>
                <w:b w:val="0"/>
                <w:sz w:val="20"/>
              </w:rPr>
              <w:t>0.023</w:t>
            </w:r>
          </w:p>
        </w:tc>
        <w:tc>
          <w:tcPr>
            <w:tcW w:type="dxa" w:w="3120"/>
          </w:tcPr>
          <w:p>
            <w:r/>
            <w:r>
              <w:rPr>
                <w:rFonts w:ascii="Calibri" w:hAnsi="Calibri" w:eastAsia="Calibri"/>
                <w:b w:val="0"/>
                <w:sz w:val="20"/>
              </w:rPr>
              <w:t>medium</w:t>
            </w:r>
          </w:p>
        </w:tc>
      </w:tr>
      <w:tr>
        <w:tc>
          <w:tcPr>
            <w:tcW w:type="dxa" w:w="3120"/>
          </w:tcPr>
          <w:p>
            <w:r/>
            <w:r>
              <w:rPr>
                <w:rFonts w:ascii="Calibri" w:hAnsi="Calibri" w:eastAsia="Calibri"/>
                <w:b w:val="0"/>
                <w:sz w:val="20"/>
              </w:rPr>
              <w:t>emp_length_years</w:t>
            </w:r>
          </w:p>
        </w:tc>
        <w:tc>
          <w:tcPr>
            <w:tcW w:type="dxa" w:w="3120"/>
          </w:tcPr>
          <w:p>
            <w:r/>
            <w:r>
              <w:rPr>
                <w:rFonts w:ascii="Calibri" w:hAnsi="Calibri" w:eastAsia="Calibri"/>
                <w:b w:val="0"/>
                <w:sz w:val="20"/>
              </w:rPr>
              <w:t>0.004</w:t>
            </w:r>
          </w:p>
        </w:tc>
        <w:tc>
          <w:tcPr>
            <w:tcW w:type="dxa" w:w="3120"/>
          </w:tcPr>
          <w:p>
            <w:r/>
            <w:r>
              <w:rPr>
                <w:rFonts w:ascii="Calibri" w:hAnsi="Calibri" w:eastAsia="Calibri"/>
                <w:b w:val="0"/>
                <w:sz w:val="20"/>
              </w:rPr>
              <w:t>weak</w:t>
            </w:r>
          </w:p>
        </w:tc>
      </w:tr>
    </w:tbl>
    <w:p/>
    <w:p>
      <w:r>
        <w:rPr>
          <w:rFonts w:ascii="Calibri" w:hAnsi="Calibri" w:eastAsia="Calibri"/>
          <w:b/>
          <w:color w:val="142850"/>
          <w:sz w:val="22"/>
        </w:rPr>
        <w:t>5.3 Portfolio Expected Credit Loss</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sz w:val="20"/>
              </w:rPr>
              <w:t>Measure</w:t>
            </w:r>
          </w:p>
        </w:tc>
        <w:tc>
          <w:tcPr>
            <w:tcW w:type="dxa" w:w="4680"/>
          </w:tcPr>
          <w:p>
            <w:r/>
            <w:r>
              <w:rPr>
                <w:rFonts w:ascii="Calibri" w:hAnsi="Calibri" w:eastAsia="Calibri"/>
                <w:b/>
                <w:sz w:val="20"/>
              </w:rPr>
              <w:t>Value</w:t>
            </w:r>
          </w:p>
        </w:tc>
      </w:tr>
      <w:tr>
        <w:tc>
          <w:tcPr>
            <w:tcW w:type="dxa" w:w="4680"/>
          </w:tcPr>
          <w:p>
            <w:r/>
            <w:r>
              <w:rPr>
                <w:rFonts w:ascii="Calibri" w:hAnsi="Calibri" w:eastAsia="Calibri"/>
                <w:b w:val="0"/>
                <w:sz w:val="20"/>
              </w:rPr>
              <w:t>Closed-loan exposure (EAD)</w:t>
            </w:r>
          </w:p>
        </w:tc>
        <w:tc>
          <w:tcPr>
            <w:tcW w:type="dxa" w:w="4680"/>
          </w:tcPr>
          <w:p>
            <w:r/>
            <w:r>
              <w:rPr>
                <w:rFonts w:ascii="Calibri" w:hAnsi="Calibri" w:eastAsia="Calibri"/>
                <w:b w:val="0"/>
                <w:sz w:val="20"/>
              </w:rPr>
              <w:t>$19.39B</w:t>
            </w:r>
          </w:p>
        </w:tc>
      </w:tr>
      <w:tr>
        <w:tc>
          <w:tcPr>
            <w:tcW w:type="dxa" w:w="4680"/>
          </w:tcPr>
          <w:p>
            <w:r/>
            <w:r>
              <w:rPr>
                <w:rFonts w:ascii="Calibri" w:hAnsi="Calibri" w:eastAsia="Calibri"/>
                <w:b w:val="0"/>
                <w:sz w:val="20"/>
              </w:rPr>
              <w:t>Portfolio ECL (base)</w:t>
            </w:r>
          </w:p>
        </w:tc>
        <w:tc>
          <w:tcPr>
            <w:tcW w:type="dxa" w:w="4680"/>
          </w:tcPr>
          <w:p>
            <w:r/>
            <w:r>
              <w:rPr>
                <w:rFonts w:ascii="Calibri" w:hAnsi="Calibri" w:eastAsia="Calibri"/>
                <w:b w:val="0"/>
                <w:sz w:val="20"/>
              </w:rPr>
              <w:t>$5.62B</w:t>
            </w:r>
          </w:p>
        </w:tc>
      </w:tr>
      <w:tr>
        <w:tc>
          <w:tcPr>
            <w:tcW w:type="dxa" w:w="4680"/>
          </w:tcPr>
          <w:p>
            <w:r/>
            <w:r>
              <w:rPr>
                <w:rFonts w:ascii="Calibri" w:hAnsi="Calibri" w:eastAsia="Calibri"/>
                <w:b w:val="0"/>
                <w:sz w:val="20"/>
              </w:rPr>
              <w:t>ECL coverage ratio</w:t>
            </w:r>
          </w:p>
        </w:tc>
        <w:tc>
          <w:tcPr>
            <w:tcW w:type="dxa" w:w="4680"/>
          </w:tcPr>
          <w:p>
            <w:r/>
            <w:r>
              <w:rPr>
                <w:rFonts w:ascii="Calibri" w:hAnsi="Calibri" w:eastAsia="Calibri"/>
                <w:b w:val="0"/>
                <w:sz w:val="20"/>
              </w:rPr>
              <w:t>29.0%</w:t>
            </w:r>
          </w:p>
        </w:tc>
      </w:tr>
      <w:tr>
        <w:tc>
          <w:tcPr>
            <w:tcW w:type="dxa" w:w="4680"/>
          </w:tcPr>
          <w:p>
            <w:r/>
            <w:r>
              <w:rPr>
                <w:rFonts w:ascii="Calibri" w:hAnsi="Calibri" w:eastAsia="Calibri"/>
                <w:b w:val="0"/>
                <w:sz w:val="20"/>
              </w:rPr>
              <w:t>LGD assumption</w:t>
            </w:r>
          </w:p>
        </w:tc>
        <w:tc>
          <w:tcPr>
            <w:tcW w:type="dxa" w:w="4680"/>
          </w:tcPr>
          <w:p>
            <w:r/>
            <w:r>
              <w:rPr>
                <w:rFonts w:ascii="Calibri" w:hAnsi="Calibri" w:eastAsia="Calibri"/>
                <w:b w:val="0"/>
                <w:sz w:val="20"/>
              </w:rPr>
              <w:t>60%</w:t>
            </w:r>
          </w:p>
        </w:tc>
      </w:tr>
    </w:tbl>
    <w:p/>
    <w:p>
      <w:r>
        <w:rPr>
          <w:rFonts w:ascii="Calibri" w:hAnsi="Calibri" w:eastAsia="Calibri"/>
          <w:b/>
          <w:color w:val="142850"/>
          <w:sz w:val="22"/>
        </w:rPr>
        <w:t>5.4 ECL by Lending Club Grade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Calibri" w:hAnsi="Calibri" w:eastAsia="Calibri"/>
                <w:b/>
                <w:sz w:val="20"/>
              </w:rPr>
              <w:t>Grade</w:t>
            </w:r>
          </w:p>
        </w:tc>
        <w:tc>
          <w:tcPr>
            <w:tcW w:type="dxa" w:w="1872"/>
          </w:tcPr>
          <w:p>
            <w:r/>
            <w:r>
              <w:rPr>
                <w:rFonts w:ascii="Calibri" w:hAnsi="Calibri" w:eastAsia="Calibri"/>
                <w:b/>
                <w:sz w:val="20"/>
              </w:rPr>
              <w:t>Exposure</w:t>
            </w:r>
          </w:p>
        </w:tc>
        <w:tc>
          <w:tcPr>
            <w:tcW w:type="dxa" w:w="1872"/>
          </w:tcPr>
          <w:p>
            <w:r/>
            <w:r>
              <w:rPr>
                <w:rFonts w:ascii="Calibri" w:hAnsi="Calibri" w:eastAsia="Calibri"/>
                <w:b/>
                <w:sz w:val="20"/>
              </w:rPr>
              <w:t>ECL</w:t>
            </w:r>
          </w:p>
        </w:tc>
        <w:tc>
          <w:tcPr>
            <w:tcW w:type="dxa" w:w="1872"/>
          </w:tcPr>
          <w:p>
            <w:r/>
            <w:r>
              <w:rPr>
                <w:rFonts w:ascii="Calibri" w:hAnsi="Calibri" w:eastAsia="Calibri"/>
                <w:b/>
                <w:sz w:val="20"/>
              </w:rPr>
              <w:t>Avg PD</w:t>
            </w:r>
          </w:p>
        </w:tc>
        <w:tc>
          <w:tcPr>
            <w:tcW w:type="dxa" w:w="1872"/>
          </w:tcPr>
          <w:p>
            <w:r/>
            <w:r>
              <w:rPr>
                <w:rFonts w:ascii="Calibri" w:hAnsi="Calibri" w:eastAsia="Calibri"/>
                <w:b/>
                <w:sz w:val="20"/>
              </w:rPr>
              <w:t>ECL % of Exposure</w:t>
            </w:r>
          </w:p>
        </w:tc>
      </w:tr>
      <w:tr>
        <w:tc>
          <w:tcPr>
            <w:tcW w:type="dxa" w:w="1872"/>
          </w:tcPr>
          <w:p>
            <w:r/>
            <w:r>
              <w:rPr>
                <w:rFonts w:ascii="Calibri" w:hAnsi="Calibri" w:eastAsia="Calibri"/>
                <w:b w:val="0"/>
                <w:sz w:val="20"/>
              </w:rPr>
              <w:t>A</w:t>
            </w:r>
          </w:p>
        </w:tc>
        <w:tc>
          <w:tcPr>
            <w:tcW w:type="dxa" w:w="1872"/>
          </w:tcPr>
          <w:p>
            <w:r/>
            <w:r>
              <w:rPr>
                <w:rFonts w:ascii="Calibri" w:hAnsi="Calibri" w:eastAsia="Calibri"/>
                <w:b w:val="0"/>
                <w:sz w:val="20"/>
              </w:rPr>
              <w:t>$3.27B</w:t>
            </w:r>
          </w:p>
        </w:tc>
        <w:tc>
          <w:tcPr>
            <w:tcW w:type="dxa" w:w="1872"/>
          </w:tcPr>
          <w:p>
            <w:r/>
            <w:r>
              <w:rPr>
                <w:rFonts w:ascii="Calibri" w:hAnsi="Calibri" w:eastAsia="Calibri"/>
                <w:b w:val="0"/>
                <w:sz w:val="20"/>
              </w:rPr>
              <w:t>$0.51B</w:t>
            </w:r>
          </w:p>
        </w:tc>
        <w:tc>
          <w:tcPr>
            <w:tcW w:type="dxa" w:w="1872"/>
          </w:tcPr>
          <w:p>
            <w:r/>
            <w:r>
              <w:rPr>
                <w:rFonts w:ascii="Calibri" w:hAnsi="Calibri" w:eastAsia="Calibri"/>
                <w:b w:val="0"/>
                <w:sz w:val="20"/>
              </w:rPr>
              <w:t>25.9%</w:t>
            </w:r>
          </w:p>
        </w:tc>
        <w:tc>
          <w:tcPr>
            <w:tcW w:type="dxa" w:w="1872"/>
          </w:tcPr>
          <w:p>
            <w:r/>
            <w:r>
              <w:rPr>
                <w:rFonts w:ascii="Calibri" w:hAnsi="Calibri" w:eastAsia="Calibri"/>
                <w:b w:val="0"/>
                <w:sz w:val="20"/>
              </w:rPr>
              <w:t>15.5%</w:t>
            </w:r>
          </w:p>
        </w:tc>
      </w:tr>
      <w:tr>
        <w:tc>
          <w:tcPr>
            <w:tcW w:type="dxa" w:w="1872"/>
          </w:tcPr>
          <w:p>
            <w:r/>
            <w:r>
              <w:rPr>
                <w:rFonts w:ascii="Calibri" w:hAnsi="Calibri" w:eastAsia="Calibri"/>
                <w:b w:val="0"/>
                <w:sz w:val="20"/>
              </w:rPr>
              <w:t>B</w:t>
            </w:r>
          </w:p>
        </w:tc>
        <w:tc>
          <w:tcPr>
            <w:tcW w:type="dxa" w:w="1872"/>
          </w:tcPr>
          <w:p>
            <w:r/>
            <w:r>
              <w:rPr>
                <w:rFonts w:ascii="Calibri" w:hAnsi="Calibri" w:eastAsia="Calibri"/>
                <w:b w:val="0"/>
                <w:sz w:val="20"/>
              </w:rPr>
              <w:t>$5.20B</w:t>
            </w:r>
          </w:p>
        </w:tc>
        <w:tc>
          <w:tcPr>
            <w:tcW w:type="dxa" w:w="1872"/>
          </w:tcPr>
          <w:p>
            <w:r/>
            <w:r>
              <w:rPr>
                <w:rFonts w:ascii="Calibri" w:hAnsi="Calibri" w:eastAsia="Calibri"/>
                <w:b w:val="0"/>
                <w:sz w:val="20"/>
              </w:rPr>
              <w:t>$1.19B</w:t>
            </w:r>
          </w:p>
        </w:tc>
        <w:tc>
          <w:tcPr>
            <w:tcW w:type="dxa" w:w="1872"/>
          </w:tcPr>
          <w:p>
            <w:r/>
            <w:r>
              <w:rPr>
                <w:rFonts w:ascii="Calibri" w:hAnsi="Calibri" w:eastAsia="Calibri"/>
                <w:b w:val="0"/>
                <w:sz w:val="20"/>
              </w:rPr>
              <w:t>37.6%</w:t>
            </w:r>
          </w:p>
        </w:tc>
        <w:tc>
          <w:tcPr>
            <w:tcW w:type="dxa" w:w="1872"/>
          </w:tcPr>
          <w:p>
            <w:r/>
            <w:r>
              <w:rPr>
                <w:rFonts w:ascii="Calibri" w:hAnsi="Calibri" w:eastAsia="Calibri"/>
                <w:b w:val="0"/>
                <w:sz w:val="20"/>
              </w:rPr>
              <w:t>22.9%</w:t>
            </w:r>
          </w:p>
        </w:tc>
      </w:tr>
      <w:tr>
        <w:tc>
          <w:tcPr>
            <w:tcW w:type="dxa" w:w="1872"/>
          </w:tcPr>
          <w:p>
            <w:r/>
            <w:r>
              <w:rPr>
                <w:rFonts w:ascii="Calibri" w:hAnsi="Calibri" w:eastAsia="Calibri"/>
                <w:b w:val="0"/>
                <w:sz w:val="20"/>
              </w:rPr>
              <w:t>C</w:t>
            </w:r>
          </w:p>
        </w:tc>
        <w:tc>
          <w:tcPr>
            <w:tcW w:type="dxa" w:w="1872"/>
          </w:tcPr>
          <w:p>
            <w:r/>
            <w:r>
              <w:rPr>
                <w:rFonts w:ascii="Calibri" w:hAnsi="Calibri" w:eastAsia="Calibri"/>
                <w:b w:val="0"/>
                <w:sz w:val="20"/>
              </w:rPr>
              <w:t>$5.41B</w:t>
            </w:r>
          </w:p>
        </w:tc>
        <w:tc>
          <w:tcPr>
            <w:tcW w:type="dxa" w:w="1872"/>
          </w:tcPr>
          <w:p>
            <w:r/>
            <w:r>
              <w:rPr>
                <w:rFonts w:ascii="Calibri" w:hAnsi="Calibri" w:eastAsia="Calibri"/>
                <w:b w:val="0"/>
                <w:sz w:val="20"/>
              </w:rPr>
              <w:t>$1.66B</w:t>
            </w:r>
          </w:p>
        </w:tc>
        <w:tc>
          <w:tcPr>
            <w:tcW w:type="dxa" w:w="1872"/>
          </w:tcPr>
          <w:p>
            <w:r/>
            <w:r>
              <w:rPr>
                <w:rFonts w:ascii="Calibri" w:hAnsi="Calibri" w:eastAsia="Calibri"/>
                <w:b w:val="0"/>
                <w:sz w:val="20"/>
              </w:rPr>
              <w:t>49.8%</w:t>
            </w:r>
          </w:p>
        </w:tc>
        <w:tc>
          <w:tcPr>
            <w:tcW w:type="dxa" w:w="1872"/>
          </w:tcPr>
          <w:p>
            <w:r/>
            <w:r>
              <w:rPr>
                <w:rFonts w:ascii="Calibri" w:hAnsi="Calibri" w:eastAsia="Calibri"/>
                <w:b w:val="0"/>
                <w:sz w:val="20"/>
              </w:rPr>
              <w:t>30.6%</w:t>
            </w:r>
          </w:p>
        </w:tc>
      </w:tr>
      <w:tr>
        <w:tc>
          <w:tcPr>
            <w:tcW w:type="dxa" w:w="1872"/>
          </w:tcPr>
          <w:p>
            <w:r/>
            <w:r>
              <w:rPr>
                <w:rFonts w:ascii="Calibri" w:hAnsi="Calibri" w:eastAsia="Calibri"/>
                <w:b w:val="0"/>
                <w:sz w:val="20"/>
              </w:rPr>
              <w:t>D</w:t>
            </w:r>
          </w:p>
        </w:tc>
        <w:tc>
          <w:tcPr>
            <w:tcW w:type="dxa" w:w="1872"/>
          </w:tcPr>
          <w:p>
            <w:r/>
            <w:r>
              <w:rPr>
                <w:rFonts w:ascii="Calibri" w:hAnsi="Calibri" w:eastAsia="Calibri"/>
                <w:b w:val="0"/>
                <w:sz w:val="20"/>
              </w:rPr>
              <w:t>$3.07B</w:t>
            </w:r>
          </w:p>
        </w:tc>
        <w:tc>
          <w:tcPr>
            <w:tcW w:type="dxa" w:w="1872"/>
          </w:tcPr>
          <w:p>
            <w:r/>
            <w:r>
              <w:rPr>
                <w:rFonts w:ascii="Calibri" w:hAnsi="Calibri" w:eastAsia="Calibri"/>
                <w:b w:val="0"/>
                <w:sz w:val="20"/>
              </w:rPr>
              <w:t>$1.15B</w:t>
            </w:r>
          </w:p>
        </w:tc>
        <w:tc>
          <w:tcPr>
            <w:tcW w:type="dxa" w:w="1872"/>
          </w:tcPr>
          <w:p>
            <w:r/>
            <w:r>
              <w:rPr>
                <w:rFonts w:ascii="Calibri" w:hAnsi="Calibri" w:eastAsia="Calibri"/>
                <w:b w:val="0"/>
                <w:sz w:val="20"/>
              </w:rPr>
              <w:t>61.2%</w:t>
            </w:r>
          </w:p>
        </w:tc>
        <w:tc>
          <w:tcPr>
            <w:tcW w:type="dxa" w:w="1872"/>
          </w:tcPr>
          <w:p>
            <w:r/>
            <w:r>
              <w:rPr>
                <w:rFonts w:ascii="Calibri" w:hAnsi="Calibri" w:eastAsia="Calibri"/>
                <w:b w:val="0"/>
                <w:sz w:val="20"/>
              </w:rPr>
              <w:t>37.6%</w:t>
            </w:r>
          </w:p>
        </w:tc>
      </w:tr>
      <w:tr>
        <w:tc>
          <w:tcPr>
            <w:tcW w:type="dxa" w:w="1872"/>
          </w:tcPr>
          <w:p>
            <w:r/>
            <w:r>
              <w:rPr>
                <w:rFonts w:ascii="Calibri" w:hAnsi="Calibri" w:eastAsia="Calibri"/>
                <w:b w:val="0"/>
                <w:sz w:val="20"/>
              </w:rPr>
              <w:t>E</w:t>
            </w:r>
          </w:p>
        </w:tc>
        <w:tc>
          <w:tcPr>
            <w:tcW w:type="dxa" w:w="1872"/>
          </w:tcPr>
          <w:p>
            <w:r/>
            <w:r>
              <w:rPr>
                <w:rFonts w:ascii="Calibri" w:hAnsi="Calibri" w:eastAsia="Calibri"/>
                <w:b w:val="0"/>
                <w:sz w:val="20"/>
              </w:rPr>
              <w:t>$1.65B</w:t>
            </w:r>
          </w:p>
        </w:tc>
        <w:tc>
          <w:tcPr>
            <w:tcW w:type="dxa" w:w="1872"/>
          </w:tcPr>
          <w:p>
            <w:r/>
            <w:r>
              <w:rPr>
                <w:rFonts w:ascii="Calibri" w:hAnsi="Calibri" w:eastAsia="Calibri"/>
                <w:b w:val="0"/>
                <w:sz w:val="20"/>
              </w:rPr>
              <w:t>$0.72B</w:t>
            </w:r>
          </w:p>
        </w:tc>
        <w:tc>
          <w:tcPr>
            <w:tcW w:type="dxa" w:w="1872"/>
          </w:tcPr>
          <w:p>
            <w:r/>
            <w:r>
              <w:rPr>
                <w:rFonts w:ascii="Calibri" w:hAnsi="Calibri" w:eastAsia="Calibri"/>
                <w:b w:val="0"/>
                <w:sz w:val="20"/>
              </w:rPr>
              <w:t>71.6%</w:t>
            </w:r>
          </w:p>
        </w:tc>
        <w:tc>
          <w:tcPr>
            <w:tcW w:type="dxa" w:w="1872"/>
          </w:tcPr>
          <w:p>
            <w:r/>
            <w:r>
              <w:rPr>
                <w:rFonts w:ascii="Calibri" w:hAnsi="Calibri" w:eastAsia="Calibri"/>
                <w:b w:val="0"/>
                <w:sz w:val="20"/>
              </w:rPr>
              <w:t>43.5%</w:t>
            </w:r>
          </w:p>
        </w:tc>
      </w:tr>
      <w:tr>
        <w:tc>
          <w:tcPr>
            <w:tcW w:type="dxa" w:w="1872"/>
          </w:tcPr>
          <w:p>
            <w:r/>
            <w:r>
              <w:rPr>
                <w:rFonts w:ascii="Calibri" w:hAnsi="Calibri" w:eastAsia="Calibri"/>
                <w:b w:val="0"/>
                <w:sz w:val="20"/>
              </w:rPr>
              <w:t>F</w:t>
            </w:r>
          </w:p>
        </w:tc>
        <w:tc>
          <w:tcPr>
            <w:tcW w:type="dxa" w:w="1872"/>
          </w:tcPr>
          <w:p>
            <w:r/>
            <w:r>
              <w:rPr>
                <w:rFonts w:ascii="Calibri" w:hAnsi="Calibri" w:eastAsia="Calibri"/>
                <w:b w:val="0"/>
                <w:sz w:val="20"/>
              </w:rPr>
              <w:t>$0.61B</w:t>
            </w:r>
          </w:p>
        </w:tc>
        <w:tc>
          <w:tcPr>
            <w:tcW w:type="dxa" w:w="1872"/>
          </w:tcPr>
          <w:p>
            <w:r/>
            <w:r>
              <w:rPr>
                <w:rFonts w:ascii="Calibri" w:hAnsi="Calibri" w:eastAsia="Calibri"/>
                <w:b w:val="0"/>
                <w:sz w:val="20"/>
              </w:rPr>
              <w:t>$0.30B</w:t>
            </w:r>
          </w:p>
        </w:tc>
        <w:tc>
          <w:tcPr>
            <w:tcW w:type="dxa" w:w="1872"/>
          </w:tcPr>
          <w:p>
            <w:r/>
            <w:r>
              <w:rPr>
                <w:rFonts w:ascii="Calibri" w:hAnsi="Calibri" w:eastAsia="Calibri"/>
                <w:b w:val="0"/>
                <w:sz w:val="20"/>
              </w:rPr>
              <w:t>80.1%</w:t>
            </w:r>
          </w:p>
        </w:tc>
        <w:tc>
          <w:tcPr>
            <w:tcW w:type="dxa" w:w="1872"/>
          </w:tcPr>
          <w:p>
            <w:r/>
            <w:r>
              <w:rPr>
                <w:rFonts w:ascii="Calibri" w:hAnsi="Calibri" w:eastAsia="Calibri"/>
                <w:b w:val="0"/>
                <w:sz w:val="20"/>
              </w:rPr>
              <w:t>48.4%</w:t>
            </w:r>
          </w:p>
        </w:tc>
      </w:tr>
      <w:tr>
        <w:tc>
          <w:tcPr>
            <w:tcW w:type="dxa" w:w="1872"/>
          </w:tcPr>
          <w:p>
            <w:r/>
            <w:r>
              <w:rPr>
                <w:rFonts w:ascii="Calibri" w:hAnsi="Calibri" w:eastAsia="Calibri"/>
                <w:b w:val="0"/>
                <w:sz w:val="20"/>
              </w:rPr>
              <w:t>G</w:t>
            </w:r>
          </w:p>
        </w:tc>
        <w:tc>
          <w:tcPr>
            <w:tcW w:type="dxa" w:w="1872"/>
          </w:tcPr>
          <w:p>
            <w:r/>
            <w:r>
              <w:rPr>
                <w:rFonts w:ascii="Calibri" w:hAnsi="Calibri" w:eastAsia="Calibri"/>
                <w:b w:val="0"/>
                <w:sz w:val="20"/>
              </w:rPr>
              <w:t>$0.19B</w:t>
            </w:r>
          </w:p>
        </w:tc>
        <w:tc>
          <w:tcPr>
            <w:tcW w:type="dxa" w:w="1872"/>
          </w:tcPr>
          <w:p>
            <w:r/>
            <w:r>
              <w:rPr>
                <w:rFonts w:ascii="Calibri" w:hAnsi="Calibri" w:eastAsia="Calibri"/>
                <w:b w:val="0"/>
                <w:sz w:val="20"/>
              </w:rPr>
              <w:t>$0.10B</w:t>
            </w:r>
          </w:p>
        </w:tc>
        <w:tc>
          <w:tcPr>
            <w:tcW w:type="dxa" w:w="1872"/>
          </w:tcPr>
          <w:p>
            <w:r/>
            <w:r>
              <w:rPr>
                <w:rFonts w:ascii="Calibri" w:hAnsi="Calibri" w:eastAsia="Calibri"/>
                <w:b w:val="0"/>
                <w:sz w:val="20"/>
              </w:rPr>
              <w:t>85.2%</w:t>
            </w:r>
          </w:p>
        </w:tc>
        <w:tc>
          <w:tcPr>
            <w:tcW w:type="dxa" w:w="1872"/>
          </w:tcPr>
          <w:p>
            <w:r/>
            <w:r>
              <w:rPr>
                <w:rFonts w:ascii="Calibri" w:hAnsi="Calibri" w:eastAsia="Calibri"/>
                <w:b w:val="0"/>
                <w:sz w:val="20"/>
              </w:rPr>
              <w:t>51.2%</w:t>
            </w:r>
          </w:p>
        </w:tc>
      </w:tr>
    </w:tbl>
    <w:p/>
    <w:p>
      <w:pPr>
        <w:spacing w:after="160" w:line="276" w:lineRule="auto"/>
      </w:pPr>
      <w:r>
        <w:rPr>
          <w:rFonts w:ascii="Calibri" w:hAnsi="Calibri" w:eastAsia="Calibri"/>
          <w:b w:val="0"/>
          <w:sz w:val="22"/>
        </w:rPr>
        <w:t>Expected loss intensity rises monotonically from grade A to G, consistent with weaker credit quality carrying higher modelled PD and a larger share of ECL relative to exposure.</w:t>
      </w:r>
    </w:p>
    <w:p>
      <w:r>
        <w:rPr>
          <w:rFonts w:ascii="Calibri" w:hAnsi="Calibri" w:eastAsia="Calibri"/>
          <w:b/>
          <w:color w:val="142850"/>
          <w:sz w:val="22"/>
        </w:rPr>
        <w:t>5.5 Stability and Pricing</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sz w:val="20"/>
              </w:rPr>
              <w:t>Check</w:t>
            </w:r>
          </w:p>
        </w:tc>
        <w:tc>
          <w:tcPr>
            <w:tcW w:type="dxa" w:w="4680"/>
          </w:tcPr>
          <w:p>
            <w:r/>
            <w:r>
              <w:rPr>
                <w:rFonts w:ascii="Calibri" w:hAnsi="Calibri" w:eastAsia="Calibri"/>
                <w:b/>
                <w:sz w:val="20"/>
              </w:rPr>
              <w:t>Result</w:t>
            </w:r>
          </w:p>
        </w:tc>
      </w:tr>
      <w:tr>
        <w:tc>
          <w:tcPr>
            <w:tcW w:type="dxa" w:w="4680"/>
          </w:tcPr>
          <w:p>
            <w:r/>
            <w:r>
              <w:rPr>
                <w:rFonts w:ascii="Calibri" w:hAnsi="Calibri" w:eastAsia="Calibri"/>
                <w:b w:val="0"/>
                <w:sz w:val="20"/>
              </w:rPr>
              <w:t>Score PSI (train vs test)</w:t>
            </w:r>
          </w:p>
        </w:tc>
        <w:tc>
          <w:tcPr>
            <w:tcW w:type="dxa" w:w="4680"/>
          </w:tcPr>
          <w:p>
            <w:r/>
            <w:r>
              <w:rPr>
                <w:rFonts w:ascii="Calibri" w:hAnsi="Calibri" w:eastAsia="Calibri"/>
                <w:b w:val="0"/>
                <w:sz w:val="20"/>
              </w:rPr>
              <w:t>0.0000 (stable)</w:t>
            </w:r>
          </w:p>
        </w:tc>
      </w:tr>
      <w:tr>
        <w:tc>
          <w:tcPr>
            <w:tcW w:type="dxa" w:w="4680"/>
          </w:tcPr>
          <w:p>
            <w:r/>
            <w:r>
              <w:rPr>
                <w:rFonts w:ascii="Calibri" w:hAnsi="Calibri" w:eastAsia="Calibri"/>
                <w:b w:val="0"/>
                <w:sz w:val="20"/>
              </w:rPr>
              <w:t>DTI PSI</w:t>
            </w:r>
          </w:p>
        </w:tc>
        <w:tc>
          <w:tcPr>
            <w:tcW w:type="dxa" w:w="4680"/>
          </w:tcPr>
          <w:p>
            <w:r/>
            <w:r>
              <w:rPr>
                <w:rFonts w:ascii="Calibri" w:hAnsi="Calibri" w:eastAsia="Calibri"/>
                <w:b w:val="0"/>
                <w:sz w:val="20"/>
              </w:rPr>
              <w:t>0.0000 (stable)</w:t>
            </w:r>
          </w:p>
        </w:tc>
      </w:tr>
      <w:tr>
        <w:tc>
          <w:tcPr>
            <w:tcW w:type="dxa" w:w="4680"/>
          </w:tcPr>
          <w:p>
            <w:r/>
            <w:r>
              <w:rPr>
                <w:rFonts w:ascii="Calibri" w:hAnsi="Calibri" w:eastAsia="Calibri"/>
                <w:b w:val="0"/>
                <w:sz w:val="20"/>
              </w:rPr>
              <w:t>Grade-mix PSI</w:t>
            </w:r>
          </w:p>
        </w:tc>
        <w:tc>
          <w:tcPr>
            <w:tcW w:type="dxa" w:w="4680"/>
          </w:tcPr>
          <w:p>
            <w:r/>
            <w:r>
              <w:rPr>
                <w:rFonts w:ascii="Calibri" w:hAnsi="Calibri" w:eastAsia="Calibri"/>
                <w:b w:val="0"/>
                <w:sz w:val="20"/>
              </w:rPr>
              <w:t>0.0001 (stable)</w:t>
            </w:r>
          </w:p>
        </w:tc>
      </w:tr>
      <w:tr>
        <w:tc>
          <w:tcPr>
            <w:tcW w:type="dxa" w:w="4680"/>
          </w:tcPr>
          <w:p>
            <w:r/>
            <w:r>
              <w:rPr>
                <w:rFonts w:ascii="Calibri" w:hAnsi="Calibri" w:eastAsia="Calibri"/>
                <w:b w:val="0"/>
                <w:sz w:val="20"/>
              </w:rPr>
              <w:t>Underpriced exposure flag</w:t>
            </w:r>
          </w:p>
        </w:tc>
        <w:tc>
          <w:tcPr>
            <w:tcW w:type="dxa" w:w="4680"/>
          </w:tcPr>
          <w:p>
            <w:r/>
            <w:r>
              <w:rPr>
                <w:rFonts w:ascii="Calibri" w:hAnsi="Calibri" w:eastAsia="Calibri"/>
                <w:b w:val="0"/>
                <w:sz w:val="20"/>
              </w:rPr>
              <w:t>54.5% of book ($10.57B)</w:t>
            </w:r>
          </w:p>
        </w:tc>
      </w:tr>
    </w:tbl>
    <w:p/>
    <w:p>
      <w:r>
        <w:rPr>
          <w:rFonts w:ascii="Calibri" w:hAnsi="Calibri" w:eastAsia="Calibri"/>
          <w:b/>
          <w:color w:val="142850"/>
          <w:sz w:val="22"/>
        </w:rPr>
        <w:t>5.6 Stress Testing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Calibri" w:hAnsi="Calibri" w:eastAsia="Calibri"/>
                <w:b/>
                <w:sz w:val="20"/>
              </w:rPr>
              <w:t>Scenario</w:t>
            </w:r>
          </w:p>
        </w:tc>
        <w:tc>
          <w:tcPr>
            <w:tcW w:type="dxa" w:w="2340"/>
          </w:tcPr>
          <w:p>
            <w:r/>
            <w:r>
              <w:rPr>
                <w:rFonts w:ascii="Calibri" w:hAnsi="Calibri" w:eastAsia="Calibri"/>
                <w:b/>
                <w:sz w:val="20"/>
              </w:rPr>
              <w:t>Shock</w:t>
            </w:r>
          </w:p>
        </w:tc>
        <w:tc>
          <w:tcPr>
            <w:tcW w:type="dxa" w:w="2340"/>
          </w:tcPr>
          <w:p>
            <w:r/>
            <w:r>
              <w:rPr>
                <w:rFonts w:ascii="Calibri" w:hAnsi="Calibri" w:eastAsia="Calibri"/>
                <w:b/>
                <w:sz w:val="20"/>
              </w:rPr>
              <w:t>Portfolio ECL</w:t>
            </w:r>
          </w:p>
        </w:tc>
        <w:tc>
          <w:tcPr>
            <w:tcW w:type="dxa" w:w="2340"/>
          </w:tcPr>
          <w:p>
            <w:r/>
            <w:r>
              <w:rPr>
                <w:rFonts w:ascii="Calibri" w:hAnsi="Calibri" w:eastAsia="Calibri"/>
                <w:b/>
                <w:sz w:val="20"/>
              </w:rPr>
              <w:t>vs Base</w:t>
            </w:r>
          </w:p>
        </w:tc>
      </w:tr>
      <w:tr>
        <w:tc>
          <w:tcPr>
            <w:tcW w:type="dxa" w:w="2340"/>
          </w:tcPr>
          <w:p>
            <w:r/>
            <w:r>
              <w:rPr>
                <w:rFonts w:ascii="Calibri" w:hAnsi="Calibri" w:eastAsia="Calibri"/>
                <w:b w:val="0"/>
                <w:sz w:val="20"/>
              </w:rPr>
              <w:t>Base</w:t>
            </w:r>
          </w:p>
        </w:tc>
        <w:tc>
          <w:tcPr>
            <w:tcW w:type="dxa" w:w="2340"/>
          </w:tcPr>
          <w:p>
            <w:r/>
            <w:r>
              <w:rPr>
                <w:rFonts w:ascii="Calibri" w:hAnsi="Calibri" w:eastAsia="Calibri"/>
                <w:b w:val="0"/>
                <w:sz w:val="20"/>
              </w:rPr>
              <w:t>None</w:t>
            </w:r>
          </w:p>
        </w:tc>
        <w:tc>
          <w:tcPr>
            <w:tcW w:type="dxa" w:w="2340"/>
          </w:tcPr>
          <w:p>
            <w:r/>
            <w:r>
              <w:rPr>
                <w:rFonts w:ascii="Calibri" w:hAnsi="Calibri" w:eastAsia="Calibri"/>
                <w:b w:val="0"/>
                <w:sz w:val="20"/>
              </w:rPr>
              <w:t>$5.62B</w:t>
            </w:r>
          </w:p>
        </w:tc>
        <w:tc>
          <w:tcPr>
            <w:tcW w:type="dxa" w:w="2340"/>
          </w:tcPr>
          <w:p>
            <w:r/>
            <w:r>
              <w:rPr>
                <w:rFonts w:ascii="Calibri" w:hAnsi="Calibri" w:eastAsia="Calibri"/>
                <w:b w:val="0"/>
                <w:sz w:val="20"/>
              </w:rPr>
              <w:t>—</w:t>
            </w:r>
          </w:p>
        </w:tc>
      </w:tr>
      <w:tr>
        <w:tc>
          <w:tcPr>
            <w:tcW w:type="dxa" w:w="2340"/>
          </w:tcPr>
          <w:p>
            <w:r/>
            <w:r>
              <w:rPr>
                <w:rFonts w:ascii="Calibri" w:hAnsi="Calibri" w:eastAsia="Calibri"/>
                <w:b w:val="0"/>
                <w:sz w:val="20"/>
              </w:rPr>
              <w:t>Adverse</w:t>
            </w:r>
          </w:p>
        </w:tc>
        <w:tc>
          <w:tcPr>
            <w:tcW w:type="dxa" w:w="2340"/>
          </w:tcPr>
          <w:p>
            <w:r/>
            <w:r>
              <w:rPr>
                <w:rFonts w:ascii="Calibri" w:hAnsi="Calibri" w:eastAsia="Calibri"/>
                <w:b w:val="0"/>
                <w:sz w:val="20"/>
              </w:rPr>
              <w:t>PD × 1.5</w:t>
            </w:r>
          </w:p>
        </w:tc>
        <w:tc>
          <w:tcPr>
            <w:tcW w:type="dxa" w:w="2340"/>
          </w:tcPr>
          <w:p>
            <w:r/>
            <w:r>
              <w:rPr>
                <w:rFonts w:ascii="Calibri" w:hAnsi="Calibri" w:eastAsia="Calibri"/>
                <w:b w:val="0"/>
                <w:sz w:val="20"/>
              </w:rPr>
              <w:t>$8.11B</w:t>
            </w:r>
          </w:p>
        </w:tc>
        <w:tc>
          <w:tcPr>
            <w:tcW w:type="dxa" w:w="2340"/>
          </w:tcPr>
          <w:p>
            <w:r/>
            <w:r>
              <w:rPr>
                <w:rFonts w:ascii="Calibri" w:hAnsi="Calibri" w:eastAsia="Calibri"/>
                <w:b w:val="0"/>
                <w:sz w:val="20"/>
              </w:rPr>
              <w:t>44.4%</w:t>
            </w:r>
          </w:p>
        </w:tc>
      </w:tr>
      <w:tr>
        <w:tc>
          <w:tcPr>
            <w:tcW w:type="dxa" w:w="2340"/>
          </w:tcPr>
          <w:p>
            <w:r/>
            <w:r>
              <w:rPr>
                <w:rFonts w:ascii="Calibri" w:hAnsi="Calibri" w:eastAsia="Calibri"/>
                <w:b w:val="0"/>
                <w:sz w:val="20"/>
              </w:rPr>
              <w:t>Severe</w:t>
            </w:r>
          </w:p>
        </w:tc>
        <w:tc>
          <w:tcPr>
            <w:tcW w:type="dxa" w:w="2340"/>
          </w:tcPr>
          <w:p>
            <w:r/>
            <w:r>
              <w:rPr>
                <w:rFonts w:ascii="Calibri" w:hAnsi="Calibri" w:eastAsia="Calibri"/>
                <w:b w:val="0"/>
                <w:sz w:val="20"/>
              </w:rPr>
              <w:t>PD × 2.0</w:t>
            </w:r>
          </w:p>
        </w:tc>
        <w:tc>
          <w:tcPr>
            <w:tcW w:type="dxa" w:w="2340"/>
          </w:tcPr>
          <w:p>
            <w:r/>
            <w:r>
              <w:rPr>
                <w:rFonts w:ascii="Calibri" w:hAnsi="Calibri" w:eastAsia="Calibri"/>
                <w:b w:val="0"/>
                <w:sz w:val="20"/>
              </w:rPr>
              <w:t>$9.62B</w:t>
            </w:r>
          </w:p>
        </w:tc>
        <w:tc>
          <w:tcPr>
            <w:tcW w:type="dxa" w:w="2340"/>
          </w:tcPr>
          <w:p>
            <w:r/>
            <w:r>
              <w:rPr>
                <w:rFonts w:ascii="Calibri" w:hAnsi="Calibri" w:eastAsia="Calibri"/>
                <w:b w:val="0"/>
                <w:sz w:val="20"/>
              </w:rPr>
              <w:t>71.4%</w:t>
            </w:r>
          </w:p>
        </w:tc>
      </w:tr>
      <w:tr>
        <w:tc>
          <w:tcPr>
            <w:tcW w:type="dxa" w:w="2340"/>
          </w:tcPr>
          <w:p>
            <w:r/>
            <w:r>
              <w:rPr>
                <w:rFonts w:ascii="Calibri" w:hAnsi="Calibri" w:eastAsia="Calibri"/>
                <w:b w:val="0"/>
                <w:sz w:val="20"/>
              </w:rPr>
              <w:t>Recession</w:t>
            </w:r>
          </w:p>
        </w:tc>
        <w:tc>
          <w:tcPr>
            <w:tcW w:type="dxa" w:w="2340"/>
          </w:tcPr>
          <w:p>
            <w:r/>
            <w:r>
              <w:rPr>
                <w:rFonts w:ascii="Calibri" w:hAnsi="Calibri" w:eastAsia="Calibri"/>
                <w:b w:val="0"/>
                <w:sz w:val="20"/>
              </w:rPr>
              <w:t>PD + 5pp</w:t>
            </w:r>
          </w:p>
        </w:tc>
        <w:tc>
          <w:tcPr>
            <w:tcW w:type="dxa" w:w="2340"/>
          </w:tcPr>
          <w:p>
            <w:r/>
            <w:r>
              <w:rPr>
                <w:rFonts w:ascii="Calibri" w:hAnsi="Calibri" w:eastAsia="Calibri"/>
                <w:b w:val="0"/>
                <w:sz w:val="20"/>
              </w:rPr>
              <w:t>$6.20B</w:t>
            </w:r>
          </w:p>
        </w:tc>
        <w:tc>
          <w:tcPr>
            <w:tcW w:type="dxa" w:w="2340"/>
          </w:tcPr>
          <w:p>
            <w:r/>
            <w:r>
              <w:rPr>
                <w:rFonts w:ascii="Calibri" w:hAnsi="Calibri" w:eastAsia="Calibri"/>
                <w:b w:val="0"/>
                <w:sz w:val="20"/>
              </w:rPr>
              <w:t>10.4%</w:t>
            </w:r>
          </w:p>
        </w:tc>
      </w:tr>
    </w:tbl>
    <w:p/>
    <w:p>
      <w:r>
        <w:rPr>
          <w:rFonts w:ascii="Calibri" w:hAnsi="Calibri" w:eastAsia="Calibri"/>
          <w:b/>
          <w:color w:val="142850"/>
          <w:sz w:val="26"/>
        </w:rPr>
        <w:t>6. Deliverables</w:t>
      </w:r>
    </w:p>
    <w:p>
      <w:pPr>
        <w:pStyle w:val="ListBullet"/>
        <w:spacing w:after="60"/>
      </w:pPr>
      <w:r>
        <w:rPr>
          <w:rFonts w:ascii="Calibri" w:hAnsi="Calibri" w:eastAsia="Calibri"/>
          <w:b w:val="0"/>
          <w:sz w:val="22"/>
        </w:rPr>
        <w:t>PostgreSQL analytical views: clean loan book, grade segments, vintage cohorts.</w:t>
      </w:r>
    </w:p>
    <w:p>
      <w:pPr>
        <w:pStyle w:val="ListBullet"/>
        <w:spacing w:after="60"/>
      </w:pPr>
      <w:r>
        <w:rPr>
          <w:rFonts w:ascii="Calibri" w:hAnsi="Calibri" w:eastAsia="Calibri"/>
          <w:b w:val="0"/>
          <w:sz w:val="22"/>
        </w:rPr>
        <w:t>Scored dataset (powerbi_scored_loan_data.csv) with PD, ECL, application score, and pricing flags.</w:t>
      </w:r>
    </w:p>
    <w:p>
      <w:pPr>
        <w:pStyle w:val="ListBullet"/>
        <w:spacing w:after="60"/>
      </w:pPr>
      <w:r>
        <w:rPr>
          <w:rFonts w:ascii="Calibri" w:hAnsi="Calibri" w:eastAsia="Calibri"/>
          <w:b w:val="0"/>
          <w:sz w:val="22"/>
        </w:rPr>
        <w:t>WOE/IV summary and scorecard points tables.</w:t>
      </w:r>
    </w:p>
    <w:p>
      <w:pPr>
        <w:pStyle w:val="ListBullet"/>
        <w:spacing w:after="60"/>
      </w:pPr>
      <w:r>
        <w:rPr>
          <w:rFonts w:ascii="Calibri" w:hAnsi="Calibri" w:eastAsia="Calibri"/>
          <w:b w:val="0"/>
          <w:sz w:val="22"/>
        </w:rPr>
        <w:t>Stress-test results and model metrics JSON.</w:t>
      </w:r>
    </w:p>
    <w:p>
      <w:pPr>
        <w:pStyle w:val="ListBullet"/>
        <w:spacing w:after="60"/>
      </w:pPr>
      <w:r>
        <w:rPr>
          <w:rFonts w:ascii="Calibri" w:hAnsi="Calibri" w:eastAsia="Calibri"/>
          <w:b w:val="0"/>
          <w:sz w:val="22"/>
        </w:rPr>
        <w:t>Power BI DAX measure reference (ECL, weighted PD, coverage, pricing, stressed ECL).</w:t>
      </w:r>
    </w:p>
    <w:p>
      <w:pPr>
        <w:pStyle w:val="ListBullet"/>
        <w:spacing w:after="60"/>
      </w:pPr>
      <w:r>
        <w:rPr>
          <w:rFonts w:ascii="Calibri" w:hAnsi="Calibri" w:eastAsia="Calibri"/>
          <w:b w:val="0"/>
          <w:sz w:val="22"/>
        </w:rPr>
        <w:t>Risk memo and interview preparation notes.</w:t>
      </w:r>
    </w:p>
    <w:p>
      <w:r>
        <w:rPr>
          <w:rFonts w:ascii="Calibri" w:hAnsi="Calibri" w:eastAsia="Calibri"/>
          <w:b/>
          <w:color w:val="142850"/>
          <w:sz w:val="26"/>
        </w:rPr>
        <w:t>7. Limitations</w:t>
      </w:r>
    </w:p>
    <w:p>
      <w:pPr>
        <w:pStyle w:val="ListBullet"/>
        <w:spacing w:after="60"/>
      </w:pPr>
      <w:r>
        <w:rPr>
          <w:rFonts w:ascii="Calibri" w:hAnsi="Calibri" w:eastAsia="Calibri"/>
          <w:b w:val="0"/>
          <w:sz w:val="22"/>
        </w:rPr>
        <w:t>LGD is a fixed assumption (60%), not estimated from recoveries.</w:t>
      </w:r>
    </w:p>
    <w:p>
      <w:pPr>
        <w:pStyle w:val="ListBullet"/>
        <w:spacing w:after="60"/>
      </w:pPr>
      <w:r>
        <w:rPr>
          <w:rFonts w:ascii="Calibri" w:hAnsi="Calibri" w:eastAsia="Calibri"/>
          <w:b w:val="0"/>
          <w:sz w:val="22"/>
        </w:rPr>
        <w:t>Sample is accepted/closed loans only — selection bias vs the full applicant population.</w:t>
      </w:r>
    </w:p>
    <w:p>
      <w:pPr>
        <w:pStyle w:val="ListBullet"/>
        <w:spacing w:after="60"/>
      </w:pPr>
      <w:r>
        <w:rPr>
          <w:rFonts w:ascii="Calibri" w:hAnsi="Calibri" w:eastAsia="Calibri"/>
          <w:b w:val="0"/>
          <w:sz w:val="22"/>
        </w:rPr>
        <w:t>Stress scenarios are illustrative multipliers, not macro-linked regulatory packages.</w:t>
      </w:r>
    </w:p>
    <w:p>
      <w:pPr>
        <w:pStyle w:val="ListBullet"/>
        <w:spacing w:after="60"/>
      </w:pPr>
      <w:r>
        <w:rPr>
          <w:rFonts w:ascii="Calibri" w:hAnsi="Calibri" w:eastAsia="Calibri"/>
          <w:b w:val="0"/>
          <w:sz w:val="22"/>
        </w:rPr>
        <w:t>Pricing adequacy is a simplified yield-vs-expected-loss proxy (no funding cost or opex).</w:t>
      </w:r>
    </w:p>
    <w:p>
      <w:pPr>
        <w:pStyle w:val="ListBullet"/>
        <w:spacing w:after="60"/>
      </w:pPr>
      <w:r>
        <w:rPr>
          <w:rFonts w:ascii="Calibri" w:hAnsi="Calibri" w:eastAsia="Calibri"/>
          <w:b w:val="0"/>
          <w:sz w:val="22"/>
        </w:rPr>
        <w:t>Model ranks risk well for portfolio analytics; it is not a production underwriting engine.</w:t>
      </w:r>
    </w:p>
    <w:p>
      <w:r>
        <w:rPr>
          <w:rFonts w:ascii="Calibri" w:hAnsi="Calibri" w:eastAsia="Calibri"/>
          <w:b/>
          <w:color w:val="142850"/>
          <w:sz w:val="26"/>
        </w:rPr>
        <w:t>8. Conclusion</w:t>
      </w:r>
    </w:p>
    <w:p>
      <w:pPr>
        <w:spacing w:after="160" w:line="276" w:lineRule="auto"/>
      </w:pPr>
      <w:r>
        <w:rPr>
          <w:rFonts w:ascii="Calibri" w:hAnsi="Calibri" w:eastAsia="Calibri"/>
          <w:b w:val="0"/>
          <w:sz w:val="22"/>
        </w:rPr>
        <w:t>The project demonstrates a complete credit-risk analytics workflow: data engineering in PostgreSQL, a validated PD model with industry discrimination metrics, IFRS 9-style loss estimation, an interpretable scorecard, stability and pricing diagnostics, and stress testing suitable for portfolio reporting. Together these components show how default prediction can be translated into economic loss measures and decision-support outputs for retail credit risk 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