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9825D" w14:textId="77777777" w:rsidR="005F46E6" w:rsidRDefault="00000000">
      <w:pPr>
        <w:jc w:val="center"/>
      </w:pPr>
      <w:r>
        <w:rPr>
          <w:rFonts w:ascii="Calibri" w:eastAsia="Calibri" w:hAnsi="Calibri"/>
          <w:b/>
          <w:color w:val="142850"/>
          <w:sz w:val="36"/>
        </w:rPr>
        <w:t>Multi-Strategy Portfolio Allocation Case Study</w:t>
      </w:r>
    </w:p>
    <w:p w14:paraId="3F0AF277" w14:textId="77777777" w:rsidR="005F46E6" w:rsidRDefault="00000000">
      <w:pPr>
        <w:jc w:val="center"/>
      </w:pPr>
      <w:r>
        <w:rPr>
          <w:rFonts w:ascii="Calibri" w:eastAsia="Calibri" w:hAnsi="Calibri"/>
          <w:color w:val="505050"/>
        </w:rPr>
        <w:t>Quant Club, BITS Pilani  |  Portfolio Construction &amp; Risk</w:t>
      </w:r>
    </w:p>
    <w:p w14:paraId="2204A06A" w14:textId="1B1D5C59" w:rsidR="005F46E6" w:rsidRDefault="00000000">
      <w:pPr>
        <w:jc w:val="center"/>
      </w:pPr>
      <w:r>
        <w:rPr>
          <w:rFonts w:ascii="Calibri" w:eastAsia="Calibri" w:hAnsi="Calibri"/>
          <w:color w:val="505050"/>
        </w:rPr>
        <w:t xml:space="preserve">Author: </w:t>
      </w:r>
      <w:proofErr w:type="gramStart"/>
      <w:r>
        <w:rPr>
          <w:rFonts w:ascii="Calibri" w:eastAsia="Calibri" w:hAnsi="Calibri"/>
          <w:color w:val="505050"/>
        </w:rPr>
        <w:t>Yashvardhan  |</w:t>
      </w:r>
      <w:proofErr w:type="gramEnd"/>
      <w:r>
        <w:rPr>
          <w:rFonts w:ascii="Calibri" w:eastAsia="Calibri" w:hAnsi="Calibri"/>
          <w:color w:val="505050"/>
        </w:rPr>
        <w:t xml:space="preserve">  </w:t>
      </w:r>
      <w:r w:rsidR="002A3E1E">
        <w:rPr>
          <w:rFonts w:ascii="Calibri" w:eastAsia="Calibri" w:hAnsi="Calibri"/>
          <w:color w:val="505050"/>
        </w:rPr>
        <w:t>May</w:t>
      </w:r>
      <w:r>
        <w:rPr>
          <w:rFonts w:ascii="Calibri" w:eastAsia="Calibri" w:hAnsi="Calibri"/>
          <w:color w:val="505050"/>
        </w:rPr>
        <w:t xml:space="preserve"> 2026</w:t>
      </w:r>
    </w:p>
    <w:p w14:paraId="268ACC8A" w14:textId="77777777" w:rsidR="005F46E6" w:rsidRDefault="00000000">
      <w:pPr>
        <w:jc w:val="center"/>
      </w:pPr>
      <w:r>
        <w:rPr>
          <w:rFonts w:ascii="Calibri" w:eastAsia="Calibri" w:hAnsi="Calibri"/>
          <w:color w:val="505050"/>
          <w:sz w:val="20"/>
        </w:rPr>
        <w:t>Sample period: January 2019 – August 2026  (~1,907 trading days)</w:t>
      </w:r>
    </w:p>
    <w:p w14:paraId="35D58F4B" w14:textId="77777777" w:rsidR="005F46E6" w:rsidRDefault="00000000">
      <w:r>
        <w:rPr>
          <w:rFonts w:ascii="Calibri" w:eastAsia="Calibri" w:hAnsi="Calibri"/>
          <w:b/>
          <w:color w:val="142850"/>
          <w:sz w:val="28"/>
        </w:rPr>
        <w:t>1. Project Overview</w:t>
      </w:r>
    </w:p>
    <w:p w14:paraId="5CE6FCD2" w14:textId="77777777" w:rsidR="005F46E6" w:rsidRDefault="00000000">
      <w:pPr>
        <w:spacing w:after="160"/>
      </w:pPr>
      <w:r>
        <w:rPr>
          <w:rFonts w:ascii="Calibri" w:eastAsia="Calibri" w:hAnsi="Calibri"/>
        </w:rPr>
        <w:t>This project studies how capital should be allocated across distinct trading-strategy sleeves rather than across individual stocks. It models a multi-strategy allocator that dynamically redistributes funds based on recent risk, then measures whether that approach improves outcomes versus simple static benchmarks.</w:t>
      </w:r>
    </w:p>
    <w:p w14:paraId="247DF68F" w14:textId="77777777" w:rsidR="005F46E6" w:rsidRDefault="00000000">
      <w:pPr>
        <w:spacing w:after="160"/>
      </w:pPr>
      <w:r>
        <w:rPr>
          <w:rFonts w:ascii="Calibri" w:eastAsia="Calibri" w:hAnsi="Calibri"/>
        </w:rPr>
        <w:t>The central research question is: when market regimes change, how should an allocator budget risk across momentum, defensive, and crisis exposures — and when does a permanent volatility sleeve help versus hurt?</w:t>
      </w:r>
    </w:p>
    <w:p w14:paraId="0F687F81" w14:textId="77777777" w:rsidR="005F46E6" w:rsidRDefault="00000000">
      <w:r>
        <w:rPr>
          <w:rFonts w:ascii="Calibri" w:eastAsia="Calibri" w:hAnsi="Calibri"/>
          <w:b/>
          <w:color w:val="142850"/>
          <w:sz w:val="28"/>
        </w:rPr>
        <w:t>2. What the Project Does</w:t>
      </w:r>
    </w:p>
    <w:p w14:paraId="36F02A24" w14:textId="77777777" w:rsidR="005F46E6" w:rsidRDefault="00000000">
      <w:pPr>
        <w:spacing w:after="160"/>
      </w:pPr>
      <w:r>
        <w:rPr>
          <w:rFonts w:ascii="Calibri" w:eastAsia="Calibri" w:hAnsi="Calibri"/>
        </w:rPr>
        <w:t>In practical terms, the project:</w:t>
      </w:r>
    </w:p>
    <w:p w14:paraId="368D7C59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Pulls real market history for three public ETF strategy proxies: MTUM (momentum), USMV (minimum volatility / defensive), and VIXY (crisis / volatility).</w:t>
      </w:r>
    </w:p>
    <w:p w14:paraId="6CE830EE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Estimates risk on a rolling 60-day window — annualized volatility, covariance, and correlation — without looking ahead in the data.</w:t>
      </w:r>
    </w:p>
    <w:p w14:paraId="22AA090F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Computes three dynamic allocation methods each day: inverse-volatility risk parity, minimum-variance optimization, and maximum diversification.</w:t>
      </w:r>
    </w:p>
    <w:p w14:paraId="702A3BD2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Applies a realistic 10 basis-point transaction cost on portfolio turnover for all dynamic methods.</w:t>
      </w:r>
    </w:p>
    <w:p w14:paraId="1F45CA0C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Benchmarks results against a static equal-weight portfolio (one-third each) and a static 60/40 portfolio (60% MTUM / 40% USMV / 0% VIXY).</w:t>
      </w:r>
    </w:p>
    <w:p w14:paraId="5364F16B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Reports performance metrics (return, volatility, Sharpe, Sortino, max drawdown, Calmar, VaR), attribution by sleeve, and outcomes by market regime (COVID crash, 2021 bull, 2022 rate shock, 2023 recovery).</w:t>
      </w:r>
    </w:p>
    <w:p w14:paraId="628E8583" w14:textId="77777777" w:rsidR="005F46E6" w:rsidRDefault="00000000">
      <w:r>
        <w:rPr>
          <w:rFonts w:ascii="Calibri" w:eastAsia="Calibri" w:hAnsi="Calibri"/>
          <w:b/>
          <w:color w:val="142850"/>
          <w:sz w:val="28"/>
        </w:rPr>
        <w:t>3. Strategy Sleeves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F46E6" w14:paraId="50248CA9" w14:textId="77777777">
        <w:tc>
          <w:tcPr>
            <w:tcW w:w="3120" w:type="dxa"/>
          </w:tcPr>
          <w:p w14:paraId="10A4E529" w14:textId="77777777" w:rsidR="005F46E6" w:rsidRDefault="00000000">
            <w:r>
              <w:rPr>
                <w:rFonts w:ascii="Calibri" w:eastAsia="Calibri" w:hAnsi="Calibri"/>
                <w:b/>
                <w:sz w:val="20"/>
              </w:rPr>
              <w:t>Sleeve</w:t>
            </w:r>
          </w:p>
        </w:tc>
        <w:tc>
          <w:tcPr>
            <w:tcW w:w="3120" w:type="dxa"/>
          </w:tcPr>
          <w:p w14:paraId="20F7FEF5" w14:textId="77777777" w:rsidR="005F46E6" w:rsidRDefault="00000000">
            <w:r>
              <w:rPr>
                <w:rFonts w:ascii="Calibri" w:eastAsia="Calibri" w:hAnsi="Calibri"/>
                <w:b/>
                <w:sz w:val="20"/>
              </w:rPr>
              <w:t>ETF</w:t>
            </w:r>
          </w:p>
        </w:tc>
        <w:tc>
          <w:tcPr>
            <w:tcW w:w="3120" w:type="dxa"/>
          </w:tcPr>
          <w:p w14:paraId="64FCC528" w14:textId="77777777" w:rsidR="005F46E6" w:rsidRDefault="00000000">
            <w:r>
              <w:rPr>
                <w:rFonts w:ascii="Calibri" w:eastAsia="Calibri" w:hAnsi="Calibri"/>
                <w:b/>
                <w:sz w:val="20"/>
              </w:rPr>
              <w:t>Economic Role</w:t>
            </w:r>
          </w:p>
        </w:tc>
      </w:tr>
      <w:tr w:rsidR="005F46E6" w14:paraId="29BFCD0E" w14:textId="77777777">
        <w:tc>
          <w:tcPr>
            <w:tcW w:w="3120" w:type="dxa"/>
          </w:tcPr>
          <w:p w14:paraId="25351646" w14:textId="77777777" w:rsidR="005F46E6" w:rsidRDefault="00000000">
            <w:r>
              <w:rPr>
                <w:rFonts w:ascii="Calibri" w:eastAsia="Calibri" w:hAnsi="Calibri"/>
                <w:sz w:val="20"/>
              </w:rPr>
              <w:t>Momentum</w:t>
            </w:r>
          </w:p>
        </w:tc>
        <w:tc>
          <w:tcPr>
            <w:tcW w:w="3120" w:type="dxa"/>
          </w:tcPr>
          <w:p w14:paraId="00A43DF8" w14:textId="77777777" w:rsidR="005F46E6" w:rsidRDefault="00000000">
            <w:r>
              <w:rPr>
                <w:rFonts w:ascii="Calibri" w:eastAsia="Calibri" w:hAnsi="Calibri"/>
                <w:sz w:val="20"/>
              </w:rPr>
              <w:t>MTUM</w:t>
            </w:r>
          </w:p>
        </w:tc>
        <w:tc>
          <w:tcPr>
            <w:tcW w:w="3120" w:type="dxa"/>
          </w:tcPr>
          <w:p w14:paraId="37EA11F6" w14:textId="77777777" w:rsidR="005F46E6" w:rsidRDefault="00000000">
            <w:r>
              <w:rPr>
                <w:rFonts w:ascii="Calibri" w:eastAsia="Calibri" w:hAnsi="Calibri"/>
                <w:sz w:val="20"/>
              </w:rPr>
              <w:t>Equity factor tilt; participates in trending markets</w:t>
            </w:r>
          </w:p>
        </w:tc>
      </w:tr>
      <w:tr w:rsidR="005F46E6" w14:paraId="7C66EAF8" w14:textId="77777777">
        <w:tc>
          <w:tcPr>
            <w:tcW w:w="3120" w:type="dxa"/>
          </w:tcPr>
          <w:p w14:paraId="3E2A6A5A" w14:textId="77777777" w:rsidR="005F46E6" w:rsidRDefault="00000000">
            <w:r>
              <w:rPr>
                <w:rFonts w:ascii="Calibri" w:eastAsia="Calibri" w:hAnsi="Calibri"/>
                <w:sz w:val="20"/>
              </w:rPr>
              <w:t>Defensive</w:t>
            </w:r>
          </w:p>
        </w:tc>
        <w:tc>
          <w:tcPr>
            <w:tcW w:w="3120" w:type="dxa"/>
          </w:tcPr>
          <w:p w14:paraId="7C3ED77B" w14:textId="77777777" w:rsidR="005F46E6" w:rsidRDefault="00000000">
            <w:r>
              <w:rPr>
                <w:rFonts w:ascii="Calibri" w:eastAsia="Calibri" w:hAnsi="Calibri"/>
                <w:sz w:val="20"/>
              </w:rPr>
              <w:t>USMV</w:t>
            </w:r>
          </w:p>
        </w:tc>
        <w:tc>
          <w:tcPr>
            <w:tcW w:w="3120" w:type="dxa"/>
          </w:tcPr>
          <w:p w14:paraId="11DD9341" w14:textId="77777777" w:rsidR="005F46E6" w:rsidRDefault="00000000">
            <w:r>
              <w:rPr>
                <w:rFonts w:ascii="Calibri" w:eastAsia="Calibri" w:hAnsi="Calibri"/>
                <w:sz w:val="20"/>
              </w:rPr>
              <w:t>Low-beta / min-vol; capital preservation in risk-off periods</w:t>
            </w:r>
          </w:p>
        </w:tc>
      </w:tr>
      <w:tr w:rsidR="005F46E6" w14:paraId="2A7CCF3F" w14:textId="77777777">
        <w:tc>
          <w:tcPr>
            <w:tcW w:w="3120" w:type="dxa"/>
          </w:tcPr>
          <w:p w14:paraId="13511B71" w14:textId="77777777" w:rsidR="005F46E6" w:rsidRDefault="00000000">
            <w:r>
              <w:rPr>
                <w:rFonts w:ascii="Calibri" w:eastAsia="Calibri" w:hAnsi="Calibri"/>
                <w:sz w:val="20"/>
              </w:rPr>
              <w:t>Crisis / Vol</w:t>
            </w:r>
          </w:p>
        </w:tc>
        <w:tc>
          <w:tcPr>
            <w:tcW w:w="3120" w:type="dxa"/>
          </w:tcPr>
          <w:p w14:paraId="29966E88" w14:textId="77777777" w:rsidR="005F46E6" w:rsidRDefault="00000000">
            <w:r>
              <w:rPr>
                <w:rFonts w:ascii="Calibri" w:eastAsia="Calibri" w:hAnsi="Calibri"/>
                <w:sz w:val="20"/>
              </w:rPr>
              <w:t>VIXY</w:t>
            </w:r>
          </w:p>
        </w:tc>
        <w:tc>
          <w:tcPr>
            <w:tcW w:w="3120" w:type="dxa"/>
          </w:tcPr>
          <w:p w14:paraId="0B1B1EE4" w14:textId="77777777" w:rsidR="005F46E6" w:rsidRDefault="00000000">
            <w:r>
              <w:rPr>
                <w:rFonts w:ascii="Calibri" w:eastAsia="Calibri" w:hAnsi="Calibri"/>
                <w:sz w:val="20"/>
              </w:rPr>
              <w:t>Convexity in market panics; carry cost in calm markets</w:t>
            </w:r>
          </w:p>
        </w:tc>
      </w:tr>
    </w:tbl>
    <w:p w14:paraId="11276321" w14:textId="77777777" w:rsidR="005F46E6" w:rsidRDefault="005F46E6"/>
    <w:p w14:paraId="2F12A827" w14:textId="77777777" w:rsidR="005F46E6" w:rsidRDefault="00000000">
      <w:r>
        <w:rPr>
          <w:rFonts w:ascii="Calibri" w:eastAsia="Calibri" w:hAnsi="Calibri"/>
          <w:b/>
          <w:color w:val="142850"/>
          <w:sz w:val="28"/>
        </w:rPr>
        <w:lastRenderedPageBreak/>
        <w:t>4. Allocation Methods</w:t>
      </w:r>
    </w:p>
    <w:p w14:paraId="79C9BEB9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Inverse Volatility (InvVol): capital weight inversely proportional to recent volatility; fully invested and long-only.</w:t>
      </w:r>
    </w:p>
    <w:p w14:paraId="4BA6C840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Minimum Variance (MinVar): minimizes portfolio variance using the rolling covariance matrix, with each sleeve constrained between 5% and 60%.</w:t>
      </w:r>
    </w:p>
    <w:p w14:paraId="585D21A1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Maximum Diversification (MaxDiv): maximizes the diversification ratio under the same bounds.</w:t>
      </w:r>
    </w:p>
    <w:p w14:paraId="07E00A4A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Equal Weight: permanent one-third allocation to each sleeve (static benchmark).</w:t>
      </w:r>
    </w:p>
    <w:p w14:paraId="38F76278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60/40: permanent 60% MTUM / 40% USMV with no VIXY (return-seeking static benchmark).</w:t>
      </w:r>
    </w:p>
    <w:p w14:paraId="0589682B" w14:textId="77777777" w:rsidR="005F46E6" w:rsidRDefault="00000000">
      <w:r>
        <w:rPr>
          <w:rFonts w:ascii="Calibri" w:eastAsia="Calibri" w:hAnsi="Calibri"/>
          <w:b/>
          <w:color w:val="142850"/>
          <w:sz w:val="28"/>
        </w:rPr>
        <w:t>5. Key Outcomes (Net of Transaction Costs)</w:t>
      </w:r>
    </w:p>
    <w:p w14:paraId="036DF38B" w14:textId="77777777" w:rsidR="005F46E6" w:rsidRDefault="00000000">
      <w:pPr>
        <w:spacing w:after="160"/>
      </w:pPr>
      <w:r>
        <w:rPr>
          <w:rFonts w:ascii="Calibri" w:eastAsia="Calibri" w:hAnsi="Calibri"/>
        </w:rPr>
        <w:t>Results below are from the full sample backtest after deducting 10bps of friction on dynamic rebalancing.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46E6" w14:paraId="452BECD7" w14:textId="77777777">
        <w:tc>
          <w:tcPr>
            <w:tcW w:w="1872" w:type="dxa"/>
          </w:tcPr>
          <w:p w14:paraId="2C24DEA2" w14:textId="77777777" w:rsidR="005F46E6" w:rsidRDefault="00000000">
            <w:r>
              <w:rPr>
                <w:rFonts w:ascii="Calibri" w:eastAsia="Calibri" w:hAnsi="Calibri"/>
                <w:b/>
                <w:sz w:val="20"/>
              </w:rPr>
              <w:t>Method</w:t>
            </w:r>
          </w:p>
        </w:tc>
        <w:tc>
          <w:tcPr>
            <w:tcW w:w="1872" w:type="dxa"/>
          </w:tcPr>
          <w:p w14:paraId="1D7DBD1A" w14:textId="77777777" w:rsidR="005F46E6" w:rsidRDefault="00000000">
            <w:r>
              <w:rPr>
                <w:rFonts w:ascii="Calibri" w:eastAsia="Calibri" w:hAnsi="Calibri"/>
                <w:b/>
                <w:sz w:val="20"/>
              </w:rPr>
              <w:t>Ann. Return</w:t>
            </w:r>
          </w:p>
        </w:tc>
        <w:tc>
          <w:tcPr>
            <w:tcW w:w="1872" w:type="dxa"/>
          </w:tcPr>
          <w:p w14:paraId="7BCC5686" w14:textId="77777777" w:rsidR="005F46E6" w:rsidRDefault="00000000">
            <w:r>
              <w:rPr>
                <w:rFonts w:ascii="Calibri" w:eastAsia="Calibri" w:hAnsi="Calibri"/>
                <w:b/>
                <w:sz w:val="20"/>
              </w:rPr>
              <w:t>Sharpe</w:t>
            </w:r>
          </w:p>
        </w:tc>
        <w:tc>
          <w:tcPr>
            <w:tcW w:w="1872" w:type="dxa"/>
          </w:tcPr>
          <w:p w14:paraId="692048D7" w14:textId="77777777" w:rsidR="005F46E6" w:rsidRDefault="00000000">
            <w:r>
              <w:rPr>
                <w:rFonts w:ascii="Calibri" w:eastAsia="Calibri" w:hAnsi="Calibri"/>
                <w:b/>
                <w:sz w:val="20"/>
              </w:rPr>
              <w:t>Max Drawdown</w:t>
            </w:r>
          </w:p>
        </w:tc>
        <w:tc>
          <w:tcPr>
            <w:tcW w:w="1872" w:type="dxa"/>
          </w:tcPr>
          <w:p w14:paraId="16974B2E" w14:textId="77777777" w:rsidR="005F46E6" w:rsidRDefault="00000000">
            <w:r>
              <w:rPr>
                <w:rFonts w:ascii="Calibri" w:eastAsia="Calibri" w:hAnsi="Calibri"/>
                <w:b/>
                <w:sz w:val="20"/>
              </w:rPr>
              <w:t>VaR 95% (1-day)</w:t>
            </w:r>
          </w:p>
        </w:tc>
      </w:tr>
      <w:tr w:rsidR="005F46E6" w14:paraId="78956275" w14:textId="77777777">
        <w:tc>
          <w:tcPr>
            <w:tcW w:w="1872" w:type="dxa"/>
          </w:tcPr>
          <w:p w14:paraId="4129D8BC" w14:textId="77777777" w:rsidR="005F46E6" w:rsidRDefault="00000000">
            <w:r>
              <w:rPr>
                <w:rFonts w:ascii="Calibri" w:eastAsia="Calibri" w:hAnsi="Calibri"/>
                <w:sz w:val="20"/>
              </w:rPr>
              <w:t>Inverse Volatility</w:t>
            </w:r>
          </w:p>
        </w:tc>
        <w:tc>
          <w:tcPr>
            <w:tcW w:w="1872" w:type="dxa"/>
          </w:tcPr>
          <w:p w14:paraId="7D6C7BF6" w14:textId="77777777" w:rsidR="005F46E6" w:rsidRDefault="00000000">
            <w:r>
              <w:rPr>
                <w:rFonts w:ascii="Calibri" w:eastAsia="Calibri" w:hAnsi="Calibri"/>
                <w:sz w:val="20"/>
              </w:rPr>
              <w:t>7.8%</w:t>
            </w:r>
          </w:p>
        </w:tc>
        <w:tc>
          <w:tcPr>
            <w:tcW w:w="1872" w:type="dxa"/>
          </w:tcPr>
          <w:p w14:paraId="45DC7A23" w14:textId="77777777" w:rsidR="005F46E6" w:rsidRDefault="00000000">
            <w:r>
              <w:rPr>
                <w:rFonts w:ascii="Calibri" w:eastAsia="Calibri" w:hAnsi="Calibri"/>
                <w:sz w:val="20"/>
              </w:rPr>
              <w:t>0.30</w:t>
            </w:r>
          </w:p>
        </w:tc>
        <w:tc>
          <w:tcPr>
            <w:tcW w:w="1872" w:type="dxa"/>
          </w:tcPr>
          <w:p w14:paraId="36466E9A" w14:textId="77777777" w:rsidR="005F46E6" w:rsidRDefault="00000000">
            <w:r>
              <w:rPr>
                <w:rFonts w:ascii="Calibri" w:eastAsia="Calibri" w:hAnsi="Calibri"/>
                <w:sz w:val="20"/>
              </w:rPr>
              <w:t>-22.8%</w:t>
            </w:r>
          </w:p>
        </w:tc>
        <w:tc>
          <w:tcPr>
            <w:tcW w:w="1872" w:type="dxa"/>
          </w:tcPr>
          <w:p w14:paraId="470DD446" w14:textId="77777777" w:rsidR="005F46E6" w:rsidRDefault="00000000">
            <w:r>
              <w:rPr>
                <w:rFonts w:ascii="Calibri" w:eastAsia="Calibri" w:hAnsi="Calibri"/>
                <w:sz w:val="20"/>
              </w:rPr>
              <w:t>-0.86%</w:t>
            </w:r>
          </w:p>
        </w:tc>
      </w:tr>
      <w:tr w:rsidR="005F46E6" w14:paraId="6873BF8C" w14:textId="77777777">
        <w:tc>
          <w:tcPr>
            <w:tcW w:w="1872" w:type="dxa"/>
          </w:tcPr>
          <w:p w14:paraId="15EF2B53" w14:textId="77777777" w:rsidR="005F46E6" w:rsidRDefault="00000000">
            <w:r>
              <w:rPr>
                <w:rFonts w:ascii="Calibri" w:eastAsia="Calibri" w:hAnsi="Calibri"/>
                <w:sz w:val="20"/>
              </w:rPr>
              <w:t>Minimum Variance</w:t>
            </w:r>
          </w:p>
        </w:tc>
        <w:tc>
          <w:tcPr>
            <w:tcW w:w="1872" w:type="dxa"/>
          </w:tcPr>
          <w:p w14:paraId="135DDCB5" w14:textId="77777777" w:rsidR="005F46E6" w:rsidRDefault="00000000">
            <w:r>
              <w:rPr>
                <w:rFonts w:ascii="Calibri" w:eastAsia="Calibri" w:hAnsi="Calibri"/>
                <w:sz w:val="20"/>
              </w:rPr>
              <w:t>5.0%</w:t>
            </w:r>
          </w:p>
        </w:tc>
        <w:tc>
          <w:tcPr>
            <w:tcW w:w="1872" w:type="dxa"/>
          </w:tcPr>
          <w:p w14:paraId="12E8BF28" w14:textId="77777777" w:rsidR="005F46E6" w:rsidRDefault="00000000">
            <w:r>
              <w:rPr>
                <w:rFonts w:ascii="Calibri" w:eastAsia="Calibri" w:hAnsi="Calibri"/>
                <w:sz w:val="20"/>
              </w:rPr>
              <w:t>0.05</w:t>
            </w:r>
          </w:p>
        </w:tc>
        <w:tc>
          <w:tcPr>
            <w:tcW w:w="1872" w:type="dxa"/>
          </w:tcPr>
          <w:p w14:paraId="05FA2C3D" w14:textId="77777777" w:rsidR="005F46E6" w:rsidRDefault="00000000">
            <w:r>
              <w:rPr>
                <w:rFonts w:ascii="Calibri" w:eastAsia="Calibri" w:hAnsi="Calibri"/>
                <w:sz w:val="20"/>
              </w:rPr>
              <w:t>-28.0%</w:t>
            </w:r>
          </w:p>
        </w:tc>
        <w:tc>
          <w:tcPr>
            <w:tcW w:w="1872" w:type="dxa"/>
          </w:tcPr>
          <w:p w14:paraId="697FD74E" w14:textId="77777777" w:rsidR="005F46E6" w:rsidRDefault="00000000">
            <w:r>
              <w:rPr>
                <w:rFonts w:ascii="Calibri" w:eastAsia="Calibri" w:hAnsi="Calibri"/>
                <w:sz w:val="20"/>
              </w:rPr>
              <w:t>-0.79%</w:t>
            </w:r>
          </w:p>
        </w:tc>
      </w:tr>
      <w:tr w:rsidR="005F46E6" w14:paraId="3E3C0716" w14:textId="77777777">
        <w:tc>
          <w:tcPr>
            <w:tcW w:w="1872" w:type="dxa"/>
          </w:tcPr>
          <w:p w14:paraId="3B88537F" w14:textId="77777777" w:rsidR="005F46E6" w:rsidRDefault="00000000">
            <w:r>
              <w:rPr>
                <w:rFonts w:ascii="Calibri" w:eastAsia="Calibri" w:hAnsi="Calibri"/>
                <w:sz w:val="20"/>
              </w:rPr>
              <w:t>Max Diversification</w:t>
            </w:r>
          </w:p>
        </w:tc>
        <w:tc>
          <w:tcPr>
            <w:tcW w:w="1872" w:type="dxa"/>
          </w:tcPr>
          <w:p w14:paraId="77F80FB7" w14:textId="77777777" w:rsidR="005F46E6" w:rsidRDefault="00000000">
            <w:r>
              <w:rPr>
                <w:rFonts w:ascii="Calibri" w:eastAsia="Calibri" w:hAnsi="Calibri"/>
                <w:sz w:val="20"/>
              </w:rPr>
              <w:t>3.8%</w:t>
            </w:r>
          </w:p>
        </w:tc>
        <w:tc>
          <w:tcPr>
            <w:tcW w:w="1872" w:type="dxa"/>
          </w:tcPr>
          <w:p w14:paraId="027FE4DB" w14:textId="77777777" w:rsidR="005F46E6" w:rsidRDefault="00000000">
            <w:r>
              <w:rPr>
                <w:rFonts w:ascii="Calibri" w:eastAsia="Calibri" w:hAnsi="Calibri"/>
                <w:sz w:val="20"/>
              </w:rPr>
              <w:t>-0.07</w:t>
            </w:r>
          </w:p>
        </w:tc>
        <w:tc>
          <w:tcPr>
            <w:tcW w:w="1872" w:type="dxa"/>
          </w:tcPr>
          <w:p w14:paraId="7F7B6552" w14:textId="77777777" w:rsidR="005F46E6" w:rsidRDefault="00000000">
            <w:r>
              <w:rPr>
                <w:rFonts w:ascii="Calibri" w:eastAsia="Calibri" w:hAnsi="Calibri"/>
                <w:sz w:val="20"/>
              </w:rPr>
              <w:t>-36.6%</w:t>
            </w:r>
          </w:p>
        </w:tc>
        <w:tc>
          <w:tcPr>
            <w:tcW w:w="1872" w:type="dxa"/>
          </w:tcPr>
          <w:p w14:paraId="3BEAEABC" w14:textId="77777777" w:rsidR="005F46E6" w:rsidRDefault="00000000">
            <w:r>
              <w:rPr>
                <w:rFonts w:ascii="Calibri" w:eastAsia="Calibri" w:hAnsi="Calibri"/>
                <w:sz w:val="20"/>
              </w:rPr>
              <w:t>-0.87%</w:t>
            </w:r>
          </w:p>
        </w:tc>
      </w:tr>
      <w:tr w:rsidR="005F46E6" w14:paraId="6958C180" w14:textId="77777777">
        <w:tc>
          <w:tcPr>
            <w:tcW w:w="1872" w:type="dxa"/>
          </w:tcPr>
          <w:p w14:paraId="1FE8BA33" w14:textId="77777777" w:rsidR="005F46E6" w:rsidRDefault="00000000">
            <w:r>
              <w:rPr>
                <w:rFonts w:ascii="Calibri" w:eastAsia="Calibri" w:hAnsi="Calibri"/>
                <w:sz w:val="20"/>
              </w:rPr>
              <w:t>Equal Weight</w:t>
            </w:r>
          </w:p>
        </w:tc>
        <w:tc>
          <w:tcPr>
            <w:tcW w:w="1872" w:type="dxa"/>
          </w:tcPr>
          <w:p w14:paraId="3E3BFCE3" w14:textId="77777777" w:rsidR="005F46E6" w:rsidRDefault="00000000">
            <w:r>
              <w:rPr>
                <w:rFonts w:ascii="Calibri" w:eastAsia="Calibri" w:hAnsi="Calibri"/>
                <w:sz w:val="20"/>
              </w:rPr>
              <w:t>-4.6%</w:t>
            </w:r>
          </w:p>
        </w:tc>
        <w:tc>
          <w:tcPr>
            <w:tcW w:w="1872" w:type="dxa"/>
          </w:tcPr>
          <w:p w14:paraId="1E615973" w14:textId="77777777" w:rsidR="005F46E6" w:rsidRDefault="00000000">
            <w:r>
              <w:rPr>
                <w:rFonts w:ascii="Calibri" w:eastAsia="Calibri" w:hAnsi="Calibri"/>
                <w:sz w:val="20"/>
              </w:rPr>
              <w:t>-0.50</w:t>
            </w:r>
          </w:p>
        </w:tc>
        <w:tc>
          <w:tcPr>
            <w:tcW w:w="1872" w:type="dxa"/>
          </w:tcPr>
          <w:p w14:paraId="17B1411C" w14:textId="77777777" w:rsidR="005F46E6" w:rsidRDefault="00000000">
            <w:r>
              <w:rPr>
                <w:rFonts w:ascii="Calibri" w:eastAsia="Calibri" w:hAnsi="Calibri"/>
                <w:sz w:val="20"/>
              </w:rPr>
              <w:t>-57.0%</w:t>
            </w:r>
          </w:p>
        </w:tc>
        <w:tc>
          <w:tcPr>
            <w:tcW w:w="1872" w:type="dxa"/>
          </w:tcPr>
          <w:p w14:paraId="061B88B8" w14:textId="77777777" w:rsidR="005F46E6" w:rsidRDefault="00000000">
            <w:r>
              <w:rPr>
                <w:rFonts w:ascii="Calibri" w:eastAsia="Calibri" w:hAnsi="Calibri"/>
                <w:sz w:val="20"/>
              </w:rPr>
              <w:t>-1.46%</w:t>
            </w:r>
          </w:p>
        </w:tc>
      </w:tr>
      <w:tr w:rsidR="005F46E6" w14:paraId="007BB5AB" w14:textId="77777777">
        <w:tc>
          <w:tcPr>
            <w:tcW w:w="1872" w:type="dxa"/>
          </w:tcPr>
          <w:p w14:paraId="0D04305B" w14:textId="77777777" w:rsidR="005F46E6" w:rsidRDefault="00000000">
            <w:r>
              <w:rPr>
                <w:rFonts w:ascii="Calibri" w:eastAsia="Calibri" w:hAnsi="Calibri"/>
                <w:sz w:val="20"/>
              </w:rPr>
              <w:t>60/40 (no VIXY)</w:t>
            </w:r>
          </w:p>
        </w:tc>
        <w:tc>
          <w:tcPr>
            <w:tcW w:w="1872" w:type="dxa"/>
          </w:tcPr>
          <w:p w14:paraId="74BFD943" w14:textId="77777777" w:rsidR="005F46E6" w:rsidRDefault="00000000">
            <w:r>
              <w:rPr>
                <w:rFonts w:ascii="Calibri" w:eastAsia="Calibri" w:hAnsi="Calibri"/>
                <w:sz w:val="20"/>
              </w:rPr>
              <w:t>15.3%</w:t>
            </w:r>
          </w:p>
        </w:tc>
        <w:tc>
          <w:tcPr>
            <w:tcW w:w="1872" w:type="dxa"/>
          </w:tcPr>
          <w:p w14:paraId="7EFEE71B" w14:textId="77777777" w:rsidR="005F46E6" w:rsidRDefault="00000000">
            <w:r>
              <w:rPr>
                <w:rFonts w:ascii="Calibri" w:eastAsia="Calibri" w:hAnsi="Calibri"/>
                <w:sz w:val="20"/>
              </w:rPr>
              <w:t>0.56</w:t>
            </w:r>
          </w:p>
        </w:tc>
        <w:tc>
          <w:tcPr>
            <w:tcW w:w="1872" w:type="dxa"/>
          </w:tcPr>
          <w:p w14:paraId="13F4FC1C" w14:textId="77777777" w:rsidR="005F46E6" w:rsidRDefault="00000000">
            <w:r>
              <w:rPr>
                <w:rFonts w:ascii="Calibri" w:eastAsia="Calibri" w:hAnsi="Calibri"/>
                <w:sz w:val="20"/>
              </w:rPr>
              <w:t>-33.6%</w:t>
            </w:r>
          </w:p>
        </w:tc>
        <w:tc>
          <w:tcPr>
            <w:tcW w:w="1872" w:type="dxa"/>
          </w:tcPr>
          <w:p w14:paraId="3878770B" w14:textId="77777777" w:rsidR="005F46E6" w:rsidRDefault="00000000">
            <w:r>
              <w:rPr>
                <w:rFonts w:ascii="Calibri" w:eastAsia="Calibri" w:hAnsi="Calibri"/>
                <w:sz w:val="20"/>
              </w:rPr>
              <w:t>-1.70%</w:t>
            </w:r>
          </w:p>
        </w:tc>
      </w:tr>
    </w:tbl>
    <w:p w14:paraId="24F51E57" w14:textId="77777777" w:rsidR="005F46E6" w:rsidRDefault="005F46E6"/>
    <w:p w14:paraId="6A99B271" w14:textId="77777777" w:rsidR="005F46E6" w:rsidRDefault="00000000">
      <w:r>
        <w:rPr>
          <w:rFonts w:ascii="Calibri" w:eastAsia="Calibri" w:hAnsi="Calibri"/>
          <w:b/>
          <w:color w:val="142850"/>
          <w:sz w:val="24"/>
        </w:rPr>
        <w:t>Main findings</w:t>
      </w:r>
    </w:p>
    <w:p w14:paraId="255F7F4B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Inverse-volatility allocation improved risk-adjusted performance versus equal-weight: Sharpe rose from -0.50 to 0.30, and maximum drawdown fell from -57% to about -23%.</w:t>
      </w:r>
    </w:p>
    <w:p w14:paraId="5BA32122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Static 60/40 delivered the highest annualized return (~15%) because it never holds VIXY and therefore avoids the long-run roll / contango cost of a permanent volatility sleeve.</w:t>
      </w:r>
    </w:p>
    <w:p w14:paraId="1C3AFABB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Crisis convexity is regime-dependent: VIXY helps in sharp volatility spikes (for example, March 2020) but is expensive insurance in calm markets and in grinding rate-driven bears such as 2022.</w:t>
      </w:r>
    </w:p>
    <w:p w14:paraId="1DB1A88F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The practical conclusion is mandate-dependent: use dynamic inverse-vol when the goal is risk-aware allocation with a crisis sleeve; use static 60/40 when the goal is return and permanent hedges are optional.</w:t>
      </w:r>
    </w:p>
    <w:p w14:paraId="439C3A82" w14:textId="77777777" w:rsidR="005F46E6" w:rsidRDefault="00000000">
      <w:r>
        <w:rPr>
          <w:rFonts w:ascii="Calibri" w:eastAsia="Calibri" w:hAnsi="Calibri"/>
          <w:b/>
          <w:color w:val="142850"/>
          <w:sz w:val="28"/>
        </w:rPr>
        <w:t>6. Regime Perspective</w:t>
      </w:r>
    </w:p>
    <w:p w14:paraId="5B7D6EC8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COVID crash (Feb–Mar 2020): the crisis sleeve exhibited strong convexity; equal-weight benefited from VIXY while 60/40 sold off without a hedge.</w:t>
      </w:r>
    </w:p>
    <w:p w14:paraId="760FDB86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2021 bull: equity-heavy sleeves performed well; carrying VIXY reduced relative returns.</w:t>
      </w:r>
    </w:p>
    <w:p w14:paraId="5965A0F5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2022 rate shock: broad risk-off; dynamic risk cuts helped control drawdowns, but the vol sleeve was less decisive than in a sharp panic.</w:t>
      </w:r>
    </w:p>
    <w:p w14:paraId="2ADCCBD2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2023 recovery: risk-on returns favoured equity blends without a permanent crisis sleeve.</w:t>
      </w:r>
    </w:p>
    <w:p w14:paraId="7383F195" w14:textId="77777777" w:rsidR="005F46E6" w:rsidRDefault="00000000">
      <w:r>
        <w:rPr>
          <w:rFonts w:ascii="Calibri" w:eastAsia="Calibri" w:hAnsi="Calibri"/>
          <w:b/>
          <w:color w:val="142850"/>
          <w:sz w:val="28"/>
        </w:rPr>
        <w:t>7. Limitations</w:t>
      </w:r>
    </w:p>
    <w:p w14:paraId="27D7C71C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lastRenderedPageBreak/>
        <w:t>VIXY is a futures-based product with structural roll costs — not a free permanent hedge.</w:t>
      </w:r>
    </w:p>
    <w:p w14:paraId="1BFE38E4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ETF proxies approximate strategy styles; they are not live hedge-fund P&amp;L.</w:t>
      </w:r>
    </w:p>
    <w:p w14:paraId="02D953C1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Daily rebalancing overstates typical institutional turnover.</w:t>
      </w:r>
    </w:p>
    <w:p w14:paraId="666ECD2E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The model is long-only and fully invested, with no leverage, shorting, or cash sleeve.</w:t>
      </w:r>
    </w:p>
    <w:p w14:paraId="43C25526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Past regime results are not forecasts.</w:t>
      </w:r>
    </w:p>
    <w:p w14:paraId="114971D1" w14:textId="77777777" w:rsidR="005F46E6" w:rsidRDefault="00000000">
      <w:r>
        <w:rPr>
          <w:rFonts w:ascii="Calibri" w:eastAsia="Calibri" w:hAnsi="Calibri"/>
          <w:b/>
          <w:color w:val="142850"/>
          <w:sz w:val="28"/>
        </w:rPr>
        <w:t>8. Project Deliverables</w:t>
      </w:r>
    </w:p>
    <w:p w14:paraId="49A01EB1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Investment memo summarizing thesis, methodology, results, and recommendation.</w:t>
      </w:r>
    </w:p>
    <w:p w14:paraId="1EC635E2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Excel workbook with returns, dynamic weights, performance metrics, regimes, and attribution.</w:t>
      </w:r>
    </w:p>
    <w:p w14:paraId="350DE0D1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Strategy rationale documenting the economic role of each sleeve.</w:t>
      </w:r>
    </w:p>
    <w:p w14:paraId="707670DD" w14:textId="77777777" w:rsidR="005F46E6" w:rsidRDefault="00000000">
      <w:pPr>
        <w:pStyle w:val="ListBullet"/>
        <w:spacing w:after="60"/>
      </w:pPr>
      <w:r>
        <w:rPr>
          <w:rFonts w:ascii="Calibri" w:eastAsia="Calibri" w:hAnsi="Calibri"/>
        </w:rPr>
        <w:t>Interactive dashboard and charts comparing equity curves and capital weights over time.</w:t>
      </w:r>
    </w:p>
    <w:p w14:paraId="0AD4BE4E" w14:textId="2F53C639" w:rsidR="005F46E6" w:rsidRDefault="005F46E6"/>
    <w:sectPr w:rsidR="005F46E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708495">
    <w:abstractNumId w:val="8"/>
  </w:num>
  <w:num w:numId="2" w16cid:durableId="1770002655">
    <w:abstractNumId w:val="6"/>
  </w:num>
  <w:num w:numId="3" w16cid:durableId="1991010094">
    <w:abstractNumId w:val="5"/>
  </w:num>
  <w:num w:numId="4" w16cid:durableId="1734281140">
    <w:abstractNumId w:val="4"/>
  </w:num>
  <w:num w:numId="5" w16cid:durableId="451558986">
    <w:abstractNumId w:val="7"/>
  </w:num>
  <w:num w:numId="6" w16cid:durableId="1122698474">
    <w:abstractNumId w:val="3"/>
  </w:num>
  <w:num w:numId="7" w16cid:durableId="1424181329">
    <w:abstractNumId w:val="2"/>
  </w:num>
  <w:num w:numId="8" w16cid:durableId="98840608">
    <w:abstractNumId w:val="1"/>
  </w:num>
  <w:num w:numId="9" w16cid:durableId="425420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E1E"/>
    <w:rsid w:val="00326F90"/>
    <w:rsid w:val="005F46E6"/>
    <w:rsid w:val="007421DF"/>
    <w:rsid w:val="009C6CDF"/>
    <w:rsid w:val="00AA1D8D"/>
    <w:rsid w:val="00B47730"/>
    <w:rsid w:val="00CB0664"/>
    <w:rsid w:val="00E033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BC640"/>
  <w14:defaultImageDpi w14:val="300"/>
  <w15:docId w15:val="{BD3CB72A-9690-4C4C-B3A9-CAE40A82D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YAshvardhan Singroha</cp:lastModifiedBy>
  <cp:revision>4</cp:revision>
  <dcterms:created xsi:type="dcterms:W3CDTF">2013-12-23T23:15:00Z</dcterms:created>
  <dcterms:modified xsi:type="dcterms:W3CDTF">2026-08-05T22:14:00Z</dcterms:modified>
  <cp:category/>
</cp:coreProperties>
</file>