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36242" w14:textId="77777777" w:rsidR="003B71E4" w:rsidRPr="003C74B7" w:rsidRDefault="00000000">
      <w:pPr>
        <w:pStyle w:val="Heading1"/>
        <w:rPr>
          <w:color w:val="000000" w:themeColor="text1"/>
        </w:rPr>
      </w:pPr>
      <w:bookmarkStart w:id="0" w:name="Xaa08af680b29b351851410baf206512d2633443"/>
      <w:r w:rsidRPr="003C74B7">
        <w:rPr>
          <w:color w:val="000000" w:themeColor="text1"/>
        </w:rPr>
        <w:t>Business Summary Report: Predictive Insights for Collections Strategy</w:t>
      </w:r>
    </w:p>
    <w:p w14:paraId="710D40CF" w14:textId="77777777" w:rsidR="003B71E4" w:rsidRPr="003C74B7" w:rsidRDefault="00000000">
      <w:pPr>
        <w:pStyle w:val="Heading2"/>
        <w:rPr>
          <w:color w:val="000000" w:themeColor="text1"/>
        </w:rPr>
      </w:pPr>
      <w:bookmarkStart w:id="1" w:name="summary-of-predictive-insights"/>
      <w:r w:rsidRPr="003C74B7">
        <w:rPr>
          <w:color w:val="000000" w:themeColor="text1"/>
        </w:rPr>
        <w:t>1. Summary of Predictive Insights</w:t>
      </w:r>
    </w:p>
    <w:p w14:paraId="247C464E" w14:textId="77777777" w:rsidR="003B71E4" w:rsidRPr="003C74B7" w:rsidRDefault="00000000">
      <w:pPr>
        <w:pStyle w:val="FirstParagraph"/>
        <w:rPr>
          <w:color w:val="000000" w:themeColor="text1"/>
        </w:rPr>
      </w:pPr>
      <w:r w:rsidRPr="003C74B7">
        <w:rPr>
          <w:color w:val="000000" w:themeColor="text1"/>
        </w:rPr>
        <w:t>The objective of the predictive analysis was to identify customers who may be at risk of delinquency and provide actionable insights for Geldium’s Collections team. Multiple classification models were evaluated, including Logistic Regression, Decision Tree, Random Forest, XGBoost, and LightGBM.</w:t>
      </w:r>
    </w:p>
    <w:p w14:paraId="4EA1E78A" w14:textId="77777777" w:rsidR="003B71E4" w:rsidRPr="003C74B7" w:rsidRDefault="00000000">
      <w:pPr>
        <w:pStyle w:val="BodyText"/>
        <w:rPr>
          <w:color w:val="000000" w:themeColor="text1"/>
        </w:rPr>
      </w:pPr>
      <w:r w:rsidRPr="003C74B7">
        <w:rPr>
          <w:color w:val="000000" w:themeColor="text1"/>
        </w:rPr>
        <w:t>The analysis revealed that the dataset contained limited predictive signal, resulting in relatively low model performance across all algorithms. However, several variables showed some association with delinquency risk and may be useful for customer monitoring and intervention strategies.</w:t>
      </w:r>
    </w:p>
    <w:p w14:paraId="343C84BB" w14:textId="77777777" w:rsidR="003B71E4" w:rsidRPr="003C74B7" w:rsidRDefault="00000000">
      <w:pPr>
        <w:pStyle w:val="Heading3"/>
        <w:rPr>
          <w:color w:val="000000" w:themeColor="text1"/>
        </w:rPr>
      </w:pPr>
      <w:bookmarkStart w:id="2" w:name="key-findings"/>
      <w:r w:rsidRPr="003C74B7">
        <w:rPr>
          <w:color w:val="000000" w:themeColor="text1"/>
        </w:rPr>
        <w:t>Key Findings</w:t>
      </w:r>
    </w:p>
    <w:p w14:paraId="10BCCD7B" w14:textId="77777777" w:rsidR="003B71E4" w:rsidRPr="003C74B7" w:rsidRDefault="00000000">
      <w:pPr>
        <w:pStyle w:val="Compact"/>
        <w:numPr>
          <w:ilvl w:val="0"/>
          <w:numId w:val="2"/>
        </w:numPr>
        <w:rPr>
          <w:color w:val="000000" w:themeColor="text1"/>
        </w:rPr>
      </w:pPr>
      <w:r w:rsidRPr="003C74B7">
        <w:rPr>
          <w:color w:val="000000" w:themeColor="text1"/>
        </w:rPr>
        <w:t>Customers with higher numbers of missed payments and higher debt-to-income ratios showed a greater tendency toward delinquency compared to other customers.</w:t>
      </w:r>
    </w:p>
    <w:p w14:paraId="3623AF77" w14:textId="77777777" w:rsidR="003B71E4" w:rsidRPr="003C74B7" w:rsidRDefault="00000000">
      <w:pPr>
        <w:pStyle w:val="Compact"/>
        <w:numPr>
          <w:ilvl w:val="0"/>
          <w:numId w:val="2"/>
        </w:numPr>
        <w:rPr>
          <w:color w:val="000000" w:themeColor="text1"/>
        </w:rPr>
      </w:pPr>
      <w:r w:rsidRPr="003C74B7">
        <w:rPr>
          <w:color w:val="000000" w:themeColor="text1"/>
        </w:rPr>
        <w:t>Monthly repayment behavior (late or missed payments) appears to be the most useful behavioral indicator available in the dataset.</w:t>
      </w:r>
    </w:p>
    <w:p w14:paraId="120F4286" w14:textId="77777777" w:rsidR="003B71E4" w:rsidRPr="003C74B7" w:rsidRDefault="00000000">
      <w:pPr>
        <w:pStyle w:val="Compact"/>
        <w:numPr>
          <w:ilvl w:val="0"/>
          <w:numId w:val="2"/>
        </w:numPr>
        <w:rPr>
          <w:color w:val="000000" w:themeColor="text1"/>
        </w:rPr>
      </w:pPr>
      <w:r w:rsidRPr="003C74B7">
        <w:rPr>
          <w:color w:val="000000" w:themeColor="text1"/>
        </w:rPr>
        <w:t>Demographic variables such as age and location demonstrated weak predictive relationships with delinquency, while traditional financial variables such as income and credit score showed limited predictive power in the current dataset.</w:t>
      </w:r>
    </w:p>
    <w:p w14:paraId="6E77BD6F" w14:textId="77777777" w:rsidR="003B71E4" w:rsidRPr="003C74B7" w:rsidRDefault="00000000">
      <w:pPr>
        <w:pStyle w:val="Heading3"/>
        <w:rPr>
          <w:color w:val="000000" w:themeColor="text1"/>
        </w:rPr>
      </w:pPr>
      <w:bookmarkStart w:id="3" w:name="key-insights-summary-table"/>
      <w:bookmarkEnd w:id="2"/>
      <w:r w:rsidRPr="003C74B7">
        <w:rPr>
          <w:color w:val="000000" w:themeColor="text1"/>
        </w:rPr>
        <w:t>Key Insights Summary Table</w:t>
      </w:r>
    </w:p>
    <w:tbl>
      <w:tblPr>
        <w:tblStyle w:val="Table"/>
        <w:tblW w:w="5000" w:type="pct"/>
        <w:tblLayout w:type="fixed"/>
        <w:tblLook w:val="0020" w:firstRow="1" w:lastRow="0" w:firstColumn="0" w:lastColumn="0" w:noHBand="0" w:noVBand="0"/>
      </w:tblPr>
      <w:tblGrid>
        <w:gridCol w:w="1666"/>
        <w:gridCol w:w="2359"/>
        <w:gridCol w:w="3053"/>
        <w:gridCol w:w="2498"/>
      </w:tblGrid>
      <w:tr w:rsidR="003B71E4" w:rsidRPr="003C74B7" w14:paraId="6997454C" w14:textId="77777777" w:rsidTr="003B71E4">
        <w:trPr>
          <w:cnfStyle w:val="100000000000" w:firstRow="1" w:lastRow="0" w:firstColumn="0" w:lastColumn="0" w:oddVBand="0" w:evenVBand="0" w:oddHBand="0" w:evenHBand="0" w:firstRowFirstColumn="0" w:firstRowLastColumn="0" w:lastRowFirstColumn="0" w:lastRowLastColumn="0"/>
          <w:tblHeader/>
        </w:trPr>
        <w:tc>
          <w:tcPr>
            <w:tcW w:w="1377" w:type="dxa"/>
          </w:tcPr>
          <w:p w14:paraId="02AB325B" w14:textId="77777777" w:rsidR="003B71E4" w:rsidRPr="003C74B7" w:rsidRDefault="00000000">
            <w:pPr>
              <w:pStyle w:val="Compact"/>
              <w:rPr>
                <w:color w:val="000000" w:themeColor="text1"/>
              </w:rPr>
            </w:pPr>
            <w:r w:rsidRPr="003C74B7">
              <w:rPr>
                <w:color w:val="000000" w:themeColor="text1"/>
              </w:rPr>
              <w:t>Key Insight</w:t>
            </w:r>
          </w:p>
        </w:tc>
        <w:tc>
          <w:tcPr>
            <w:tcW w:w="1951" w:type="dxa"/>
          </w:tcPr>
          <w:p w14:paraId="7CB7773D" w14:textId="77777777" w:rsidR="003B71E4" w:rsidRPr="003C74B7" w:rsidRDefault="00000000">
            <w:pPr>
              <w:pStyle w:val="Compact"/>
              <w:rPr>
                <w:color w:val="000000" w:themeColor="text1"/>
              </w:rPr>
            </w:pPr>
            <w:r w:rsidRPr="003C74B7">
              <w:rPr>
                <w:color w:val="000000" w:themeColor="text1"/>
              </w:rPr>
              <w:t>Customer Segment</w:t>
            </w:r>
          </w:p>
        </w:tc>
        <w:tc>
          <w:tcPr>
            <w:tcW w:w="2525" w:type="dxa"/>
          </w:tcPr>
          <w:p w14:paraId="2566697B" w14:textId="77777777" w:rsidR="003B71E4" w:rsidRPr="003C74B7" w:rsidRDefault="00000000">
            <w:pPr>
              <w:pStyle w:val="Compact"/>
              <w:rPr>
                <w:color w:val="000000" w:themeColor="text1"/>
              </w:rPr>
            </w:pPr>
            <w:r w:rsidRPr="003C74B7">
              <w:rPr>
                <w:color w:val="000000" w:themeColor="text1"/>
              </w:rPr>
              <w:t>Influencing Variables</w:t>
            </w:r>
          </w:p>
        </w:tc>
        <w:tc>
          <w:tcPr>
            <w:tcW w:w="2066" w:type="dxa"/>
          </w:tcPr>
          <w:p w14:paraId="64E96A13" w14:textId="77777777" w:rsidR="003B71E4" w:rsidRPr="003C74B7" w:rsidRDefault="00000000">
            <w:pPr>
              <w:pStyle w:val="Compact"/>
              <w:rPr>
                <w:color w:val="000000" w:themeColor="text1"/>
              </w:rPr>
            </w:pPr>
            <w:r w:rsidRPr="003C74B7">
              <w:rPr>
                <w:color w:val="000000" w:themeColor="text1"/>
              </w:rPr>
              <w:t>Potential Impact</w:t>
            </w:r>
          </w:p>
        </w:tc>
      </w:tr>
      <w:tr w:rsidR="003B71E4" w:rsidRPr="003C74B7" w14:paraId="1D0BE703" w14:textId="77777777">
        <w:tc>
          <w:tcPr>
            <w:tcW w:w="1377" w:type="dxa"/>
          </w:tcPr>
          <w:p w14:paraId="6B4A721D" w14:textId="77777777" w:rsidR="003B71E4" w:rsidRPr="003C74B7" w:rsidRDefault="00000000">
            <w:pPr>
              <w:pStyle w:val="Compact"/>
              <w:rPr>
                <w:color w:val="000000" w:themeColor="text1"/>
              </w:rPr>
            </w:pPr>
            <w:r w:rsidRPr="003C74B7">
              <w:rPr>
                <w:color w:val="000000" w:themeColor="text1"/>
              </w:rPr>
              <w:t>Higher missed payment frequency is associated with increased delinquency risk</w:t>
            </w:r>
          </w:p>
        </w:tc>
        <w:tc>
          <w:tcPr>
            <w:tcW w:w="1951" w:type="dxa"/>
          </w:tcPr>
          <w:p w14:paraId="2208A5E4" w14:textId="77777777" w:rsidR="003B71E4" w:rsidRPr="003C74B7" w:rsidRDefault="00000000">
            <w:pPr>
              <w:pStyle w:val="Compact"/>
              <w:rPr>
                <w:color w:val="000000" w:themeColor="text1"/>
              </w:rPr>
            </w:pPr>
            <w:r w:rsidRPr="003C74B7">
              <w:rPr>
                <w:color w:val="000000" w:themeColor="text1"/>
              </w:rPr>
              <w:t>Customers with repeated late or missed payments</w:t>
            </w:r>
          </w:p>
        </w:tc>
        <w:tc>
          <w:tcPr>
            <w:tcW w:w="2525" w:type="dxa"/>
          </w:tcPr>
          <w:p w14:paraId="40D0F046" w14:textId="77777777" w:rsidR="003B71E4" w:rsidRPr="003C74B7" w:rsidRDefault="00000000">
            <w:pPr>
              <w:pStyle w:val="Compact"/>
              <w:rPr>
                <w:color w:val="000000" w:themeColor="text1"/>
              </w:rPr>
            </w:pPr>
            <w:r w:rsidRPr="003C74B7">
              <w:rPr>
                <w:color w:val="000000" w:themeColor="text1"/>
              </w:rPr>
              <w:t>Missed Payments, Monthly Payment History</w:t>
            </w:r>
          </w:p>
        </w:tc>
        <w:tc>
          <w:tcPr>
            <w:tcW w:w="2066" w:type="dxa"/>
          </w:tcPr>
          <w:p w14:paraId="2A9E7C1B" w14:textId="77777777" w:rsidR="003B71E4" w:rsidRPr="003C74B7" w:rsidRDefault="00000000">
            <w:pPr>
              <w:pStyle w:val="Compact"/>
              <w:rPr>
                <w:color w:val="000000" w:themeColor="text1"/>
              </w:rPr>
            </w:pPr>
            <w:r w:rsidRPr="003C74B7">
              <w:rPr>
                <w:color w:val="000000" w:themeColor="text1"/>
              </w:rPr>
              <w:t>Enables early intervention before delinquency escalates</w:t>
            </w:r>
          </w:p>
        </w:tc>
      </w:tr>
      <w:tr w:rsidR="003B71E4" w:rsidRPr="003C74B7" w14:paraId="3141E0DD" w14:textId="77777777">
        <w:tc>
          <w:tcPr>
            <w:tcW w:w="1377" w:type="dxa"/>
          </w:tcPr>
          <w:p w14:paraId="6CAA1157" w14:textId="77777777" w:rsidR="003B71E4" w:rsidRPr="003C74B7" w:rsidRDefault="00000000">
            <w:pPr>
              <w:pStyle w:val="Compact"/>
              <w:rPr>
                <w:color w:val="000000" w:themeColor="text1"/>
              </w:rPr>
            </w:pPr>
            <w:r w:rsidRPr="003C74B7">
              <w:rPr>
                <w:color w:val="000000" w:themeColor="text1"/>
              </w:rPr>
              <w:t xml:space="preserve">Customers with higher debt burdens may face repayment </w:t>
            </w:r>
            <w:r w:rsidRPr="003C74B7">
              <w:rPr>
                <w:color w:val="000000" w:themeColor="text1"/>
              </w:rPr>
              <w:lastRenderedPageBreak/>
              <w:t>challenges</w:t>
            </w:r>
          </w:p>
        </w:tc>
        <w:tc>
          <w:tcPr>
            <w:tcW w:w="1951" w:type="dxa"/>
          </w:tcPr>
          <w:p w14:paraId="536819BC" w14:textId="77777777" w:rsidR="003B71E4" w:rsidRPr="003C74B7" w:rsidRDefault="00000000">
            <w:pPr>
              <w:pStyle w:val="Compact"/>
              <w:rPr>
                <w:color w:val="000000" w:themeColor="text1"/>
              </w:rPr>
            </w:pPr>
            <w:r w:rsidRPr="003C74B7">
              <w:rPr>
                <w:color w:val="000000" w:themeColor="text1"/>
              </w:rPr>
              <w:lastRenderedPageBreak/>
              <w:t>Customers with elevated debt-to-income ratios</w:t>
            </w:r>
          </w:p>
        </w:tc>
        <w:tc>
          <w:tcPr>
            <w:tcW w:w="2525" w:type="dxa"/>
          </w:tcPr>
          <w:p w14:paraId="5BB02720" w14:textId="77777777" w:rsidR="003B71E4" w:rsidRPr="003C74B7" w:rsidRDefault="00000000">
            <w:pPr>
              <w:pStyle w:val="Compact"/>
              <w:rPr>
                <w:color w:val="000000" w:themeColor="text1"/>
              </w:rPr>
            </w:pPr>
            <w:r w:rsidRPr="003C74B7">
              <w:rPr>
                <w:color w:val="000000" w:themeColor="text1"/>
              </w:rPr>
              <w:t>Debt-to-Income Ratio, Loan Balance</w:t>
            </w:r>
          </w:p>
        </w:tc>
        <w:tc>
          <w:tcPr>
            <w:tcW w:w="2066" w:type="dxa"/>
          </w:tcPr>
          <w:p w14:paraId="0FD9CAB3" w14:textId="77777777" w:rsidR="003B71E4" w:rsidRPr="003C74B7" w:rsidRDefault="00000000">
            <w:pPr>
              <w:pStyle w:val="Compact"/>
              <w:rPr>
                <w:color w:val="000000" w:themeColor="text1"/>
              </w:rPr>
            </w:pPr>
            <w:r w:rsidRPr="003C74B7">
              <w:rPr>
                <w:color w:val="000000" w:themeColor="text1"/>
              </w:rPr>
              <w:t>Supports proactive repayment planning</w:t>
            </w:r>
          </w:p>
        </w:tc>
      </w:tr>
      <w:tr w:rsidR="003B71E4" w:rsidRPr="003C74B7" w14:paraId="4E0E47F9" w14:textId="77777777">
        <w:tc>
          <w:tcPr>
            <w:tcW w:w="1377" w:type="dxa"/>
          </w:tcPr>
          <w:p w14:paraId="475C3BBA" w14:textId="77777777" w:rsidR="003B71E4" w:rsidRPr="003C74B7" w:rsidRDefault="00000000">
            <w:pPr>
              <w:pStyle w:val="Compact"/>
              <w:rPr>
                <w:color w:val="000000" w:themeColor="text1"/>
              </w:rPr>
            </w:pPr>
            <w:r w:rsidRPr="003C74B7">
              <w:rPr>
                <w:color w:val="000000" w:themeColor="text1"/>
              </w:rPr>
              <w:t>Repayment behavior is a stronger indicator than demographic information</w:t>
            </w:r>
          </w:p>
        </w:tc>
        <w:tc>
          <w:tcPr>
            <w:tcW w:w="1951" w:type="dxa"/>
          </w:tcPr>
          <w:p w14:paraId="386C2650" w14:textId="77777777" w:rsidR="003B71E4" w:rsidRPr="003C74B7" w:rsidRDefault="00000000">
            <w:pPr>
              <w:pStyle w:val="Compact"/>
              <w:rPr>
                <w:color w:val="000000" w:themeColor="text1"/>
              </w:rPr>
            </w:pPr>
            <w:r w:rsidRPr="003C74B7">
              <w:rPr>
                <w:color w:val="000000" w:themeColor="text1"/>
              </w:rPr>
              <w:t>Customers showing recent payment irregularities</w:t>
            </w:r>
          </w:p>
        </w:tc>
        <w:tc>
          <w:tcPr>
            <w:tcW w:w="2525" w:type="dxa"/>
          </w:tcPr>
          <w:p w14:paraId="28069970" w14:textId="77777777" w:rsidR="003B71E4" w:rsidRPr="003C74B7" w:rsidRDefault="00000000">
            <w:pPr>
              <w:pStyle w:val="Compact"/>
              <w:rPr>
                <w:color w:val="000000" w:themeColor="text1"/>
              </w:rPr>
            </w:pPr>
            <w:r w:rsidRPr="003C74B7">
              <w:rPr>
                <w:color w:val="000000" w:themeColor="text1"/>
              </w:rPr>
              <w:t>Month_1 to Month_6 payment records</w:t>
            </w:r>
          </w:p>
        </w:tc>
        <w:tc>
          <w:tcPr>
            <w:tcW w:w="2066" w:type="dxa"/>
          </w:tcPr>
          <w:p w14:paraId="20393761" w14:textId="77777777" w:rsidR="003B71E4" w:rsidRPr="003C74B7" w:rsidRDefault="00000000">
            <w:pPr>
              <w:pStyle w:val="Compact"/>
              <w:rPr>
                <w:color w:val="000000" w:themeColor="text1"/>
              </w:rPr>
            </w:pPr>
            <w:r w:rsidRPr="003C74B7">
              <w:rPr>
                <w:color w:val="000000" w:themeColor="text1"/>
              </w:rPr>
              <w:t>Improves targeting of collections resources</w:t>
            </w:r>
          </w:p>
        </w:tc>
      </w:tr>
    </w:tbl>
    <w:p w14:paraId="14EBFD17" w14:textId="77777777" w:rsidR="003B71E4" w:rsidRPr="003C74B7" w:rsidRDefault="00000000">
      <w:pPr>
        <w:rPr>
          <w:color w:val="000000" w:themeColor="text1"/>
        </w:rPr>
      </w:pPr>
      <w:r w:rsidRPr="003C74B7">
        <w:rPr>
          <w:color w:val="000000" w:themeColor="text1"/>
        </w:rPr>
        <w:pict w14:anchorId="450A5FB2">
          <v:rect id="_x0000_i1025" style="width:0;height:1.5pt" o:hralign="center" o:hrstd="t" o:hr="t"/>
        </w:pict>
      </w:r>
    </w:p>
    <w:p w14:paraId="3C5928D5" w14:textId="77777777" w:rsidR="003B71E4" w:rsidRPr="003C74B7" w:rsidRDefault="00000000">
      <w:pPr>
        <w:pStyle w:val="Heading2"/>
        <w:rPr>
          <w:color w:val="000000" w:themeColor="text1"/>
        </w:rPr>
      </w:pPr>
      <w:bookmarkStart w:id="4" w:name="recommendation-framework"/>
      <w:bookmarkEnd w:id="1"/>
      <w:bookmarkEnd w:id="3"/>
      <w:r w:rsidRPr="003C74B7">
        <w:rPr>
          <w:color w:val="000000" w:themeColor="text1"/>
        </w:rPr>
        <w:t>2. Recommendation Framework</w:t>
      </w:r>
    </w:p>
    <w:p w14:paraId="4380462D" w14:textId="77777777" w:rsidR="003B71E4" w:rsidRPr="003C74B7" w:rsidRDefault="00000000">
      <w:pPr>
        <w:pStyle w:val="Heading3"/>
        <w:rPr>
          <w:color w:val="000000" w:themeColor="text1"/>
        </w:rPr>
      </w:pPr>
      <w:bookmarkStart w:id="5" w:name="restated-insight"/>
      <w:r w:rsidRPr="003C74B7">
        <w:rPr>
          <w:color w:val="000000" w:themeColor="text1"/>
        </w:rPr>
        <w:t>Restated Insight</w:t>
      </w:r>
    </w:p>
    <w:p w14:paraId="2B10FB2C" w14:textId="77777777" w:rsidR="003B71E4" w:rsidRPr="003C74B7" w:rsidRDefault="00000000">
      <w:pPr>
        <w:pStyle w:val="FirstParagraph"/>
        <w:rPr>
          <w:color w:val="000000" w:themeColor="text1"/>
        </w:rPr>
      </w:pPr>
      <w:r w:rsidRPr="003C74B7">
        <w:rPr>
          <w:color w:val="000000" w:themeColor="text1"/>
        </w:rPr>
        <w:t>Customers who exhibit repeated late or missed payments are more likely to experience future repayment difficulties and should be prioritized for proactive intervention.</w:t>
      </w:r>
    </w:p>
    <w:p w14:paraId="4580A41F" w14:textId="77777777" w:rsidR="003B71E4" w:rsidRPr="003C74B7" w:rsidRDefault="00000000">
      <w:pPr>
        <w:pStyle w:val="Heading3"/>
        <w:rPr>
          <w:color w:val="000000" w:themeColor="text1"/>
        </w:rPr>
      </w:pPr>
      <w:bookmarkStart w:id="6" w:name="proposed-recommendation"/>
      <w:bookmarkEnd w:id="5"/>
      <w:r w:rsidRPr="003C74B7">
        <w:rPr>
          <w:color w:val="000000" w:themeColor="text1"/>
        </w:rPr>
        <w:t>Proposed Recommendation</w:t>
      </w:r>
    </w:p>
    <w:p w14:paraId="73250AA2" w14:textId="77777777" w:rsidR="003B71E4" w:rsidRPr="003C74B7" w:rsidRDefault="00000000">
      <w:pPr>
        <w:pStyle w:val="FirstParagraph"/>
        <w:rPr>
          <w:color w:val="000000" w:themeColor="text1"/>
        </w:rPr>
      </w:pPr>
      <w:r w:rsidRPr="003C74B7">
        <w:rPr>
          <w:color w:val="000000" w:themeColor="text1"/>
        </w:rPr>
        <w:t>Implement an Early Warning Collections Program that identifies customers with two or more late or missed payments within a six-month period and provides targeted outreach before delinquency occurs.</w:t>
      </w:r>
    </w:p>
    <w:p w14:paraId="6F15CCBA" w14:textId="77777777" w:rsidR="003B71E4" w:rsidRPr="003C74B7" w:rsidRDefault="00000000">
      <w:pPr>
        <w:pStyle w:val="Heading3"/>
        <w:rPr>
          <w:color w:val="000000" w:themeColor="text1"/>
        </w:rPr>
      </w:pPr>
      <w:bookmarkStart w:id="7" w:name="smart-recommendation"/>
      <w:bookmarkEnd w:id="6"/>
      <w:r w:rsidRPr="003C74B7">
        <w:rPr>
          <w:color w:val="000000" w:themeColor="text1"/>
        </w:rPr>
        <w:t>SMART Recommendation</w:t>
      </w:r>
    </w:p>
    <w:p w14:paraId="325C00B8" w14:textId="77777777" w:rsidR="003B71E4" w:rsidRPr="003C74B7" w:rsidRDefault="00000000">
      <w:pPr>
        <w:pStyle w:val="Heading4"/>
        <w:rPr>
          <w:color w:val="000000" w:themeColor="text1"/>
        </w:rPr>
      </w:pPr>
      <w:bookmarkStart w:id="8" w:name="specific"/>
      <w:r w:rsidRPr="003C74B7">
        <w:rPr>
          <w:color w:val="000000" w:themeColor="text1"/>
        </w:rPr>
        <w:t>Specific</w:t>
      </w:r>
    </w:p>
    <w:p w14:paraId="0E946425" w14:textId="77777777" w:rsidR="003B71E4" w:rsidRPr="003C74B7" w:rsidRDefault="00000000">
      <w:pPr>
        <w:pStyle w:val="FirstParagraph"/>
        <w:rPr>
          <w:color w:val="000000" w:themeColor="text1"/>
        </w:rPr>
      </w:pPr>
      <w:r w:rsidRPr="003C74B7">
        <w:rPr>
          <w:color w:val="000000" w:themeColor="text1"/>
        </w:rPr>
        <w:t>Identify customers with at least two late or missed payments in the previous six months and enroll them in a proactive collections support program.</w:t>
      </w:r>
    </w:p>
    <w:p w14:paraId="6DD295FD" w14:textId="77777777" w:rsidR="003B71E4" w:rsidRPr="003C74B7" w:rsidRDefault="00000000">
      <w:pPr>
        <w:pStyle w:val="Heading4"/>
        <w:rPr>
          <w:color w:val="000000" w:themeColor="text1"/>
        </w:rPr>
      </w:pPr>
      <w:bookmarkStart w:id="9" w:name="measurable"/>
      <w:bookmarkEnd w:id="8"/>
      <w:r w:rsidRPr="003C74B7">
        <w:rPr>
          <w:color w:val="000000" w:themeColor="text1"/>
        </w:rPr>
        <w:t>Measurable</w:t>
      </w:r>
    </w:p>
    <w:p w14:paraId="42D0EDBE" w14:textId="77777777" w:rsidR="003B71E4" w:rsidRPr="003C74B7" w:rsidRDefault="00000000">
      <w:pPr>
        <w:pStyle w:val="FirstParagraph"/>
        <w:rPr>
          <w:color w:val="000000" w:themeColor="text1"/>
        </w:rPr>
      </w:pPr>
      <w:r w:rsidRPr="003C74B7">
        <w:rPr>
          <w:color w:val="000000" w:themeColor="text1"/>
        </w:rPr>
        <w:t>Aim to reduce delinquent account rates among the identified customer group by at least 10% within the next six months.</w:t>
      </w:r>
    </w:p>
    <w:p w14:paraId="643D5BFA" w14:textId="77777777" w:rsidR="003B71E4" w:rsidRPr="003C74B7" w:rsidRDefault="00000000">
      <w:pPr>
        <w:pStyle w:val="Heading4"/>
        <w:rPr>
          <w:color w:val="000000" w:themeColor="text1"/>
        </w:rPr>
      </w:pPr>
      <w:bookmarkStart w:id="10" w:name="actionable"/>
      <w:bookmarkEnd w:id="9"/>
      <w:r w:rsidRPr="003C74B7">
        <w:rPr>
          <w:color w:val="000000" w:themeColor="text1"/>
        </w:rPr>
        <w:t>Actionable</w:t>
      </w:r>
    </w:p>
    <w:p w14:paraId="20FE6A60" w14:textId="77777777" w:rsidR="003B71E4" w:rsidRPr="003C74B7" w:rsidRDefault="00000000">
      <w:pPr>
        <w:pStyle w:val="FirstParagraph"/>
        <w:rPr>
          <w:color w:val="000000" w:themeColor="text1"/>
        </w:rPr>
      </w:pPr>
      <w:r w:rsidRPr="003C74B7">
        <w:rPr>
          <w:color w:val="000000" w:themeColor="text1"/>
        </w:rPr>
        <w:t>Collections agents should contact flagged customers through email, SMS, or phone calls and offer payment reminders, repayment plans, or financial support options.</w:t>
      </w:r>
    </w:p>
    <w:p w14:paraId="5B43B592" w14:textId="77777777" w:rsidR="003B71E4" w:rsidRPr="003C74B7" w:rsidRDefault="00000000">
      <w:pPr>
        <w:pStyle w:val="Heading4"/>
        <w:rPr>
          <w:color w:val="000000" w:themeColor="text1"/>
        </w:rPr>
      </w:pPr>
      <w:bookmarkStart w:id="11" w:name="relevant"/>
      <w:bookmarkEnd w:id="10"/>
      <w:r w:rsidRPr="003C74B7">
        <w:rPr>
          <w:color w:val="000000" w:themeColor="text1"/>
        </w:rPr>
        <w:t>Relevant</w:t>
      </w:r>
    </w:p>
    <w:p w14:paraId="4F9993EE" w14:textId="77777777" w:rsidR="003B71E4" w:rsidRPr="003C74B7" w:rsidRDefault="00000000">
      <w:pPr>
        <w:pStyle w:val="FirstParagraph"/>
        <w:rPr>
          <w:color w:val="000000" w:themeColor="text1"/>
        </w:rPr>
      </w:pPr>
      <w:r w:rsidRPr="003C74B7">
        <w:rPr>
          <w:color w:val="000000" w:themeColor="text1"/>
        </w:rPr>
        <w:t>This recommendation directly addresses the strongest behavioral indicator identified in the analysis and aligns with Geldium’s objective of reducing delinquency rates.</w:t>
      </w:r>
    </w:p>
    <w:p w14:paraId="51CCEEE5" w14:textId="77777777" w:rsidR="003B71E4" w:rsidRPr="003C74B7" w:rsidRDefault="00000000">
      <w:pPr>
        <w:pStyle w:val="Heading4"/>
        <w:rPr>
          <w:color w:val="000000" w:themeColor="text1"/>
        </w:rPr>
      </w:pPr>
      <w:bookmarkStart w:id="12" w:name="time-bound"/>
      <w:bookmarkEnd w:id="11"/>
      <w:r w:rsidRPr="003C74B7">
        <w:rPr>
          <w:color w:val="000000" w:themeColor="text1"/>
        </w:rPr>
        <w:t>Time-bound</w:t>
      </w:r>
    </w:p>
    <w:p w14:paraId="3DF5B470" w14:textId="77777777" w:rsidR="003B71E4" w:rsidRPr="003C74B7" w:rsidRDefault="00000000">
      <w:pPr>
        <w:pStyle w:val="FirstParagraph"/>
        <w:rPr>
          <w:color w:val="000000" w:themeColor="text1"/>
        </w:rPr>
      </w:pPr>
      <w:r w:rsidRPr="003C74B7">
        <w:rPr>
          <w:color w:val="000000" w:themeColor="text1"/>
        </w:rPr>
        <w:t>Launch the intervention program within one month and evaluate its effectiveness after six months of implementation.</w:t>
      </w:r>
    </w:p>
    <w:p w14:paraId="16180016" w14:textId="77777777" w:rsidR="003B71E4" w:rsidRPr="003C74B7" w:rsidRDefault="00000000">
      <w:pPr>
        <w:pStyle w:val="Heading3"/>
        <w:rPr>
          <w:color w:val="000000" w:themeColor="text1"/>
        </w:rPr>
      </w:pPr>
      <w:bookmarkStart w:id="13" w:name="justification-and-business-rationale"/>
      <w:bookmarkEnd w:id="7"/>
      <w:bookmarkEnd w:id="12"/>
      <w:r w:rsidRPr="003C74B7">
        <w:rPr>
          <w:color w:val="000000" w:themeColor="text1"/>
        </w:rPr>
        <w:lastRenderedPageBreak/>
        <w:t>Justification and Business Rationale</w:t>
      </w:r>
    </w:p>
    <w:p w14:paraId="31C805D7" w14:textId="77777777" w:rsidR="003B71E4" w:rsidRPr="003C74B7" w:rsidRDefault="00000000">
      <w:pPr>
        <w:pStyle w:val="FirstParagraph"/>
        <w:rPr>
          <w:color w:val="000000" w:themeColor="text1"/>
        </w:rPr>
      </w:pPr>
      <w:r w:rsidRPr="003C74B7">
        <w:rPr>
          <w:color w:val="000000" w:themeColor="text1"/>
        </w:rPr>
        <w:t>The analysis suggests that repayment behavior provides the clearest signal of future delinquency risk. By intervening early when customers begin exhibiting payment difficulties, Geldium can reduce collection costs, improve repayment outcomes, and strengthen customer relationships.</w:t>
      </w:r>
    </w:p>
    <w:p w14:paraId="6194C545" w14:textId="77777777" w:rsidR="003B71E4" w:rsidRPr="003C74B7" w:rsidRDefault="00000000">
      <w:pPr>
        <w:pStyle w:val="BodyText"/>
        <w:rPr>
          <w:color w:val="000000" w:themeColor="text1"/>
        </w:rPr>
      </w:pPr>
      <w:r w:rsidRPr="003C74B7">
        <w:rPr>
          <w:color w:val="000000" w:themeColor="text1"/>
        </w:rPr>
        <w:t xml:space="preserve">Proactive outreach is generally less expensive and more effective than reactive collections efforts after delinquency </w:t>
      </w:r>
      <w:proofErr w:type="gramStart"/>
      <w:r w:rsidRPr="003C74B7">
        <w:rPr>
          <w:color w:val="000000" w:themeColor="text1"/>
        </w:rPr>
        <w:t>has</w:t>
      </w:r>
      <w:proofErr w:type="gramEnd"/>
      <w:r w:rsidRPr="003C74B7">
        <w:rPr>
          <w:color w:val="000000" w:themeColor="text1"/>
        </w:rPr>
        <w:t xml:space="preserve"> already occurred. This approach also supports customer retention by helping customers manage financial challenges before they become severe.</w:t>
      </w:r>
    </w:p>
    <w:p w14:paraId="2360E2CD" w14:textId="77777777" w:rsidR="003B71E4" w:rsidRPr="003C74B7" w:rsidRDefault="00000000">
      <w:pPr>
        <w:rPr>
          <w:color w:val="000000" w:themeColor="text1"/>
        </w:rPr>
      </w:pPr>
      <w:r w:rsidRPr="003C74B7">
        <w:rPr>
          <w:color w:val="000000" w:themeColor="text1"/>
        </w:rPr>
        <w:pict w14:anchorId="3A06115F">
          <v:rect id="_x0000_i1026" style="width:0;height:1.5pt" o:hralign="center" o:hrstd="t" o:hr="t"/>
        </w:pict>
      </w:r>
    </w:p>
    <w:p w14:paraId="56E99A2E" w14:textId="77777777" w:rsidR="003B71E4" w:rsidRPr="003C74B7" w:rsidRDefault="00000000">
      <w:pPr>
        <w:pStyle w:val="Heading2"/>
        <w:rPr>
          <w:color w:val="000000" w:themeColor="text1"/>
        </w:rPr>
      </w:pPr>
      <w:bookmarkStart w:id="14" w:name="X513292e7824482792fc7c9406159dc0f1cc7d83"/>
      <w:bookmarkEnd w:id="4"/>
      <w:bookmarkEnd w:id="13"/>
      <w:r w:rsidRPr="003C74B7">
        <w:rPr>
          <w:color w:val="000000" w:themeColor="text1"/>
        </w:rPr>
        <w:t>3. Ethical and Responsible AI Considerations</w:t>
      </w:r>
    </w:p>
    <w:p w14:paraId="5ACCAA08" w14:textId="77777777" w:rsidR="003B71E4" w:rsidRPr="003C74B7" w:rsidRDefault="00000000">
      <w:pPr>
        <w:pStyle w:val="Heading3"/>
        <w:rPr>
          <w:color w:val="000000" w:themeColor="text1"/>
        </w:rPr>
      </w:pPr>
      <w:bookmarkStart w:id="15" w:name="potential-bias-and-fairness"/>
      <w:r w:rsidRPr="003C74B7">
        <w:rPr>
          <w:color w:val="000000" w:themeColor="text1"/>
        </w:rPr>
        <w:t>Potential Bias and Fairness</w:t>
      </w:r>
    </w:p>
    <w:p w14:paraId="78A3CE25" w14:textId="77777777" w:rsidR="003B71E4" w:rsidRPr="003C74B7" w:rsidRDefault="00000000">
      <w:pPr>
        <w:pStyle w:val="FirstParagraph"/>
        <w:rPr>
          <w:color w:val="000000" w:themeColor="text1"/>
        </w:rPr>
      </w:pPr>
      <w:r w:rsidRPr="003C74B7">
        <w:rPr>
          <w:color w:val="000000" w:themeColor="text1"/>
        </w:rPr>
        <w:t>Although demographic variables such as age and location were included in the dataset, these factors should not be used as the sole basis for collections decisions.</w:t>
      </w:r>
    </w:p>
    <w:p w14:paraId="3F284818" w14:textId="77777777" w:rsidR="003B71E4" w:rsidRPr="003C74B7" w:rsidRDefault="00000000">
      <w:pPr>
        <w:pStyle w:val="BodyText"/>
        <w:rPr>
          <w:color w:val="000000" w:themeColor="text1"/>
        </w:rPr>
      </w:pPr>
      <w:r w:rsidRPr="003C74B7">
        <w:rPr>
          <w:color w:val="000000" w:themeColor="text1"/>
        </w:rPr>
        <w:t>For example:</w:t>
      </w:r>
    </w:p>
    <w:p w14:paraId="076294DE" w14:textId="77777777" w:rsidR="003B71E4" w:rsidRPr="003C74B7" w:rsidRDefault="00000000">
      <w:pPr>
        <w:pStyle w:val="Compact"/>
        <w:numPr>
          <w:ilvl w:val="0"/>
          <w:numId w:val="3"/>
        </w:numPr>
        <w:rPr>
          <w:color w:val="000000" w:themeColor="text1"/>
        </w:rPr>
      </w:pPr>
      <w:r w:rsidRPr="003C74B7">
        <w:rPr>
          <w:color w:val="000000" w:themeColor="text1"/>
        </w:rPr>
        <w:t>Customers from a particular city should not automatically receive stricter collection treatment solely because historical data suggests higher delinquency rates.</w:t>
      </w:r>
    </w:p>
    <w:p w14:paraId="6BF5BB73" w14:textId="77777777" w:rsidR="003B71E4" w:rsidRPr="003C74B7" w:rsidRDefault="00000000">
      <w:pPr>
        <w:pStyle w:val="Compact"/>
        <w:numPr>
          <w:ilvl w:val="0"/>
          <w:numId w:val="3"/>
        </w:numPr>
        <w:rPr>
          <w:color w:val="000000" w:themeColor="text1"/>
        </w:rPr>
      </w:pPr>
      <w:r w:rsidRPr="003C74B7">
        <w:rPr>
          <w:color w:val="000000" w:themeColor="text1"/>
        </w:rPr>
        <w:t>Younger or older customers should not be unfairly targeted due to demographic characteristics rather than actual financial behavior.</w:t>
      </w:r>
    </w:p>
    <w:p w14:paraId="4D250A76" w14:textId="77777777" w:rsidR="003B71E4" w:rsidRPr="003C74B7" w:rsidRDefault="00000000">
      <w:pPr>
        <w:pStyle w:val="FirstParagraph"/>
        <w:rPr>
          <w:color w:val="000000" w:themeColor="text1"/>
        </w:rPr>
      </w:pPr>
      <w:r w:rsidRPr="003C74B7">
        <w:rPr>
          <w:color w:val="000000" w:themeColor="text1"/>
        </w:rPr>
        <w:t>Decisions should primarily be based on observable financial and repayment behaviors rather than demographic attributes.</w:t>
      </w:r>
    </w:p>
    <w:p w14:paraId="210F290F" w14:textId="77777777" w:rsidR="003B71E4" w:rsidRPr="003C74B7" w:rsidRDefault="00000000">
      <w:pPr>
        <w:pStyle w:val="Heading3"/>
        <w:rPr>
          <w:color w:val="000000" w:themeColor="text1"/>
        </w:rPr>
      </w:pPr>
      <w:bookmarkStart w:id="16" w:name="explainability"/>
      <w:bookmarkEnd w:id="15"/>
      <w:r w:rsidRPr="003C74B7">
        <w:rPr>
          <w:color w:val="000000" w:themeColor="text1"/>
        </w:rPr>
        <w:t>Explainability</w:t>
      </w:r>
    </w:p>
    <w:p w14:paraId="5DA6F645" w14:textId="77777777" w:rsidR="003B71E4" w:rsidRPr="003C74B7" w:rsidRDefault="00000000">
      <w:pPr>
        <w:pStyle w:val="FirstParagraph"/>
        <w:rPr>
          <w:color w:val="000000" w:themeColor="text1"/>
        </w:rPr>
      </w:pPr>
      <w:r w:rsidRPr="003C74B7">
        <w:rPr>
          <w:color w:val="000000" w:themeColor="text1"/>
        </w:rPr>
        <w:t xml:space="preserve">The selected modeling approach emphasizes transparency and interpretability. Collections teams should be able to explain why a customer was identified </w:t>
      </w:r>
      <w:proofErr w:type="gramStart"/>
      <w:r w:rsidRPr="003C74B7">
        <w:rPr>
          <w:color w:val="000000" w:themeColor="text1"/>
        </w:rPr>
        <w:t>as</w:t>
      </w:r>
      <w:proofErr w:type="gramEnd"/>
      <w:r w:rsidRPr="003C74B7">
        <w:rPr>
          <w:color w:val="000000" w:themeColor="text1"/>
        </w:rPr>
        <w:t xml:space="preserve"> higher risk using understandable factors such as:</w:t>
      </w:r>
    </w:p>
    <w:p w14:paraId="69429C64" w14:textId="77777777" w:rsidR="003B71E4" w:rsidRPr="003C74B7" w:rsidRDefault="00000000">
      <w:pPr>
        <w:pStyle w:val="Compact"/>
        <w:numPr>
          <w:ilvl w:val="0"/>
          <w:numId w:val="4"/>
        </w:numPr>
        <w:rPr>
          <w:color w:val="000000" w:themeColor="text1"/>
        </w:rPr>
      </w:pPr>
      <w:r w:rsidRPr="003C74B7">
        <w:rPr>
          <w:color w:val="000000" w:themeColor="text1"/>
        </w:rPr>
        <w:t>Number of missed payments</w:t>
      </w:r>
    </w:p>
    <w:p w14:paraId="3B7694AD" w14:textId="77777777" w:rsidR="003B71E4" w:rsidRPr="003C74B7" w:rsidRDefault="00000000">
      <w:pPr>
        <w:pStyle w:val="Compact"/>
        <w:numPr>
          <w:ilvl w:val="0"/>
          <w:numId w:val="4"/>
        </w:numPr>
        <w:rPr>
          <w:color w:val="000000" w:themeColor="text1"/>
        </w:rPr>
      </w:pPr>
      <w:r w:rsidRPr="003C74B7">
        <w:rPr>
          <w:color w:val="000000" w:themeColor="text1"/>
        </w:rPr>
        <w:t>Repayment history</w:t>
      </w:r>
    </w:p>
    <w:p w14:paraId="4F327D59" w14:textId="77777777" w:rsidR="003B71E4" w:rsidRPr="003C74B7" w:rsidRDefault="00000000">
      <w:pPr>
        <w:pStyle w:val="Compact"/>
        <w:numPr>
          <w:ilvl w:val="0"/>
          <w:numId w:val="4"/>
        </w:numPr>
        <w:rPr>
          <w:color w:val="000000" w:themeColor="text1"/>
        </w:rPr>
      </w:pPr>
      <w:r w:rsidRPr="003C74B7">
        <w:rPr>
          <w:color w:val="000000" w:themeColor="text1"/>
        </w:rPr>
        <w:t>Debt burden indicators</w:t>
      </w:r>
    </w:p>
    <w:p w14:paraId="5EFFAAA1" w14:textId="77777777" w:rsidR="003B71E4" w:rsidRPr="003C74B7" w:rsidRDefault="00000000">
      <w:pPr>
        <w:pStyle w:val="FirstParagraph"/>
        <w:rPr>
          <w:color w:val="000000" w:themeColor="text1"/>
        </w:rPr>
      </w:pPr>
      <w:r w:rsidRPr="003C74B7">
        <w:rPr>
          <w:color w:val="000000" w:themeColor="text1"/>
        </w:rPr>
        <w:t>Transparent decision-making helps build trust and supports regulatory compliance.</w:t>
      </w:r>
    </w:p>
    <w:p w14:paraId="1141C087" w14:textId="77777777" w:rsidR="003B71E4" w:rsidRPr="003C74B7" w:rsidRDefault="00000000">
      <w:pPr>
        <w:pStyle w:val="Heading3"/>
        <w:rPr>
          <w:color w:val="000000" w:themeColor="text1"/>
        </w:rPr>
      </w:pPr>
      <w:bookmarkStart w:id="17" w:name="responsible-financial-decision-making"/>
      <w:bookmarkEnd w:id="16"/>
      <w:r w:rsidRPr="003C74B7">
        <w:rPr>
          <w:color w:val="000000" w:themeColor="text1"/>
        </w:rPr>
        <w:t>Responsible Financial Decision-Making</w:t>
      </w:r>
    </w:p>
    <w:p w14:paraId="2283ACF3" w14:textId="77777777" w:rsidR="003B71E4" w:rsidRPr="003C74B7" w:rsidRDefault="00000000">
      <w:pPr>
        <w:pStyle w:val="FirstParagraph"/>
        <w:rPr>
          <w:color w:val="000000" w:themeColor="text1"/>
        </w:rPr>
      </w:pPr>
      <w:r w:rsidRPr="003C74B7">
        <w:rPr>
          <w:color w:val="000000" w:themeColor="text1"/>
        </w:rPr>
        <w:t>The model should be used as a decision-support tool rather than a fully automated decision-maker.</w:t>
      </w:r>
    </w:p>
    <w:p w14:paraId="308E98B5" w14:textId="77777777" w:rsidR="003B71E4" w:rsidRPr="003C74B7" w:rsidRDefault="00000000">
      <w:pPr>
        <w:pStyle w:val="BodyText"/>
        <w:rPr>
          <w:color w:val="000000" w:themeColor="text1"/>
        </w:rPr>
      </w:pPr>
      <w:r w:rsidRPr="003C74B7">
        <w:rPr>
          <w:color w:val="000000" w:themeColor="text1"/>
        </w:rPr>
        <w:lastRenderedPageBreak/>
        <w:t>Customers identified as higher risk should be offered support and guidance rather than immediate punitive actions. Recommended interventions include:</w:t>
      </w:r>
    </w:p>
    <w:p w14:paraId="69851498" w14:textId="77777777" w:rsidR="003B71E4" w:rsidRPr="003C74B7" w:rsidRDefault="00000000">
      <w:pPr>
        <w:pStyle w:val="Compact"/>
        <w:numPr>
          <w:ilvl w:val="0"/>
          <w:numId w:val="5"/>
        </w:numPr>
        <w:rPr>
          <w:color w:val="000000" w:themeColor="text1"/>
        </w:rPr>
      </w:pPr>
      <w:proofErr w:type="gramStart"/>
      <w:r w:rsidRPr="003C74B7">
        <w:rPr>
          <w:color w:val="000000" w:themeColor="text1"/>
        </w:rPr>
        <w:t>Payment reminders</w:t>
      </w:r>
      <w:proofErr w:type="gramEnd"/>
    </w:p>
    <w:p w14:paraId="3173F7F1" w14:textId="77777777" w:rsidR="003B71E4" w:rsidRPr="003C74B7" w:rsidRDefault="00000000">
      <w:pPr>
        <w:pStyle w:val="Compact"/>
        <w:numPr>
          <w:ilvl w:val="0"/>
          <w:numId w:val="5"/>
        </w:numPr>
        <w:rPr>
          <w:color w:val="000000" w:themeColor="text1"/>
        </w:rPr>
      </w:pPr>
      <w:r w:rsidRPr="003C74B7">
        <w:rPr>
          <w:color w:val="000000" w:themeColor="text1"/>
        </w:rPr>
        <w:t>Flexible repayment arrangements</w:t>
      </w:r>
    </w:p>
    <w:p w14:paraId="48FBA188" w14:textId="77777777" w:rsidR="003B71E4" w:rsidRPr="003C74B7" w:rsidRDefault="00000000">
      <w:pPr>
        <w:pStyle w:val="Compact"/>
        <w:numPr>
          <w:ilvl w:val="0"/>
          <w:numId w:val="5"/>
        </w:numPr>
        <w:rPr>
          <w:color w:val="000000" w:themeColor="text1"/>
        </w:rPr>
      </w:pPr>
      <w:r w:rsidRPr="003C74B7">
        <w:rPr>
          <w:color w:val="000000" w:themeColor="text1"/>
        </w:rPr>
        <w:t>Financial counseling resources</w:t>
      </w:r>
    </w:p>
    <w:p w14:paraId="7870B518" w14:textId="77777777" w:rsidR="003B71E4" w:rsidRPr="003C74B7" w:rsidRDefault="00000000">
      <w:pPr>
        <w:pStyle w:val="FirstParagraph"/>
        <w:rPr>
          <w:color w:val="000000" w:themeColor="text1"/>
        </w:rPr>
      </w:pPr>
      <w:r w:rsidRPr="003C74B7">
        <w:rPr>
          <w:color w:val="000000" w:themeColor="text1"/>
        </w:rPr>
        <w:t>This approach promotes responsible lending and collections practices.</w:t>
      </w:r>
    </w:p>
    <w:p w14:paraId="16E05FFE" w14:textId="77777777" w:rsidR="003B71E4" w:rsidRPr="003C74B7" w:rsidRDefault="00000000">
      <w:pPr>
        <w:pStyle w:val="Heading3"/>
        <w:rPr>
          <w:color w:val="000000" w:themeColor="text1"/>
        </w:rPr>
      </w:pPr>
      <w:bookmarkStart w:id="18" w:name="additional-ethical-principles"/>
      <w:bookmarkEnd w:id="17"/>
      <w:r w:rsidRPr="003C74B7">
        <w:rPr>
          <w:color w:val="000000" w:themeColor="text1"/>
        </w:rPr>
        <w:t>Additional Ethical Principles</w:t>
      </w:r>
    </w:p>
    <w:p w14:paraId="38CF59EE" w14:textId="77777777" w:rsidR="003B71E4" w:rsidRPr="003C74B7" w:rsidRDefault="00000000">
      <w:pPr>
        <w:pStyle w:val="Heading4"/>
        <w:rPr>
          <w:color w:val="000000" w:themeColor="text1"/>
        </w:rPr>
      </w:pPr>
      <w:bookmarkStart w:id="19" w:name="transparency"/>
      <w:r w:rsidRPr="003C74B7">
        <w:rPr>
          <w:color w:val="000000" w:themeColor="text1"/>
        </w:rPr>
        <w:t>Transparency</w:t>
      </w:r>
    </w:p>
    <w:p w14:paraId="05B9E451" w14:textId="77777777" w:rsidR="003B71E4" w:rsidRPr="003C74B7" w:rsidRDefault="00000000">
      <w:pPr>
        <w:pStyle w:val="FirstParagraph"/>
        <w:rPr>
          <w:color w:val="000000" w:themeColor="text1"/>
        </w:rPr>
      </w:pPr>
      <w:r w:rsidRPr="003C74B7">
        <w:rPr>
          <w:color w:val="000000" w:themeColor="text1"/>
        </w:rPr>
        <w:t>Customers should have access to clear information regarding how their data is used in risk assessment processes.</w:t>
      </w:r>
    </w:p>
    <w:p w14:paraId="4778BDA2" w14:textId="77777777" w:rsidR="003B71E4" w:rsidRPr="003C74B7" w:rsidRDefault="00000000">
      <w:pPr>
        <w:pStyle w:val="Heading4"/>
        <w:rPr>
          <w:color w:val="000000" w:themeColor="text1"/>
        </w:rPr>
      </w:pPr>
      <w:bookmarkStart w:id="20" w:name="accountability"/>
      <w:bookmarkEnd w:id="19"/>
      <w:r w:rsidRPr="003C74B7">
        <w:rPr>
          <w:color w:val="000000" w:themeColor="text1"/>
        </w:rPr>
        <w:t>Accountability</w:t>
      </w:r>
    </w:p>
    <w:p w14:paraId="7E0FD141" w14:textId="77777777" w:rsidR="003B71E4" w:rsidRPr="003C74B7" w:rsidRDefault="00000000">
      <w:pPr>
        <w:pStyle w:val="FirstParagraph"/>
        <w:rPr>
          <w:color w:val="000000" w:themeColor="text1"/>
        </w:rPr>
      </w:pPr>
      <w:r w:rsidRPr="003C74B7">
        <w:rPr>
          <w:color w:val="000000" w:themeColor="text1"/>
        </w:rPr>
        <w:t>Human oversight should remain part of the collections process to review high-risk predictions and ensure appropriate action.</w:t>
      </w:r>
    </w:p>
    <w:p w14:paraId="3FDBAFE9" w14:textId="77777777" w:rsidR="003B71E4" w:rsidRPr="003C74B7" w:rsidRDefault="00000000">
      <w:pPr>
        <w:pStyle w:val="Heading4"/>
        <w:rPr>
          <w:color w:val="000000" w:themeColor="text1"/>
        </w:rPr>
      </w:pPr>
      <w:bookmarkStart w:id="21" w:name="data-privacy"/>
      <w:bookmarkEnd w:id="20"/>
      <w:r w:rsidRPr="003C74B7">
        <w:rPr>
          <w:color w:val="000000" w:themeColor="text1"/>
        </w:rPr>
        <w:t>Data Privacy</w:t>
      </w:r>
    </w:p>
    <w:p w14:paraId="69F85CE0" w14:textId="77777777" w:rsidR="003B71E4" w:rsidRPr="003C74B7" w:rsidRDefault="00000000">
      <w:pPr>
        <w:pStyle w:val="FirstParagraph"/>
        <w:rPr>
          <w:color w:val="000000" w:themeColor="text1"/>
        </w:rPr>
      </w:pPr>
      <w:r w:rsidRPr="003C74B7">
        <w:rPr>
          <w:color w:val="000000" w:themeColor="text1"/>
        </w:rPr>
        <w:t>Customer information must be protected according to applicable privacy regulations and internal governance policies. Only authorized personnel should have access to sensitive financial data.</w:t>
      </w:r>
    </w:p>
    <w:p w14:paraId="780FF867" w14:textId="77777777" w:rsidR="003B71E4" w:rsidRPr="003C74B7" w:rsidRDefault="00000000">
      <w:pPr>
        <w:pStyle w:val="Heading3"/>
        <w:rPr>
          <w:color w:val="000000" w:themeColor="text1"/>
        </w:rPr>
      </w:pPr>
      <w:bookmarkStart w:id="22" w:name="conclusion"/>
      <w:bookmarkEnd w:id="18"/>
      <w:bookmarkEnd w:id="21"/>
      <w:r w:rsidRPr="003C74B7">
        <w:rPr>
          <w:color w:val="000000" w:themeColor="text1"/>
        </w:rPr>
        <w:t>Conclusion</w:t>
      </w:r>
    </w:p>
    <w:p w14:paraId="17B9915D" w14:textId="77777777" w:rsidR="003B71E4" w:rsidRPr="003C74B7" w:rsidRDefault="00000000">
      <w:pPr>
        <w:pStyle w:val="FirstParagraph"/>
        <w:rPr>
          <w:color w:val="000000" w:themeColor="text1"/>
        </w:rPr>
      </w:pPr>
      <w:r w:rsidRPr="003C74B7">
        <w:rPr>
          <w:color w:val="000000" w:themeColor="text1"/>
        </w:rPr>
        <w:t>While the current dataset provided limited predictive power for delinquency forecasting, the analysis identified repayment behavior as the most meaningful indicator of risk. By implementing a proactive intervention strategy focused on customers with recurring missed or late payments, Geldium can improve collections effectiveness while maintaining fairness, transparency, and responsible customer treatment.</w:t>
      </w:r>
      <w:bookmarkEnd w:id="0"/>
      <w:bookmarkEnd w:id="14"/>
      <w:bookmarkEnd w:id="22"/>
    </w:p>
    <w:sectPr w:rsidR="003B71E4" w:rsidRPr="003C74B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E90750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C3CF45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94601348">
    <w:abstractNumId w:val="0"/>
  </w:num>
  <w:num w:numId="2" w16cid:durableId="204341707">
    <w:abstractNumId w:val="1"/>
  </w:num>
  <w:num w:numId="3" w16cid:durableId="171191579">
    <w:abstractNumId w:val="1"/>
  </w:num>
  <w:num w:numId="4" w16cid:durableId="890070979">
    <w:abstractNumId w:val="1"/>
  </w:num>
  <w:num w:numId="5" w16cid:durableId="18160716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B71E4"/>
    <w:rsid w:val="000B5109"/>
    <w:rsid w:val="003B71E4"/>
    <w:rsid w:val="003C74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D4DC3"/>
  <w15:docId w15:val="{D18F63BB-4F8E-499F-951D-1392BF3CE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914</Words>
  <Characters>5211</Characters>
  <Application>Microsoft Office Word</Application>
  <DocSecurity>0</DocSecurity>
  <Lines>43</Lines>
  <Paragraphs>12</Paragraphs>
  <ScaleCrop>false</ScaleCrop>
  <Company/>
  <LinksUpToDate>false</LinksUpToDate>
  <CharactersWithSpaces>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Yash Vasudeva</cp:lastModifiedBy>
  <cp:revision>2</cp:revision>
  <dcterms:created xsi:type="dcterms:W3CDTF">2026-06-22T08:16:00Z</dcterms:created>
  <dcterms:modified xsi:type="dcterms:W3CDTF">2026-06-22T08:17:00Z</dcterms:modified>
</cp:coreProperties>
</file>