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Segoe UI Symbol" w:eastAsia="Times New Roman" w:hAnsi="Segoe UI Symbol" w:cs="Segoe UI Symbol"/>
          <w:b/>
          <w:bCs/>
          <w:kern w:val="36"/>
          <w:sz w:val="48"/>
          <w:szCs w:val="48"/>
          <w:lang w:eastAsia="en-IN"/>
        </w:rPr>
        <w:t>📄</w:t>
      </w:r>
      <w:r w:rsidRPr="00B11F92">
        <w:rPr>
          <w:rFonts w:ascii="Times New Roman" w:eastAsia="Times New Roman" w:hAnsi="Times New Roman" w:cs="Times New Roman"/>
          <w:b/>
          <w:bCs/>
          <w:kern w:val="36"/>
          <w:sz w:val="48"/>
          <w:szCs w:val="48"/>
          <w:lang w:eastAsia="en-IN"/>
        </w:rPr>
        <w:t xml:space="preserve"> Business Intelligence Internship Report</w:t>
      </w:r>
    </w:p>
    <w:p w:rsidR="00B11F92" w:rsidRPr="00B11F92" w:rsidRDefault="00B11F92" w:rsidP="00B11F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2">
        <w:rPr>
          <w:rFonts w:ascii="Times New Roman" w:eastAsia="Times New Roman" w:hAnsi="Times New Roman" w:cs="Times New Roman"/>
          <w:b/>
          <w:bCs/>
          <w:sz w:val="36"/>
          <w:szCs w:val="36"/>
          <w:lang w:eastAsia="en-IN"/>
        </w:rPr>
        <w:t>Insurance Policy Sales &amp; Claims Analytics</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b/>
          <w:bCs/>
          <w:sz w:val="24"/>
          <w:szCs w:val="24"/>
          <w:lang w:eastAsia="en-IN"/>
        </w:rPr>
        <w:t>Name:</w:t>
      </w:r>
      <w:r w:rsidRPr="00B11F92">
        <w:rPr>
          <w:rFonts w:ascii="Times New Roman" w:eastAsia="Times New Roman" w:hAnsi="Times New Roman" w:cs="Times New Roman"/>
          <w:sz w:val="24"/>
          <w:szCs w:val="24"/>
          <w:lang w:eastAsia="en-IN"/>
        </w:rPr>
        <w:t xml:space="preserve"> </w:t>
      </w:r>
      <w:proofErr w:type="spellStart"/>
      <w:r w:rsidRPr="00B11F92">
        <w:rPr>
          <w:rFonts w:ascii="Times New Roman" w:eastAsia="Times New Roman" w:hAnsi="Times New Roman" w:cs="Times New Roman"/>
          <w:sz w:val="24"/>
          <w:szCs w:val="24"/>
          <w:lang w:eastAsia="en-IN"/>
        </w:rPr>
        <w:t>Yashvi</w:t>
      </w:r>
      <w:proofErr w:type="spellEnd"/>
      <w:r w:rsidRPr="00B11F92">
        <w:rPr>
          <w:rFonts w:ascii="Times New Roman" w:eastAsia="Times New Roman" w:hAnsi="Times New Roman" w:cs="Times New Roman"/>
          <w:sz w:val="24"/>
          <w:szCs w:val="24"/>
          <w:lang w:eastAsia="en-IN"/>
        </w:rPr>
        <w:t xml:space="preserve"> </w:t>
      </w:r>
      <w:proofErr w:type="spellStart"/>
      <w:r w:rsidRPr="00B11F92">
        <w:rPr>
          <w:rFonts w:ascii="Times New Roman" w:eastAsia="Times New Roman" w:hAnsi="Times New Roman" w:cs="Times New Roman"/>
          <w:sz w:val="24"/>
          <w:szCs w:val="24"/>
          <w:lang w:eastAsia="en-IN"/>
        </w:rPr>
        <w:t>Verma</w:t>
      </w:r>
      <w:proofErr w:type="spellEnd"/>
      <w:r w:rsidRPr="00B11F92">
        <w:rPr>
          <w:rFonts w:ascii="Times New Roman" w:eastAsia="Times New Roman" w:hAnsi="Times New Roman" w:cs="Times New Roman"/>
          <w:sz w:val="24"/>
          <w:szCs w:val="24"/>
          <w:lang w:eastAsia="en-IN"/>
        </w:rPr>
        <w:br/>
      </w:r>
      <w:r w:rsidRPr="00B11F92">
        <w:rPr>
          <w:rFonts w:ascii="Times New Roman" w:eastAsia="Times New Roman" w:hAnsi="Times New Roman" w:cs="Times New Roman"/>
          <w:b/>
          <w:bCs/>
          <w:sz w:val="24"/>
          <w:szCs w:val="24"/>
          <w:lang w:eastAsia="en-IN"/>
        </w:rPr>
        <w:t>Project:</w:t>
      </w:r>
      <w:r w:rsidRPr="00B11F92">
        <w:rPr>
          <w:rFonts w:ascii="Times New Roman" w:eastAsia="Times New Roman" w:hAnsi="Times New Roman" w:cs="Times New Roman"/>
          <w:sz w:val="24"/>
          <w:szCs w:val="24"/>
          <w:lang w:eastAsia="en-IN"/>
        </w:rPr>
        <w:t xml:space="preserve"> Data Simulation &amp; Analytics Assignment</w:t>
      </w:r>
      <w:r w:rsidRPr="00B11F92">
        <w:rPr>
          <w:rFonts w:ascii="Times New Roman" w:eastAsia="Times New Roman" w:hAnsi="Times New Roman" w:cs="Times New Roman"/>
          <w:sz w:val="24"/>
          <w:szCs w:val="24"/>
          <w:lang w:eastAsia="en-IN"/>
        </w:rPr>
        <w:br/>
      </w:r>
      <w:r w:rsidRPr="00B11F92">
        <w:rPr>
          <w:rFonts w:ascii="Times New Roman" w:eastAsia="Times New Roman" w:hAnsi="Times New Roman" w:cs="Times New Roman"/>
          <w:b/>
          <w:bCs/>
          <w:sz w:val="24"/>
          <w:szCs w:val="24"/>
          <w:lang w:eastAsia="en-IN"/>
        </w:rPr>
        <w:t>Tools Used:</w:t>
      </w:r>
      <w:r w:rsidRPr="00B11F92">
        <w:rPr>
          <w:rFonts w:ascii="Times New Roman" w:eastAsia="Times New Roman" w:hAnsi="Times New Roman" w:cs="Times New Roman"/>
          <w:sz w:val="24"/>
          <w:szCs w:val="24"/>
          <w:lang w:eastAsia="en-IN"/>
        </w:rPr>
        <w:t xml:space="preserve"> Python, Pandas, Power BI</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25" style="width:0;height:1.5pt" o:hralign="center" o:hrstd="t" o:hr="t" fillcolor="#a0a0a0" stroked="f"/>
        </w:pict>
      </w:r>
    </w:p>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Times New Roman" w:eastAsia="Times New Roman" w:hAnsi="Times New Roman" w:cs="Times New Roman"/>
          <w:b/>
          <w:bCs/>
          <w:kern w:val="36"/>
          <w:sz w:val="48"/>
          <w:szCs w:val="48"/>
          <w:lang w:eastAsia="en-IN"/>
        </w:rPr>
        <w:t>1️</w:t>
      </w:r>
      <w:r w:rsidRPr="00B11F92">
        <w:rPr>
          <w:rFonts w:ascii="Tahoma" w:eastAsia="Times New Roman" w:hAnsi="Tahoma" w:cs="Tahoma"/>
          <w:b/>
          <w:bCs/>
          <w:kern w:val="36"/>
          <w:sz w:val="48"/>
          <w:szCs w:val="48"/>
          <w:lang w:eastAsia="en-IN"/>
        </w:rPr>
        <w:t>⃣</w:t>
      </w:r>
      <w:r>
        <w:rPr>
          <w:rFonts w:ascii="Times New Roman" w:eastAsia="Times New Roman" w:hAnsi="Times New Roman" w:cs="Times New Roman"/>
          <w:b/>
          <w:bCs/>
          <w:kern w:val="36"/>
          <w:sz w:val="48"/>
          <w:szCs w:val="48"/>
          <w:lang w:eastAsia="en-IN"/>
        </w:rPr>
        <w:t xml:space="preserve">   </w:t>
      </w:r>
      <w:r w:rsidRPr="00B11F92">
        <w:rPr>
          <w:rFonts w:ascii="Times New Roman" w:eastAsia="Times New Roman" w:hAnsi="Times New Roman" w:cs="Times New Roman"/>
          <w:b/>
          <w:bCs/>
          <w:kern w:val="36"/>
          <w:sz w:val="48"/>
          <w:szCs w:val="48"/>
          <w:lang w:eastAsia="en-IN"/>
        </w:rPr>
        <w:t>Project Overview</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This project simulates insurance policy sales and claims data to </w:t>
      </w:r>
      <w:proofErr w:type="spellStart"/>
      <w:r w:rsidRPr="00B11F92">
        <w:rPr>
          <w:rFonts w:ascii="Times New Roman" w:eastAsia="Times New Roman" w:hAnsi="Times New Roman" w:cs="Times New Roman"/>
          <w:sz w:val="24"/>
          <w:szCs w:val="24"/>
          <w:lang w:eastAsia="en-IN"/>
        </w:rPr>
        <w:t>analyze</w:t>
      </w:r>
      <w:proofErr w:type="spellEnd"/>
      <w:r w:rsidRPr="00B11F92">
        <w:rPr>
          <w:rFonts w:ascii="Times New Roman" w:eastAsia="Times New Roman" w:hAnsi="Times New Roman" w:cs="Times New Roman"/>
          <w:sz w:val="24"/>
          <w:szCs w:val="24"/>
          <w:lang w:eastAsia="en-IN"/>
        </w:rPr>
        <w:t xml:space="preserve"> profitability and claim risk patterns. The dataset represents policy purchases made during the year 2024 and claims activity occurring in 2025 and early 2026. The objective of the analysis is to evaluate premium collection, claim trends, and loss ratios across different policy tenures.</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26" style="width:0;height:1.5pt" o:hralign="center" o:hrstd="t" o:hr="t" fillcolor="#a0a0a0" stroked="f"/>
        </w:pict>
      </w:r>
    </w:p>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Times New Roman" w:eastAsia="Times New Roman" w:hAnsi="Times New Roman" w:cs="Times New Roman"/>
          <w:b/>
          <w:bCs/>
          <w:kern w:val="36"/>
          <w:sz w:val="48"/>
          <w:szCs w:val="48"/>
          <w:lang w:eastAsia="en-IN"/>
        </w:rPr>
        <w:t>2️</w:t>
      </w:r>
      <w:r w:rsidRPr="00B11F92">
        <w:rPr>
          <w:rFonts w:ascii="Tahoma" w:eastAsia="Times New Roman" w:hAnsi="Tahoma" w:cs="Tahoma"/>
          <w:b/>
          <w:bCs/>
          <w:kern w:val="36"/>
          <w:sz w:val="48"/>
          <w:szCs w:val="48"/>
          <w:lang w:eastAsia="en-IN"/>
        </w:rPr>
        <w:t>⃣</w:t>
      </w:r>
      <w:r w:rsidRPr="00B11F92">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r w:rsidRPr="00B11F92">
        <w:rPr>
          <w:rFonts w:ascii="Times New Roman" w:eastAsia="Times New Roman" w:hAnsi="Times New Roman" w:cs="Times New Roman"/>
          <w:b/>
          <w:bCs/>
          <w:kern w:val="36"/>
          <w:sz w:val="48"/>
          <w:szCs w:val="48"/>
          <w:lang w:eastAsia="en-IN"/>
        </w:rPr>
        <w:t>Data Simulation Approach</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The policy sales dataset was generated for </w:t>
      </w:r>
      <w:r w:rsidRPr="00B11F92">
        <w:rPr>
          <w:rFonts w:ascii="Times New Roman" w:eastAsia="Times New Roman" w:hAnsi="Times New Roman" w:cs="Times New Roman"/>
          <w:b/>
          <w:bCs/>
          <w:sz w:val="24"/>
          <w:szCs w:val="24"/>
          <w:lang w:eastAsia="en-IN"/>
        </w:rPr>
        <w:t>1,000,000 customers</w:t>
      </w:r>
      <w:r w:rsidRPr="00B11F92">
        <w:rPr>
          <w:rFonts w:ascii="Times New Roman" w:eastAsia="Times New Roman" w:hAnsi="Times New Roman" w:cs="Times New Roman"/>
          <w:sz w:val="24"/>
          <w:szCs w:val="24"/>
          <w:lang w:eastAsia="en-IN"/>
        </w:rPr>
        <w:t xml:space="preserve"> who purchased car insurance policies during 2024.</w:t>
      </w:r>
      <w:bookmarkStart w:id="0" w:name="_GoBack"/>
      <w:bookmarkEnd w:id="0"/>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Key assumptions used:</w:t>
      </w:r>
    </w:p>
    <w:p w:rsidR="00B11F92" w:rsidRPr="00B11F92" w:rsidRDefault="00B11F92" w:rsidP="00B11F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Each vehicle value = </w:t>
      </w:r>
      <w:r w:rsidRPr="00B11F92">
        <w:rPr>
          <w:rFonts w:ascii="Times New Roman" w:eastAsia="Times New Roman" w:hAnsi="Times New Roman" w:cs="Times New Roman"/>
          <w:b/>
          <w:bCs/>
          <w:sz w:val="24"/>
          <w:szCs w:val="24"/>
          <w:lang w:eastAsia="en-IN"/>
        </w:rPr>
        <w:t>₹100,000</w:t>
      </w:r>
    </w:p>
    <w:p w:rsidR="00B11F92" w:rsidRPr="00B11F92" w:rsidRDefault="00B11F92" w:rsidP="00B11F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Premium charged = </w:t>
      </w:r>
      <w:r w:rsidRPr="00B11F92">
        <w:rPr>
          <w:rFonts w:ascii="Times New Roman" w:eastAsia="Times New Roman" w:hAnsi="Times New Roman" w:cs="Times New Roman"/>
          <w:b/>
          <w:bCs/>
          <w:sz w:val="24"/>
          <w:szCs w:val="24"/>
          <w:lang w:eastAsia="en-IN"/>
        </w:rPr>
        <w:t>₹100 per year of policy tenure</w:t>
      </w:r>
    </w:p>
    <w:p w:rsidR="00B11F92" w:rsidRPr="00B11F92" w:rsidRDefault="00B11F92" w:rsidP="00B11F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Policy tenure distribution:</w:t>
      </w:r>
    </w:p>
    <w:p w:rsidR="00B11F92" w:rsidRPr="00B11F92" w:rsidRDefault="00B11F92" w:rsidP="00B11F9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20% → 1 year</w:t>
      </w:r>
    </w:p>
    <w:p w:rsidR="00B11F92" w:rsidRPr="00B11F92" w:rsidRDefault="00B11F92" w:rsidP="00B11F9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30% → 2 years</w:t>
      </w:r>
    </w:p>
    <w:p w:rsidR="00B11F92" w:rsidRPr="00B11F92" w:rsidRDefault="00B11F92" w:rsidP="00B11F9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40% → 3 years</w:t>
      </w:r>
    </w:p>
    <w:p w:rsidR="00B11F92" w:rsidRPr="00B11F92" w:rsidRDefault="00B11F92" w:rsidP="00B11F9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10% → 4 years</w:t>
      </w:r>
    </w:p>
    <w:p w:rsidR="00B11F92" w:rsidRPr="00B11F92" w:rsidRDefault="00B11F92" w:rsidP="00B11F9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Policy start date = </w:t>
      </w:r>
      <w:r w:rsidRPr="00B11F92">
        <w:rPr>
          <w:rFonts w:ascii="Times New Roman" w:eastAsia="Times New Roman" w:hAnsi="Times New Roman" w:cs="Times New Roman"/>
          <w:b/>
          <w:bCs/>
          <w:sz w:val="24"/>
          <w:szCs w:val="24"/>
          <w:lang w:eastAsia="en-IN"/>
        </w:rPr>
        <w:t>Purchase date + 365 days</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Claims simulation assumptions:</w:t>
      </w:r>
    </w:p>
    <w:p w:rsidR="00B11F92" w:rsidRPr="00B11F92" w:rsidRDefault="00B11F92" w:rsidP="00B11F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In </w:t>
      </w:r>
      <w:r w:rsidRPr="00B11F92">
        <w:rPr>
          <w:rFonts w:ascii="Times New Roman" w:eastAsia="Times New Roman" w:hAnsi="Times New Roman" w:cs="Times New Roman"/>
          <w:b/>
          <w:bCs/>
          <w:sz w:val="24"/>
          <w:szCs w:val="24"/>
          <w:lang w:eastAsia="en-IN"/>
        </w:rPr>
        <w:t>2025</w:t>
      </w:r>
      <w:r w:rsidRPr="00B11F92">
        <w:rPr>
          <w:rFonts w:ascii="Times New Roman" w:eastAsia="Times New Roman" w:hAnsi="Times New Roman" w:cs="Times New Roman"/>
          <w:sz w:val="24"/>
          <w:szCs w:val="24"/>
          <w:lang w:eastAsia="en-IN"/>
        </w:rPr>
        <w:t xml:space="preserve">, 30% of vehicles purchased on the </w:t>
      </w:r>
      <w:r w:rsidRPr="00B11F92">
        <w:rPr>
          <w:rFonts w:ascii="Times New Roman" w:eastAsia="Times New Roman" w:hAnsi="Times New Roman" w:cs="Times New Roman"/>
          <w:b/>
          <w:bCs/>
          <w:sz w:val="24"/>
          <w:szCs w:val="24"/>
          <w:lang w:eastAsia="en-IN"/>
        </w:rPr>
        <w:t>7th, 14th, 21st, and 28th</w:t>
      </w:r>
      <w:r w:rsidRPr="00B11F92">
        <w:rPr>
          <w:rFonts w:ascii="Times New Roman" w:eastAsia="Times New Roman" w:hAnsi="Times New Roman" w:cs="Times New Roman"/>
          <w:sz w:val="24"/>
          <w:szCs w:val="24"/>
          <w:lang w:eastAsia="en-IN"/>
        </w:rPr>
        <w:t xml:space="preserve"> filed claims.</w:t>
      </w:r>
    </w:p>
    <w:p w:rsidR="00B11F92" w:rsidRPr="00B11F92" w:rsidRDefault="00B11F92" w:rsidP="00B11F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Claim amount = </w:t>
      </w:r>
      <w:r w:rsidRPr="00B11F92">
        <w:rPr>
          <w:rFonts w:ascii="Times New Roman" w:eastAsia="Times New Roman" w:hAnsi="Times New Roman" w:cs="Times New Roman"/>
          <w:b/>
          <w:bCs/>
          <w:sz w:val="24"/>
          <w:szCs w:val="24"/>
          <w:lang w:eastAsia="en-IN"/>
        </w:rPr>
        <w:t>10% of vehicle value</w:t>
      </w:r>
      <w:r w:rsidRPr="00B11F92">
        <w:rPr>
          <w:rFonts w:ascii="Times New Roman" w:eastAsia="Times New Roman" w:hAnsi="Times New Roman" w:cs="Times New Roman"/>
          <w:sz w:val="24"/>
          <w:szCs w:val="24"/>
          <w:lang w:eastAsia="en-IN"/>
        </w:rPr>
        <w:t>.</w:t>
      </w:r>
    </w:p>
    <w:p w:rsidR="00B11F92" w:rsidRPr="00B11F92" w:rsidRDefault="00B11F92" w:rsidP="00B11F9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In </w:t>
      </w:r>
      <w:r w:rsidRPr="00B11F92">
        <w:rPr>
          <w:rFonts w:ascii="Times New Roman" w:eastAsia="Times New Roman" w:hAnsi="Times New Roman" w:cs="Times New Roman"/>
          <w:b/>
          <w:bCs/>
          <w:sz w:val="24"/>
          <w:szCs w:val="24"/>
          <w:lang w:eastAsia="en-IN"/>
        </w:rPr>
        <w:t>2026</w:t>
      </w:r>
      <w:r w:rsidRPr="00B11F92">
        <w:rPr>
          <w:rFonts w:ascii="Times New Roman" w:eastAsia="Times New Roman" w:hAnsi="Times New Roman" w:cs="Times New Roman"/>
          <w:sz w:val="24"/>
          <w:szCs w:val="24"/>
          <w:lang w:eastAsia="en-IN"/>
        </w:rPr>
        <w:t xml:space="preserve">, 10% of policies with </w:t>
      </w:r>
      <w:r w:rsidRPr="00B11F92">
        <w:rPr>
          <w:rFonts w:ascii="Times New Roman" w:eastAsia="Times New Roman" w:hAnsi="Times New Roman" w:cs="Times New Roman"/>
          <w:b/>
          <w:bCs/>
          <w:sz w:val="24"/>
          <w:szCs w:val="24"/>
          <w:lang w:eastAsia="en-IN"/>
        </w:rPr>
        <w:t>4-year tenure</w:t>
      </w:r>
      <w:r w:rsidRPr="00B11F92">
        <w:rPr>
          <w:rFonts w:ascii="Times New Roman" w:eastAsia="Times New Roman" w:hAnsi="Times New Roman" w:cs="Times New Roman"/>
          <w:sz w:val="24"/>
          <w:szCs w:val="24"/>
          <w:lang w:eastAsia="en-IN"/>
        </w:rPr>
        <w:t xml:space="preserve"> filed a second claim.</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27" style="width:0;height:1.5pt" o:hralign="center" o:hrstd="t" o:hr="t" fillcolor="#a0a0a0" stroked="f"/>
        </w:pict>
      </w:r>
    </w:p>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Times New Roman" w:eastAsia="Times New Roman" w:hAnsi="Times New Roman" w:cs="Times New Roman"/>
          <w:b/>
          <w:bCs/>
          <w:kern w:val="36"/>
          <w:sz w:val="48"/>
          <w:szCs w:val="48"/>
          <w:lang w:eastAsia="en-IN"/>
        </w:rPr>
        <w:t>3️</w:t>
      </w:r>
      <w:r w:rsidRPr="00B11F92">
        <w:rPr>
          <w:rFonts w:ascii="Tahoma" w:eastAsia="Times New Roman" w:hAnsi="Tahoma" w:cs="Tahoma"/>
          <w:b/>
          <w:bCs/>
          <w:kern w:val="36"/>
          <w:sz w:val="48"/>
          <w:szCs w:val="48"/>
          <w:lang w:eastAsia="en-IN"/>
        </w:rPr>
        <w:t>⃣</w:t>
      </w:r>
      <w:r w:rsidRPr="00B11F92">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r w:rsidRPr="00B11F92">
        <w:rPr>
          <w:rFonts w:ascii="Times New Roman" w:eastAsia="Times New Roman" w:hAnsi="Times New Roman" w:cs="Times New Roman"/>
          <w:b/>
          <w:bCs/>
          <w:kern w:val="36"/>
          <w:sz w:val="48"/>
          <w:szCs w:val="48"/>
          <w:lang w:eastAsia="en-IN"/>
        </w:rPr>
        <w:t>Data Analysis</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lastRenderedPageBreak/>
        <w:t>The following metrics were calculated using Python and visualized using Power BI:</w:t>
      </w:r>
    </w:p>
    <w:p w:rsidR="00B11F92" w:rsidRPr="00B11F92" w:rsidRDefault="00B11F92" w:rsidP="00B11F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Total premium collected</w:t>
      </w:r>
    </w:p>
    <w:p w:rsidR="00B11F92" w:rsidRPr="00B11F92" w:rsidRDefault="00B11F92" w:rsidP="00B11F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Total claim cost</w:t>
      </w:r>
    </w:p>
    <w:p w:rsidR="00B11F92" w:rsidRPr="00B11F92" w:rsidRDefault="00B11F92" w:rsidP="00B11F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Claim trend by month</w:t>
      </w:r>
    </w:p>
    <w:p w:rsidR="00B11F92" w:rsidRPr="00B11F92" w:rsidRDefault="00B11F92" w:rsidP="00B11F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Policy sales by month</w:t>
      </w:r>
    </w:p>
    <w:p w:rsidR="00B11F92" w:rsidRPr="00B11F92" w:rsidRDefault="00B11F92" w:rsidP="00B11F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Claim ratio by policy tenure</w:t>
      </w:r>
    </w:p>
    <w:p w:rsidR="00B11F92" w:rsidRPr="00B11F92" w:rsidRDefault="00B11F92" w:rsidP="00B11F9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Policy distribution by tenure</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The Power BI dashboard was created to visualize these metrics interactively.</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28" style="width:0;height:1.5pt" o:hralign="center" o:hrstd="t" o:hr="t" fillcolor="#a0a0a0" stroked="f"/>
        </w:pict>
      </w:r>
    </w:p>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Times New Roman" w:eastAsia="Times New Roman" w:hAnsi="Times New Roman" w:cs="Times New Roman"/>
          <w:b/>
          <w:bCs/>
          <w:kern w:val="36"/>
          <w:sz w:val="48"/>
          <w:szCs w:val="48"/>
          <w:lang w:eastAsia="en-IN"/>
        </w:rPr>
        <w:t>4️</w:t>
      </w:r>
      <w:r w:rsidRPr="00B11F92">
        <w:rPr>
          <w:rFonts w:ascii="Tahoma" w:eastAsia="Times New Roman" w:hAnsi="Tahoma" w:cs="Tahoma"/>
          <w:b/>
          <w:bCs/>
          <w:kern w:val="36"/>
          <w:sz w:val="48"/>
          <w:szCs w:val="48"/>
          <w:lang w:eastAsia="en-IN"/>
        </w:rPr>
        <w:t>⃣</w:t>
      </w:r>
      <w:r w:rsidRPr="00B11F92">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r w:rsidRPr="00B11F92">
        <w:rPr>
          <w:rFonts w:ascii="Times New Roman" w:eastAsia="Times New Roman" w:hAnsi="Times New Roman" w:cs="Times New Roman"/>
          <w:b/>
          <w:bCs/>
          <w:kern w:val="36"/>
          <w:sz w:val="48"/>
          <w:szCs w:val="48"/>
          <w:lang w:eastAsia="en-IN"/>
        </w:rPr>
        <w:t>Dashboard Insights</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1️</w:t>
      </w:r>
      <w:r w:rsidRPr="00B11F92">
        <w:rPr>
          <w:rFonts w:ascii="Tahoma" w:eastAsia="Times New Roman" w:hAnsi="Tahoma" w:cs="Tahoma"/>
          <w:sz w:val="24"/>
          <w:szCs w:val="24"/>
          <w:lang w:eastAsia="en-IN"/>
        </w:rPr>
        <w:t>⃣</w:t>
      </w:r>
      <w:r>
        <w:rPr>
          <w:rFonts w:ascii="Tahoma" w:eastAsia="Times New Roman" w:hAnsi="Tahoma" w:cs="Tahoma"/>
          <w:sz w:val="24"/>
          <w:szCs w:val="24"/>
          <w:lang w:eastAsia="en-IN"/>
        </w:rPr>
        <w:t xml:space="preserve">  </w:t>
      </w:r>
      <w:r w:rsidRPr="00B11F92">
        <w:rPr>
          <w:rFonts w:ascii="Times New Roman" w:eastAsia="Times New Roman" w:hAnsi="Times New Roman" w:cs="Times New Roman"/>
          <w:sz w:val="24"/>
          <w:szCs w:val="24"/>
          <w:lang w:eastAsia="en-IN"/>
        </w:rPr>
        <w:t xml:space="preserve"> </w:t>
      </w:r>
      <w:r w:rsidRPr="00B11F92">
        <w:rPr>
          <w:rFonts w:ascii="Times New Roman" w:eastAsia="Times New Roman" w:hAnsi="Times New Roman" w:cs="Times New Roman"/>
          <w:b/>
          <w:bCs/>
          <w:sz w:val="24"/>
          <w:szCs w:val="24"/>
          <w:lang w:eastAsia="en-IN"/>
        </w:rPr>
        <w:t>Premium vs Claims</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Total premium collected is significantly higher than total claims paid, indicating overall portfolio profitability.</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29" style="width:0;height:1.5pt" o:hralign="center" o:hrstd="t" o:hr="t" fillcolor="#a0a0a0" stroked="f"/>
        </w:pic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2️</w:t>
      </w:r>
      <w:r w:rsidRPr="00B11F92">
        <w:rPr>
          <w:rFonts w:ascii="Tahoma" w:eastAsia="Times New Roman" w:hAnsi="Tahoma" w:cs="Tahoma"/>
          <w:sz w:val="24"/>
          <w:szCs w:val="24"/>
          <w:lang w:eastAsia="en-IN"/>
        </w:rPr>
        <w:t>⃣</w:t>
      </w:r>
      <w:r w:rsidRPr="00B11F9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11F92">
        <w:rPr>
          <w:rFonts w:ascii="Times New Roman" w:eastAsia="Times New Roman" w:hAnsi="Times New Roman" w:cs="Times New Roman"/>
          <w:b/>
          <w:bCs/>
          <w:sz w:val="24"/>
          <w:szCs w:val="24"/>
          <w:lang w:eastAsia="en-IN"/>
        </w:rPr>
        <w:t>Policy Tenure Distribution</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Most policies belong to the </w:t>
      </w:r>
      <w:r w:rsidRPr="00B11F92">
        <w:rPr>
          <w:rFonts w:ascii="Times New Roman" w:eastAsia="Times New Roman" w:hAnsi="Times New Roman" w:cs="Times New Roman"/>
          <w:b/>
          <w:bCs/>
          <w:sz w:val="24"/>
          <w:szCs w:val="24"/>
          <w:lang w:eastAsia="en-IN"/>
        </w:rPr>
        <w:t>3-year tenure category (≈40%)</w:t>
      </w:r>
      <w:r w:rsidRPr="00B11F92">
        <w:rPr>
          <w:rFonts w:ascii="Times New Roman" w:eastAsia="Times New Roman" w:hAnsi="Times New Roman" w:cs="Times New Roman"/>
          <w:sz w:val="24"/>
          <w:szCs w:val="24"/>
          <w:lang w:eastAsia="en-IN"/>
        </w:rPr>
        <w:t>, indicating customer preference for medium-term coverage.</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30" style="width:0;height:1.5pt" o:hralign="center" o:hrstd="t" o:hr="t" fillcolor="#a0a0a0" stroked="f"/>
        </w:pic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3️</w:t>
      </w:r>
      <w:r w:rsidRPr="00B11F92">
        <w:rPr>
          <w:rFonts w:ascii="Tahoma" w:eastAsia="Times New Roman" w:hAnsi="Tahoma" w:cs="Tahoma"/>
          <w:sz w:val="24"/>
          <w:szCs w:val="24"/>
          <w:lang w:eastAsia="en-IN"/>
        </w:rPr>
        <w:t>⃣</w:t>
      </w:r>
      <w:r w:rsidRPr="00B11F9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11F92">
        <w:rPr>
          <w:rFonts w:ascii="Times New Roman" w:eastAsia="Times New Roman" w:hAnsi="Times New Roman" w:cs="Times New Roman"/>
          <w:b/>
          <w:bCs/>
          <w:sz w:val="24"/>
          <w:szCs w:val="24"/>
          <w:lang w:eastAsia="en-IN"/>
        </w:rPr>
        <w:t>Claims Trend</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Claims are concentrated in specific months due to simulated defect conditions in the dataset.</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31" style="width:0;height:1.5pt" o:hralign="center" o:hrstd="t" o:hr="t" fillcolor="#a0a0a0" stroked="f"/>
        </w:pic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4️</w:t>
      </w:r>
      <w:r w:rsidRPr="00B11F92">
        <w:rPr>
          <w:rFonts w:ascii="Tahoma" w:eastAsia="Times New Roman" w:hAnsi="Tahoma" w:cs="Tahoma"/>
          <w:sz w:val="24"/>
          <w:szCs w:val="24"/>
          <w:lang w:eastAsia="en-IN"/>
        </w:rPr>
        <w:t>⃣</w:t>
      </w:r>
      <w:r w:rsidRPr="00B11F9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11F92">
        <w:rPr>
          <w:rFonts w:ascii="Times New Roman" w:eastAsia="Times New Roman" w:hAnsi="Times New Roman" w:cs="Times New Roman"/>
          <w:b/>
          <w:bCs/>
          <w:sz w:val="24"/>
          <w:szCs w:val="24"/>
          <w:lang w:eastAsia="en-IN"/>
        </w:rPr>
        <w:t>Claim Ratio by Tenure</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Longer tenure policies tend to have higher claim exposure, indicating increased long-term risk for the insurer.</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32" style="width:0;height:1.5pt" o:hralign="center" o:hrstd="t" o:hr="t" fillcolor="#a0a0a0" stroked="f"/>
        </w:pic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5️</w:t>
      </w:r>
      <w:r w:rsidRPr="00B11F92">
        <w:rPr>
          <w:rFonts w:ascii="Tahoma" w:eastAsia="Times New Roman" w:hAnsi="Tahoma" w:cs="Tahoma"/>
          <w:sz w:val="24"/>
          <w:szCs w:val="24"/>
          <w:lang w:eastAsia="en-IN"/>
        </w:rPr>
        <w:t>⃣</w:t>
      </w:r>
      <w:r w:rsidRPr="00B11F92">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11F92">
        <w:rPr>
          <w:rFonts w:ascii="Times New Roman" w:eastAsia="Times New Roman" w:hAnsi="Times New Roman" w:cs="Times New Roman"/>
          <w:b/>
          <w:bCs/>
          <w:sz w:val="24"/>
          <w:szCs w:val="24"/>
          <w:lang w:eastAsia="en-IN"/>
        </w:rPr>
        <w:t>Policy Sales Pattern</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Policy purchases are distributed fairly evenly across the year, suggesting stable demand for insurance policies.</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33" style="width:0;height:1.5pt" o:hralign="center" o:hrstd="t" o:hr="t" fillcolor="#a0a0a0" stroked="f"/>
        </w:pict>
      </w:r>
    </w:p>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Times New Roman" w:eastAsia="Times New Roman" w:hAnsi="Times New Roman" w:cs="Times New Roman"/>
          <w:b/>
          <w:bCs/>
          <w:kern w:val="36"/>
          <w:sz w:val="48"/>
          <w:szCs w:val="48"/>
          <w:lang w:eastAsia="en-IN"/>
        </w:rPr>
        <w:lastRenderedPageBreak/>
        <w:t>5️</w:t>
      </w:r>
      <w:r w:rsidRPr="00B11F92">
        <w:rPr>
          <w:rFonts w:ascii="Tahoma" w:eastAsia="Times New Roman" w:hAnsi="Tahoma" w:cs="Tahoma"/>
          <w:b/>
          <w:bCs/>
          <w:kern w:val="36"/>
          <w:sz w:val="48"/>
          <w:szCs w:val="48"/>
          <w:lang w:eastAsia="en-IN"/>
        </w:rPr>
        <w:t>⃣</w:t>
      </w:r>
      <w:r>
        <w:rPr>
          <w:rFonts w:ascii="Tahoma" w:eastAsia="Times New Roman" w:hAnsi="Tahoma" w:cs="Tahoma"/>
          <w:b/>
          <w:bCs/>
          <w:kern w:val="36"/>
          <w:sz w:val="48"/>
          <w:szCs w:val="48"/>
          <w:lang w:eastAsia="en-IN"/>
        </w:rPr>
        <w:t xml:space="preserve">  </w:t>
      </w:r>
      <w:r w:rsidRPr="00B11F92">
        <w:rPr>
          <w:rFonts w:ascii="Times New Roman" w:eastAsia="Times New Roman" w:hAnsi="Times New Roman" w:cs="Times New Roman"/>
          <w:b/>
          <w:bCs/>
          <w:kern w:val="36"/>
          <w:sz w:val="48"/>
          <w:szCs w:val="48"/>
          <w:lang w:eastAsia="en-IN"/>
        </w:rPr>
        <w:t xml:space="preserve"> Conclusion</w:t>
      </w:r>
    </w:p>
    <w:p w:rsidR="00B11F92" w:rsidRPr="00B11F92" w:rsidRDefault="00B11F92" w:rsidP="00B11F92">
      <w:pPr>
        <w:spacing w:before="100" w:beforeAutospacing="1" w:after="100" w:afterAutospacing="1"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t xml:space="preserve">The analysis demonstrates how insurance companies can simulate historical data to evaluate profitability and risk patterns. Using analytical tools such as Python and Power BI enables businesses to monitor claim </w:t>
      </w:r>
      <w:proofErr w:type="spellStart"/>
      <w:r w:rsidRPr="00B11F92">
        <w:rPr>
          <w:rFonts w:ascii="Times New Roman" w:eastAsia="Times New Roman" w:hAnsi="Times New Roman" w:cs="Times New Roman"/>
          <w:sz w:val="24"/>
          <w:szCs w:val="24"/>
          <w:lang w:eastAsia="en-IN"/>
        </w:rPr>
        <w:t>behavior</w:t>
      </w:r>
      <w:proofErr w:type="spellEnd"/>
      <w:r w:rsidRPr="00B11F92">
        <w:rPr>
          <w:rFonts w:ascii="Times New Roman" w:eastAsia="Times New Roman" w:hAnsi="Times New Roman" w:cs="Times New Roman"/>
          <w:sz w:val="24"/>
          <w:szCs w:val="24"/>
          <w:lang w:eastAsia="en-IN"/>
        </w:rPr>
        <w:t>, assess loss ratios, and make informed pricing decisions.</w:t>
      </w:r>
    </w:p>
    <w:p w:rsidR="00B11F92" w:rsidRPr="00B11F92" w:rsidRDefault="00B11F92" w:rsidP="00B11F92">
      <w:pPr>
        <w:spacing w:after="0" w:line="240" w:lineRule="auto"/>
        <w:rPr>
          <w:rFonts w:ascii="Times New Roman" w:eastAsia="Times New Roman" w:hAnsi="Times New Roman" w:cs="Times New Roman"/>
          <w:sz w:val="24"/>
          <w:szCs w:val="24"/>
          <w:lang w:eastAsia="en-IN"/>
        </w:rPr>
      </w:pPr>
      <w:r w:rsidRPr="00B11F92">
        <w:rPr>
          <w:rFonts w:ascii="Times New Roman" w:eastAsia="Times New Roman" w:hAnsi="Times New Roman" w:cs="Times New Roman"/>
          <w:sz w:val="24"/>
          <w:szCs w:val="24"/>
          <w:lang w:eastAsia="en-IN"/>
        </w:rPr>
        <w:pict>
          <v:rect id="_x0000_i1034" style="width:0;height:1.5pt" o:hralign="center" o:hrstd="t" o:hr="t" fillcolor="#a0a0a0" stroked="f"/>
        </w:pict>
      </w:r>
    </w:p>
    <w:p w:rsidR="00B11F92" w:rsidRPr="00B11F92" w:rsidRDefault="00B11F92" w:rsidP="00B11F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2">
        <w:rPr>
          <w:rFonts w:ascii="Segoe UI Symbol" w:eastAsia="Times New Roman" w:hAnsi="Segoe UI Symbol" w:cs="Segoe UI Symbol"/>
          <w:b/>
          <w:bCs/>
          <w:kern w:val="36"/>
          <w:sz w:val="48"/>
          <w:szCs w:val="48"/>
          <w:lang w:eastAsia="en-IN"/>
        </w:rPr>
        <w:t>📊</w:t>
      </w:r>
      <w:r w:rsidRPr="00B11F92">
        <w:rPr>
          <w:rFonts w:ascii="Times New Roman" w:eastAsia="Times New Roman" w:hAnsi="Times New Roman" w:cs="Times New Roman"/>
          <w:b/>
          <w:bCs/>
          <w:kern w:val="36"/>
          <w:sz w:val="48"/>
          <w:szCs w:val="48"/>
          <w:lang w:eastAsia="en-IN"/>
        </w:rPr>
        <w:t xml:space="preserve"> Dashboard Visualization</w:t>
      </w:r>
    </w:p>
    <w:p w:rsidR="00885C65" w:rsidRDefault="00B11F92">
      <w:r w:rsidRPr="00B11F92">
        <w:drawing>
          <wp:inline distT="0" distB="0" distL="0" distR="0" wp14:anchorId="3C228A8C" wp14:editId="70F3B12F">
            <wp:extent cx="5731510" cy="215646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56460"/>
                    </a:xfrm>
                    <a:prstGeom prst="rect">
                      <a:avLst/>
                    </a:prstGeom>
                  </pic:spPr>
                </pic:pic>
              </a:graphicData>
            </a:graphic>
          </wp:inline>
        </w:drawing>
      </w:r>
    </w:p>
    <w:sectPr w:rsidR="00885C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B6ECE"/>
    <w:multiLevelType w:val="multilevel"/>
    <w:tmpl w:val="3A42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156AA"/>
    <w:multiLevelType w:val="multilevel"/>
    <w:tmpl w:val="EF3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50D77"/>
    <w:multiLevelType w:val="multilevel"/>
    <w:tmpl w:val="720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F92"/>
    <w:rsid w:val="00885C65"/>
    <w:rsid w:val="00B11F92"/>
    <w:rsid w:val="00E01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C3A8"/>
  <w15:chartTrackingRefBased/>
  <w15:docId w15:val="{1A3A6069-EA89-49E2-B6F9-3564808E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1F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11F9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F9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11F9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11F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1F92"/>
    <w:rPr>
      <w:b/>
      <w:bCs/>
    </w:rPr>
  </w:style>
  <w:style w:type="character" w:styleId="Emphasis">
    <w:name w:val="Emphasis"/>
    <w:basedOn w:val="DefaultParagraphFont"/>
    <w:uiPriority w:val="20"/>
    <w:qFormat/>
    <w:rsid w:val="00B11F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46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A</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cp:lastPrinted>2026-03-09T17:58:00Z</cp:lastPrinted>
  <dcterms:created xsi:type="dcterms:W3CDTF">2026-03-09T17:54:00Z</dcterms:created>
  <dcterms:modified xsi:type="dcterms:W3CDTF">2026-03-09T18:19:00Z</dcterms:modified>
</cp:coreProperties>
</file>