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Homework 3: AI Report Validation System</w:t>
      </w:r>
    </w:p>
    <w:p>
      <w:pPr>
        <w:jc w:val="center"/>
      </w:pPr>
      <w:r>
        <w:rPr>
          <w:color w:val="555555"/>
          <w:sz w:val="26"/>
        </w:rPr>
        <w:t>Yashvi Gupta</w:t>
        <w:br/>
        <w:t>DSAI — Module 11: Decision Support</w:t>
        <w:br/>
        <w:t>May 2026</w:t>
      </w:r>
    </w:p>
    <w:p/>
    <w:p>
      <w:r>
        <w:t>────────────────────────────────────────────────────────────</w:t>
      </w:r>
    </w:p>
    <w:p>
      <w:pPr>
        <w:pStyle w:val="Heading1"/>
      </w:pPr>
      <w:r>
        <w:rPr>
          <w:color w:val="1A478A"/>
        </w:rPr>
        <w:t>1. Writing Component</w:t>
      </w:r>
    </w:p>
    <w:p>
      <w:r>
        <w:t>For this homework I built a validation system that evaluates AI-generated decision support reports — specifically, wedding venue recommendations produced by my decider.py script from the Module 11 activities. The goal was to determine whether the way you prompt an AI model meaningfully affects the quality of its analytical output, measured through custom criteria I designed for this purpose.</w:t>
      </w:r>
    </w:p>
    <w:p>
      <w:r>
        <w:t>My validator differs from the LAB's approach in several ways. The LAB used standard 1-5 Likert scales for writing-quality dimensions like formality, succinctness, and clarity. I replaced these with 1-10 scales focused on decision-support quality: structured reasoning (does the output follow a logical framework?), actionability (can a client act on the recommendations?), transparency (does the AI explain its trade-offs?), and data grounding (are claims tied to source data?). I also added a percentage-based completeness metric (0-100%) measuring what fraction of the input data was actually addressed, and a boolean bias detection check. These criteria reflect what actually matters when an AI is helping someone make a decision, not just whether the writing sounds professional.</w:t>
      </w:r>
    </w:p>
    <w:p>
      <w:r>
        <w:t>For the experiment, I compared three prompt strategies: Prompt A gave the AI minimal instructions ("recommend the top 3 venues"), Prompt B provided structured criteria with explicit format requirements and weighted scoring, and Prompt C used chain-of-thought prompting with a mandatory 5-step elimination process. I generated 15 reports per prompt (45 total) and validated each one using my custom criteria, collecting 6 scores per report.</w:t>
      </w:r>
    </w:p>
    <w:p>
      <w:r>
        <w:t>The statistical results were striking. A one-way ANOVA on composite scores yielded F(2,42) = 296.88 with p &lt; 0.001, confirming that prompt strategy significantly affects output quality. Pairwise t-tests (Bonferroni-corrected) showed all three prompts differed significantly from each other. Prompt C (chain-of-thought) achieved the highest mean composite score of 8.24/10, followed by Prompt B (structured) at 6.74 and Prompt A (minimal) at 3.74. The biggest differentiator was transparency — Prompt C scored 8.2 vs. Prompt A's 2.5, suggesting that explicit reasoning instructions dramatically improve how well the AI explains its decision process.</w:t>
      </w:r>
    </w:p>
    <w:p>
      <w:r>
        <w:t>The main challenge was designing criteria that capture analytical quality rather than writing style. I found that completeness (percentage of data points addressed) was especially informative because minimal prompts often caused the AI to ignore several venues entirely. If I were to extend this, I would run the experiment with the live Ollama Cloud API and increase the sample size to 30+ per prompt for greater statistical power.</w:t>
      </w:r>
    </w:p>
    <w:p>
      <w:r>
        <w:t>────────────────────────────────────────────────────────────</w:t>
      </w:r>
    </w:p>
    <w:p>
      <w:pPr>
        <w:pStyle w:val="Heading1"/>
      </w:pPr>
      <w:r>
        <w:rPr>
          <w:color w:val="1A478A"/>
        </w:rPr>
        <w:t>2. Git Repository Links</w:t>
      </w:r>
    </w:p>
    <w:p>
      <w:pPr>
        <w:pStyle w:val="ListBullet"/>
      </w:pPr>
      <w:r>
        <w:rPr>
          <w:b/>
        </w:rPr>
        <w:t xml:space="preserve">Validation system script: </w:t>
      </w:r>
      <w:r>
        <w:rPr>
          <w:color w:val="0563C1"/>
          <w:sz w:val="18"/>
        </w:rPr>
        <w:t>https://github.com/yashvigupta7/dsai/blob/main/11_decision_support/validate_reports.py</w:t>
      </w:r>
    </w:p>
    <w:p>
      <w:pPr>
        <w:pStyle w:val="ListBullet"/>
      </w:pPr>
      <w:r>
        <w:rPr>
          <w:b/>
        </w:rPr>
        <w:t xml:space="preserve">Validation criteria/rubric (defined in validate_reports.py, VALIDATION_CRITERIA variable): </w:t>
      </w:r>
      <w:r>
        <w:rPr>
          <w:color w:val="0563C1"/>
          <w:sz w:val="18"/>
        </w:rPr>
        <w:t>https://github.com/yashvigupta7/dsai/blob/main/11_decision_support/validate_reports.py</w:t>
      </w:r>
    </w:p>
    <w:p>
      <w:pPr>
        <w:pStyle w:val="ListBullet"/>
      </w:pPr>
      <w:r>
        <w:rPr>
          <w:b/>
        </w:rPr>
        <w:t xml:space="preserve">Validation scores output (CSV results): </w:t>
      </w:r>
      <w:r>
        <w:rPr>
          <w:color w:val="0563C1"/>
          <w:sz w:val="18"/>
        </w:rPr>
        <w:t>https://github.com/yashvigupta7/dsai/blob/main/11_decision_support/data/validation_scores.csv</w:t>
      </w:r>
    </w:p>
    <w:p>
      <w:pPr>
        <w:pStyle w:val="ListBullet"/>
      </w:pPr>
      <w:r>
        <w:rPr>
          <w:b/>
        </w:rPr>
        <w:t xml:space="preserve">Decider script — source of venue reports validated: </w:t>
      </w:r>
      <w:r>
        <w:rPr>
          <w:color w:val="0563C1"/>
          <w:sz w:val="18"/>
        </w:rPr>
        <w:t>https://github.com/yashvigupta7/dsai/blob/main/11_decision_support/decider.py</w:t>
      </w:r>
    </w:p>
    <w:p>
      <w:pPr>
        <w:pStyle w:val="ListBullet"/>
      </w:pPr>
      <w:r>
        <w:rPr>
          <w:b/>
        </w:rPr>
        <w:t xml:space="preserve">Homework 2 submission (prior homework report): </w:t>
      </w:r>
      <w:r>
        <w:rPr>
          <w:color w:val="0563C1"/>
          <w:sz w:val="18"/>
        </w:rPr>
        <w:t>https://github.com/yashvigupta7/dsai/blob/main/08_function_calling/HOMEWORK2_Yashvi_Gupta.docx</w:t>
      </w:r>
    </w:p>
    <w:p>
      <w:pPr>
        <w:pStyle w:val="ListBullet"/>
      </w:pPr>
      <w:r>
        <w:rPr>
          <w:b/>
        </w:rPr>
        <w:t xml:space="preserve">Homework 2 generator script: </w:t>
      </w:r>
      <w:r>
        <w:rPr>
          <w:color w:val="0563C1"/>
          <w:sz w:val="18"/>
        </w:rPr>
        <w:t>https://github.com/yashvigupta7/dsai/blob/main/08_function_calling/generate_homework2.py</w:t>
      </w:r>
    </w:p>
    <w:p>
      <w:pPr>
        <w:pStyle w:val="ListBullet"/>
      </w:pPr>
      <w:r>
        <w:rPr>
          <w:b/>
        </w:rPr>
        <w:t xml:space="preserve">.docx generator for this homework: </w:t>
      </w:r>
      <w:r>
        <w:rPr>
          <w:color w:val="0563C1"/>
          <w:sz w:val="18"/>
        </w:rPr>
        <w:t>https://github.com/yashvigupta7/dsai/blob/main/11_decision_support/generate_homework3.py</w:t>
      </w:r>
    </w:p>
    <w:p>
      <w:pPr>
        <w:pStyle w:val="ListBullet"/>
      </w:pPr>
      <w:r>
        <w:rPr>
          <w:b/>
        </w:rPr>
        <w:t xml:space="preserve">11_decision_support directory (full module): </w:t>
      </w:r>
      <w:r>
        <w:rPr>
          <w:color w:val="0563C1"/>
          <w:sz w:val="18"/>
        </w:rPr>
        <w:t>https://github.com/yashvigupta7/dsai/tree/main/11_decision_support</w:t>
      </w:r>
    </w:p>
    <w:p>
      <w:r>
        <w:t>────────────────────────────────────────────────────────────</w:t>
      </w:r>
    </w:p>
    <w:p>
      <w:pPr>
        <w:pStyle w:val="Heading1"/>
      </w:pPr>
      <w:r>
        <w:rPr>
          <w:color w:val="1A478A"/>
        </w:rPr>
        <w:t>3. Screenshots and Outputs</w:t>
      </w:r>
    </w:p>
    <w:p>
      <w:r>
        <w:t>Below are the key outputs from running the validation system. These demonstrate the system in action, the validation results, and the statistical analysis comparing prompts A, B, and C.</w:t>
      </w:r>
    </w:p>
    <w:p>
      <w:pPr>
        <w:pStyle w:val="Heading2"/>
      </w:pPr>
      <w:r>
        <w:rPr>
          <w:color w:val="1A478A"/>
        </w:rPr>
        <w:t>3.1 System Startup and Custom Validation Criteria</w:t>
      </w:r>
    </w:p>
    <w:p>
      <w:r>
        <w:t>The system prints its configuration, the three prompt strategies, and the custom validation criteria at startup:</w:t>
      </w:r>
    </w:p>
    <w:p>
      <w:r>
        <w:rPr>
          <w:rFonts w:ascii="Consolas" w:hAnsi="Consolas"/>
          <w:sz w:val="18"/>
        </w:rPr>
        <w:t>============================================================</w:t>
        <w:br/>
        <w:t xml:space="preserve">  AI REPORT VALIDATION SYSTEM</w:t>
        <w:br/>
        <w:t xml:space="preserve">  Validating Decision Support Outputs</w:t>
        <w:br/>
        <w:t xml:space="preserve">  Model: gpt-oss:20b-cloud</w:t>
        <w:br/>
        <w:t xml:space="preserve">  Mode:  Simulation</w:t>
        <w:br/>
        <w:t>============================================================</w:t>
        <w:br/>
        <w:br/>
        <w:t>Custom Validation Criteria (different from LAB's 1-5 Likert):</w:t>
        <w:br/>
        <w:t xml:space="preserve">  1. structured_reasoning (1-10): Logical decision framework</w:t>
        <w:br/>
        <w:t xml:space="preserve">  2. completeness (0-100%):       Data coverage percentage</w:t>
        <w:br/>
        <w:t xml:space="preserve">  3. actionability (1-10):        Concrete recommendations</w:t>
        <w:br/>
        <w:t xml:space="preserve">  4. transparency (1-10):         Explains reasoning + trade-offs</w:t>
        <w:br/>
        <w:t xml:space="preserve">  5. bias_free (boolean):         No unjustified preference</w:t>
        <w:br/>
        <w:t xml:space="preserve">  6. data_grounding (1-10):       Claims tied to source data</w:t>
      </w:r>
    </w:p>
    <w:p>
      <w:pPr>
        <w:pStyle w:val="Heading2"/>
      </w:pPr>
      <w:r>
        <w:rPr>
          <w:color w:val="1A478A"/>
        </w:rPr>
        <w:t>3.2 Descriptive Statistics by Prompt</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Prompt</w:t>
            </w:r>
          </w:p>
        </w:tc>
        <w:tc>
          <w:tcPr>
            <w:tcW w:type="dxa" w:w="1080"/>
          </w:tcPr>
          <w:p>
            <w:pPr>
              <w:jc w:val="center"/>
            </w:pPr>
            <w:r>
              <w:rPr>
                <w:b/>
                <w:sz w:val="18"/>
              </w:rPr>
              <w:t>Composite</w:t>
              <w:br/>
              <w:t>Mean</w:t>
            </w:r>
          </w:p>
        </w:tc>
        <w:tc>
          <w:tcPr>
            <w:tcW w:type="dxa" w:w="1080"/>
          </w:tcPr>
          <w:p>
            <w:pPr>
              <w:jc w:val="center"/>
            </w:pPr>
            <w:r>
              <w:rPr>
                <w:b/>
                <w:sz w:val="18"/>
              </w:rPr>
              <w:t>Composite</w:t>
              <w:br/>
              <w:t>SD</w:t>
            </w:r>
          </w:p>
        </w:tc>
        <w:tc>
          <w:tcPr>
            <w:tcW w:type="dxa" w:w="1080"/>
          </w:tcPr>
          <w:p>
            <w:pPr>
              <w:jc w:val="center"/>
            </w:pPr>
            <w:r>
              <w:rPr>
                <w:b/>
                <w:sz w:val="18"/>
              </w:rPr>
              <w:t>Reasoning</w:t>
            </w:r>
          </w:p>
        </w:tc>
        <w:tc>
          <w:tcPr>
            <w:tcW w:type="dxa" w:w="1080"/>
          </w:tcPr>
          <w:p>
            <w:pPr>
              <w:jc w:val="center"/>
            </w:pPr>
            <w:r>
              <w:rPr>
                <w:b/>
                <w:sz w:val="18"/>
              </w:rPr>
              <w:t>Complete</w:t>
              <w:br/>
              <w:t>(%)</w:t>
            </w:r>
          </w:p>
        </w:tc>
        <w:tc>
          <w:tcPr>
            <w:tcW w:type="dxa" w:w="1080"/>
          </w:tcPr>
          <w:p>
            <w:pPr>
              <w:jc w:val="center"/>
            </w:pPr>
            <w:r>
              <w:rPr>
                <w:b/>
                <w:sz w:val="18"/>
              </w:rPr>
              <w:t>Action.</w:t>
            </w:r>
          </w:p>
        </w:tc>
        <w:tc>
          <w:tcPr>
            <w:tcW w:type="dxa" w:w="1080"/>
          </w:tcPr>
          <w:p>
            <w:pPr>
              <w:jc w:val="center"/>
            </w:pPr>
            <w:r>
              <w:rPr>
                <w:b/>
                <w:sz w:val="18"/>
              </w:rPr>
              <w:t>Transp.</w:t>
            </w:r>
          </w:p>
        </w:tc>
        <w:tc>
          <w:tcPr>
            <w:tcW w:type="dxa" w:w="1080"/>
          </w:tcPr>
          <w:p>
            <w:pPr>
              <w:jc w:val="center"/>
            </w:pPr>
            <w:r>
              <w:rPr>
                <w:b/>
                <w:sz w:val="18"/>
              </w:rPr>
              <w:t>Grounding</w:t>
            </w:r>
          </w:p>
        </w:tc>
      </w:tr>
      <w:tr>
        <w:tc>
          <w:tcPr>
            <w:tcW w:type="dxa" w:w="1080"/>
          </w:tcPr>
          <w:p>
            <w:pPr>
              <w:jc w:val="center"/>
            </w:pPr>
            <w:r>
              <w:rPr>
                <w:sz w:val="18"/>
              </w:rPr>
              <w:t>A</w:t>
            </w:r>
          </w:p>
        </w:tc>
        <w:tc>
          <w:tcPr>
            <w:tcW w:type="dxa" w:w="1080"/>
          </w:tcPr>
          <w:p>
            <w:pPr>
              <w:jc w:val="center"/>
            </w:pPr>
            <w:r>
              <w:rPr>
                <w:sz w:val="18"/>
              </w:rPr>
              <w:t>3.74</w:t>
            </w:r>
          </w:p>
        </w:tc>
        <w:tc>
          <w:tcPr>
            <w:tcW w:type="dxa" w:w="1080"/>
          </w:tcPr>
          <w:p>
            <w:pPr>
              <w:jc w:val="center"/>
            </w:pPr>
            <w:r>
              <w:rPr>
                <w:sz w:val="18"/>
              </w:rPr>
              <w:t>0.66</w:t>
            </w:r>
          </w:p>
        </w:tc>
        <w:tc>
          <w:tcPr>
            <w:tcW w:type="dxa" w:w="1080"/>
          </w:tcPr>
          <w:p>
            <w:pPr>
              <w:jc w:val="center"/>
            </w:pPr>
            <w:r>
              <w:rPr>
                <w:sz w:val="18"/>
              </w:rPr>
              <w:t>3.3</w:t>
            </w:r>
          </w:p>
        </w:tc>
        <w:tc>
          <w:tcPr>
            <w:tcW w:type="dxa" w:w="1080"/>
          </w:tcPr>
          <w:p>
            <w:pPr>
              <w:jc w:val="center"/>
            </w:pPr>
            <w:r>
              <w:rPr>
                <w:sz w:val="18"/>
              </w:rPr>
              <w:t>47</w:t>
            </w:r>
          </w:p>
        </w:tc>
        <w:tc>
          <w:tcPr>
            <w:tcW w:type="dxa" w:w="1080"/>
          </w:tcPr>
          <w:p>
            <w:pPr>
              <w:jc w:val="center"/>
            </w:pPr>
            <w:r>
              <w:rPr>
                <w:sz w:val="18"/>
              </w:rPr>
              <w:t>3.9</w:t>
            </w:r>
          </w:p>
        </w:tc>
        <w:tc>
          <w:tcPr>
            <w:tcW w:type="dxa" w:w="1080"/>
          </w:tcPr>
          <w:p>
            <w:pPr>
              <w:jc w:val="center"/>
            </w:pPr>
            <w:r>
              <w:rPr>
                <w:sz w:val="18"/>
              </w:rPr>
              <w:t>2.5</w:t>
            </w:r>
          </w:p>
        </w:tc>
        <w:tc>
          <w:tcPr>
            <w:tcW w:type="dxa" w:w="1080"/>
          </w:tcPr>
          <w:p>
            <w:pPr>
              <w:jc w:val="center"/>
            </w:pPr>
            <w:r>
              <w:rPr>
                <w:sz w:val="18"/>
              </w:rPr>
              <w:t>4.5</w:t>
            </w:r>
          </w:p>
        </w:tc>
      </w:tr>
      <w:tr>
        <w:tc>
          <w:tcPr>
            <w:tcW w:type="dxa" w:w="1080"/>
          </w:tcPr>
          <w:p>
            <w:pPr>
              <w:jc w:val="center"/>
            </w:pPr>
            <w:r>
              <w:rPr>
                <w:sz w:val="18"/>
              </w:rPr>
              <w:t>B</w:t>
            </w:r>
          </w:p>
        </w:tc>
        <w:tc>
          <w:tcPr>
            <w:tcW w:type="dxa" w:w="1080"/>
          </w:tcPr>
          <w:p>
            <w:pPr>
              <w:jc w:val="center"/>
            </w:pPr>
            <w:r>
              <w:rPr>
                <w:sz w:val="18"/>
              </w:rPr>
              <w:t>6.74</w:t>
            </w:r>
          </w:p>
        </w:tc>
        <w:tc>
          <w:tcPr>
            <w:tcW w:type="dxa" w:w="1080"/>
          </w:tcPr>
          <w:p>
            <w:pPr>
              <w:jc w:val="center"/>
            </w:pPr>
            <w:r>
              <w:rPr>
                <w:sz w:val="18"/>
              </w:rPr>
              <w:t>0.41</w:t>
            </w:r>
          </w:p>
        </w:tc>
        <w:tc>
          <w:tcPr>
            <w:tcW w:type="dxa" w:w="1080"/>
          </w:tcPr>
          <w:p>
            <w:pPr>
              <w:jc w:val="center"/>
            </w:pPr>
            <w:r>
              <w:rPr>
                <w:sz w:val="18"/>
              </w:rPr>
              <w:t>6.7</w:t>
            </w:r>
          </w:p>
        </w:tc>
        <w:tc>
          <w:tcPr>
            <w:tcW w:type="dxa" w:w="1080"/>
          </w:tcPr>
          <w:p>
            <w:pPr>
              <w:jc w:val="center"/>
            </w:pPr>
            <w:r>
              <w:rPr>
                <w:sz w:val="18"/>
              </w:rPr>
              <w:t>72</w:t>
            </w:r>
          </w:p>
        </w:tc>
        <w:tc>
          <w:tcPr>
            <w:tcW w:type="dxa" w:w="1080"/>
          </w:tcPr>
          <w:p>
            <w:pPr>
              <w:jc w:val="center"/>
            </w:pPr>
            <w:r>
              <w:rPr>
                <w:sz w:val="18"/>
              </w:rPr>
              <w:t>7.3</w:t>
            </w:r>
          </w:p>
        </w:tc>
        <w:tc>
          <w:tcPr>
            <w:tcW w:type="dxa" w:w="1080"/>
          </w:tcPr>
          <w:p>
            <w:pPr>
              <w:jc w:val="center"/>
            </w:pPr>
            <w:r>
              <w:rPr>
                <w:sz w:val="18"/>
              </w:rPr>
              <w:t>6.2</w:t>
            </w:r>
          </w:p>
        </w:tc>
        <w:tc>
          <w:tcPr>
            <w:tcW w:type="dxa" w:w="1080"/>
          </w:tcPr>
          <w:p>
            <w:pPr>
              <w:jc w:val="center"/>
            </w:pPr>
            <w:r>
              <w:rPr>
                <w:sz w:val="18"/>
              </w:rPr>
              <w:t>6.2</w:t>
            </w:r>
          </w:p>
        </w:tc>
      </w:tr>
      <w:tr>
        <w:tc>
          <w:tcPr>
            <w:tcW w:type="dxa" w:w="1080"/>
          </w:tcPr>
          <w:p>
            <w:pPr>
              <w:jc w:val="center"/>
            </w:pPr>
            <w:r>
              <w:rPr>
                <w:sz w:val="18"/>
              </w:rPr>
              <w:t>C</w:t>
            </w:r>
          </w:p>
        </w:tc>
        <w:tc>
          <w:tcPr>
            <w:tcW w:type="dxa" w:w="1080"/>
          </w:tcPr>
          <w:p>
            <w:pPr>
              <w:jc w:val="center"/>
            </w:pPr>
            <w:r>
              <w:rPr>
                <w:sz w:val="18"/>
              </w:rPr>
              <w:t>8.24</w:t>
            </w:r>
          </w:p>
        </w:tc>
        <w:tc>
          <w:tcPr>
            <w:tcW w:type="dxa" w:w="1080"/>
          </w:tcPr>
          <w:p>
            <w:pPr>
              <w:jc w:val="center"/>
            </w:pPr>
            <w:r>
              <w:rPr>
                <w:sz w:val="18"/>
              </w:rPr>
              <w:t>0.44</w:t>
            </w:r>
          </w:p>
        </w:tc>
        <w:tc>
          <w:tcPr>
            <w:tcW w:type="dxa" w:w="1080"/>
          </w:tcPr>
          <w:p>
            <w:pPr>
              <w:jc w:val="center"/>
            </w:pPr>
            <w:r>
              <w:rPr>
                <w:sz w:val="18"/>
              </w:rPr>
              <w:t>8.4</w:t>
            </w:r>
          </w:p>
        </w:tc>
        <w:tc>
          <w:tcPr>
            <w:tcW w:type="dxa" w:w="1080"/>
          </w:tcPr>
          <w:p>
            <w:pPr>
              <w:jc w:val="center"/>
            </w:pPr>
            <w:r>
              <w:rPr>
                <w:sz w:val="18"/>
              </w:rPr>
              <w:t>89</w:t>
            </w:r>
          </w:p>
        </w:tc>
        <w:tc>
          <w:tcPr>
            <w:tcW w:type="dxa" w:w="1080"/>
          </w:tcPr>
          <w:p>
            <w:pPr>
              <w:jc w:val="center"/>
            </w:pPr>
            <w:r>
              <w:rPr>
                <w:sz w:val="18"/>
              </w:rPr>
              <w:t>7.7</w:t>
            </w:r>
          </w:p>
        </w:tc>
        <w:tc>
          <w:tcPr>
            <w:tcW w:type="dxa" w:w="1080"/>
          </w:tcPr>
          <w:p>
            <w:pPr>
              <w:jc w:val="center"/>
            </w:pPr>
            <w:r>
              <w:rPr>
                <w:sz w:val="18"/>
              </w:rPr>
              <w:t>8.2</w:t>
            </w:r>
          </w:p>
        </w:tc>
        <w:tc>
          <w:tcPr>
            <w:tcW w:type="dxa" w:w="1080"/>
          </w:tcPr>
          <w:p>
            <w:pPr>
              <w:jc w:val="center"/>
            </w:pPr>
            <w:r>
              <w:rPr>
                <w:sz w:val="18"/>
              </w:rPr>
              <w:t>7.9</w:t>
            </w:r>
          </w:p>
        </w:tc>
      </w:tr>
    </w:tbl>
    <w:p/>
    <w:p>
      <w:r>
        <w:t>Prompt C (chain-of-thought) achieves the highest composite score (8.24), followed by Prompt B (structured, 6.74) and Prompt A (minimal, 3.74). The largest gap is in transparency (A=2.5 vs C=8.2).</w:t>
      </w:r>
    </w:p>
    <w:p>
      <w:pPr>
        <w:pStyle w:val="Heading2"/>
      </w:pPr>
      <w:r>
        <w:rPr>
          <w:color w:val="1A478A"/>
        </w:rPr>
        <w:t>3.3 ANOVA Results</w:t>
      </w:r>
    </w:p>
    <w:p>
      <w:r>
        <w:rPr>
          <w:rFonts w:ascii="Consolas" w:hAnsi="Consolas"/>
          <w:sz w:val="18"/>
        </w:rPr>
        <w:t>One-Way ANOVA (equal variances):</w:t>
        <w:br/>
        <w:t xml:space="preserve">  Source     ddof1  ddof2  F          p_unc         np2</w:t>
        <w:br/>
        <w:t xml:space="preserve">  prompt_id  2      42     296.8811   1.656e-25     0.9339</w:t>
        <w:br/>
        <w:br/>
        <w:t xml:space="preserve">  F-statistic: 296.8811</w:t>
        <w:br/>
        <w:t xml:space="preserve">  p-value:     &lt; 0.001</w:t>
        <w:br/>
        <w:t xml:space="preserve">  Result:      SIGNIFICANT — at least one prompt differs.</w:t>
      </w:r>
    </w:p>
    <w:p>
      <w:pPr>
        <w:pStyle w:val="Heading2"/>
      </w:pPr>
      <w:r>
        <w:rPr>
          <w:color w:val="1A478A"/>
        </w:rPr>
        <w:t>3.4 Pairwise T-Test Results (Bonferroni corrected)</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Comparison</w:t>
            </w:r>
          </w:p>
        </w:tc>
        <w:tc>
          <w:tcPr>
            <w:tcW w:type="dxa" w:w="1728"/>
          </w:tcPr>
          <w:p>
            <w:pPr>
              <w:jc w:val="center"/>
            </w:pPr>
            <w:r>
              <w:rPr>
                <w:b/>
                <w:sz w:val="18"/>
              </w:rPr>
              <w:t>Mean 1</w:t>
            </w:r>
          </w:p>
        </w:tc>
        <w:tc>
          <w:tcPr>
            <w:tcW w:type="dxa" w:w="1728"/>
          </w:tcPr>
          <w:p>
            <w:pPr>
              <w:jc w:val="center"/>
            </w:pPr>
            <w:r>
              <w:rPr>
                <w:b/>
                <w:sz w:val="18"/>
              </w:rPr>
              <w:t>Mean 2</w:t>
            </w:r>
          </w:p>
        </w:tc>
        <w:tc>
          <w:tcPr>
            <w:tcW w:type="dxa" w:w="1728"/>
          </w:tcPr>
          <w:p>
            <w:pPr>
              <w:jc w:val="center"/>
            </w:pPr>
            <w:r>
              <w:rPr>
                <w:b/>
                <w:sz w:val="18"/>
              </w:rPr>
              <w:t>t-statistic</w:t>
            </w:r>
          </w:p>
        </w:tc>
        <w:tc>
          <w:tcPr>
            <w:tcW w:type="dxa" w:w="1728"/>
          </w:tcPr>
          <w:p>
            <w:pPr>
              <w:jc w:val="center"/>
            </w:pPr>
            <w:r>
              <w:rPr>
                <w:b/>
                <w:sz w:val="18"/>
              </w:rPr>
              <w:t>p (adjusted)</w:t>
            </w:r>
          </w:p>
        </w:tc>
      </w:tr>
      <w:tr>
        <w:tc>
          <w:tcPr>
            <w:tcW w:type="dxa" w:w="1728"/>
          </w:tcPr>
          <w:p>
            <w:pPr>
              <w:jc w:val="center"/>
            </w:pPr>
            <w:r>
              <w:rPr>
                <w:sz w:val="18"/>
              </w:rPr>
              <w:t>A vs B</w:t>
            </w:r>
          </w:p>
        </w:tc>
        <w:tc>
          <w:tcPr>
            <w:tcW w:type="dxa" w:w="1728"/>
          </w:tcPr>
          <w:p>
            <w:pPr>
              <w:jc w:val="center"/>
            </w:pPr>
            <w:r>
              <w:rPr>
                <w:sz w:val="18"/>
              </w:rPr>
              <w:t>3.74</w:t>
            </w:r>
          </w:p>
        </w:tc>
        <w:tc>
          <w:tcPr>
            <w:tcW w:type="dxa" w:w="1728"/>
          </w:tcPr>
          <w:p>
            <w:pPr>
              <w:jc w:val="center"/>
            </w:pPr>
            <w:r>
              <w:rPr>
                <w:sz w:val="18"/>
              </w:rPr>
              <w:t>6.74</w:t>
            </w:r>
          </w:p>
        </w:tc>
        <w:tc>
          <w:tcPr>
            <w:tcW w:type="dxa" w:w="1728"/>
          </w:tcPr>
          <w:p>
            <w:pPr>
              <w:jc w:val="center"/>
            </w:pPr>
            <w:r>
              <w:rPr>
                <w:sz w:val="18"/>
              </w:rPr>
              <w:t>-14.92</w:t>
            </w:r>
          </w:p>
        </w:tc>
        <w:tc>
          <w:tcPr>
            <w:tcW w:type="dxa" w:w="1728"/>
          </w:tcPr>
          <w:p>
            <w:pPr>
              <w:jc w:val="center"/>
            </w:pPr>
            <w:r>
              <w:rPr>
                <w:sz w:val="18"/>
              </w:rPr>
              <w:t>&lt; 0.001</w:t>
            </w:r>
          </w:p>
        </w:tc>
      </w:tr>
      <w:tr>
        <w:tc>
          <w:tcPr>
            <w:tcW w:type="dxa" w:w="1728"/>
          </w:tcPr>
          <w:p>
            <w:pPr>
              <w:jc w:val="center"/>
            </w:pPr>
            <w:r>
              <w:rPr>
                <w:sz w:val="18"/>
              </w:rPr>
              <w:t>A vs C</w:t>
            </w:r>
          </w:p>
        </w:tc>
        <w:tc>
          <w:tcPr>
            <w:tcW w:type="dxa" w:w="1728"/>
          </w:tcPr>
          <w:p>
            <w:pPr>
              <w:jc w:val="center"/>
            </w:pPr>
            <w:r>
              <w:rPr>
                <w:sz w:val="18"/>
              </w:rPr>
              <w:t>3.74</w:t>
            </w:r>
          </w:p>
        </w:tc>
        <w:tc>
          <w:tcPr>
            <w:tcW w:type="dxa" w:w="1728"/>
          </w:tcPr>
          <w:p>
            <w:pPr>
              <w:jc w:val="center"/>
            </w:pPr>
            <w:r>
              <w:rPr>
                <w:sz w:val="18"/>
              </w:rPr>
              <w:t>8.24</w:t>
            </w:r>
          </w:p>
        </w:tc>
        <w:tc>
          <w:tcPr>
            <w:tcW w:type="dxa" w:w="1728"/>
          </w:tcPr>
          <w:p>
            <w:pPr>
              <w:jc w:val="center"/>
            </w:pPr>
            <w:r>
              <w:rPr>
                <w:sz w:val="18"/>
              </w:rPr>
              <w:t>-21.93</w:t>
            </w:r>
          </w:p>
        </w:tc>
        <w:tc>
          <w:tcPr>
            <w:tcW w:type="dxa" w:w="1728"/>
          </w:tcPr>
          <w:p>
            <w:pPr>
              <w:jc w:val="center"/>
            </w:pPr>
            <w:r>
              <w:rPr>
                <w:sz w:val="18"/>
              </w:rPr>
              <w:t>&lt; 0.001</w:t>
            </w:r>
          </w:p>
        </w:tc>
      </w:tr>
      <w:tr>
        <w:tc>
          <w:tcPr>
            <w:tcW w:type="dxa" w:w="1728"/>
          </w:tcPr>
          <w:p>
            <w:pPr>
              <w:jc w:val="center"/>
            </w:pPr>
            <w:r>
              <w:rPr>
                <w:sz w:val="18"/>
              </w:rPr>
              <w:t>B vs C</w:t>
            </w:r>
          </w:p>
        </w:tc>
        <w:tc>
          <w:tcPr>
            <w:tcW w:type="dxa" w:w="1728"/>
          </w:tcPr>
          <w:p>
            <w:pPr>
              <w:jc w:val="center"/>
            </w:pPr>
            <w:r>
              <w:rPr>
                <w:sz w:val="18"/>
              </w:rPr>
              <w:t>6.74</w:t>
            </w:r>
          </w:p>
        </w:tc>
        <w:tc>
          <w:tcPr>
            <w:tcW w:type="dxa" w:w="1728"/>
          </w:tcPr>
          <w:p>
            <w:pPr>
              <w:jc w:val="center"/>
            </w:pPr>
            <w:r>
              <w:rPr>
                <w:sz w:val="18"/>
              </w:rPr>
              <w:t>8.24</w:t>
            </w:r>
          </w:p>
        </w:tc>
        <w:tc>
          <w:tcPr>
            <w:tcW w:type="dxa" w:w="1728"/>
          </w:tcPr>
          <w:p>
            <w:pPr>
              <w:jc w:val="center"/>
            </w:pPr>
            <w:r>
              <w:rPr>
                <w:sz w:val="18"/>
              </w:rPr>
              <w:t>-9.78</w:t>
            </w:r>
          </w:p>
        </w:tc>
        <w:tc>
          <w:tcPr>
            <w:tcW w:type="dxa" w:w="1728"/>
          </w:tcPr>
          <w:p>
            <w:pPr>
              <w:jc w:val="center"/>
            </w:pPr>
            <w:r>
              <w:rPr>
                <w:sz w:val="18"/>
              </w:rPr>
              <w:t>&lt; 0.001</w:t>
            </w:r>
          </w:p>
        </w:tc>
      </w:tr>
    </w:tbl>
    <w:p/>
    <w:p>
      <w:r>
        <w:t>All three pairwise comparisons are statistically significant (p &lt; 0.001). Prompt C significantly outperforms both B and A on all measures.</w:t>
      </w:r>
    </w:p>
    <w:p>
      <w:pPr>
        <w:pStyle w:val="Heading2"/>
      </w:pPr>
      <w:r>
        <w:rPr>
          <w:color w:val="1A478A"/>
        </w:rPr>
        <w:t>3.5 Dimension-Specific ANOVA Results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Dimension</w:t>
            </w:r>
          </w:p>
        </w:tc>
        <w:tc>
          <w:tcPr>
            <w:tcW w:type="dxa" w:w="1440"/>
          </w:tcPr>
          <w:p>
            <w:pPr>
              <w:jc w:val="center"/>
            </w:pPr>
            <w:r>
              <w:rPr>
                <w:b/>
                <w:sz w:val="18"/>
              </w:rPr>
              <w:t>Mean A</w:t>
            </w:r>
          </w:p>
        </w:tc>
        <w:tc>
          <w:tcPr>
            <w:tcW w:type="dxa" w:w="1440"/>
          </w:tcPr>
          <w:p>
            <w:pPr>
              <w:jc w:val="center"/>
            </w:pPr>
            <w:r>
              <w:rPr>
                <w:b/>
                <w:sz w:val="18"/>
              </w:rPr>
              <w:t>Mean B</w:t>
            </w:r>
          </w:p>
        </w:tc>
        <w:tc>
          <w:tcPr>
            <w:tcW w:type="dxa" w:w="1440"/>
          </w:tcPr>
          <w:p>
            <w:pPr>
              <w:jc w:val="center"/>
            </w:pPr>
            <w:r>
              <w:rPr>
                <w:b/>
                <w:sz w:val="18"/>
              </w:rPr>
              <w:t>Mean C</w:t>
            </w:r>
          </w:p>
        </w:tc>
        <w:tc>
          <w:tcPr>
            <w:tcW w:type="dxa" w:w="1440"/>
          </w:tcPr>
          <w:p>
            <w:pPr>
              <w:jc w:val="center"/>
            </w:pPr>
            <w:r>
              <w:rPr>
                <w:b/>
                <w:sz w:val="18"/>
              </w:rPr>
              <w:t>F-stat</w:t>
            </w:r>
          </w:p>
        </w:tc>
        <w:tc>
          <w:tcPr>
            <w:tcW w:type="dxa" w:w="1440"/>
          </w:tcPr>
          <w:p>
            <w:pPr>
              <w:jc w:val="center"/>
            </w:pPr>
            <w:r>
              <w:rPr>
                <w:b/>
                <w:sz w:val="18"/>
              </w:rPr>
              <w:t>p-value</w:t>
            </w:r>
          </w:p>
        </w:tc>
      </w:tr>
      <w:tr>
        <w:tc>
          <w:tcPr>
            <w:tcW w:type="dxa" w:w="1440"/>
          </w:tcPr>
          <w:p>
            <w:pPr>
              <w:jc w:val="center"/>
            </w:pPr>
            <w:r>
              <w:rPr>
                <w:sz w:val="18"/>
              </w:rPr>
              <w:t>Structured Reasoning</w:t>
            </w:r>
          </w:p>
        </w:tc>
        <w:tc>
          <w:tcPr>
            <w:tcW w:type="dxa" w:w="1440"/>
          </w:tcPr>
          <w:p>
            <w:pPr>
              <w:jc w:val="center"/>
            </w:pPr>
            <w:r>
              <w:rPr>
                <w:sz w:val="18"/>
              </w:rPr>
              <w:t>3.3</w:t>
            </w:r>
          </w:p>
        </w:tc>
        <w:tc>
          <w:tcPr>
            <w:tcW w:type="dxa" w:w="1440"/>
          </w:tcPr>
          <w:p>
            <w:pPr>
              <w:jc w:val="center"/>
            </w:pPr>
            <w:r>
              <w:rPr>
                <w:sz w:val="18"/>
              </w:rPr>
              <w:t>6.7</w:t>
            </w:r>
          </w:p>
        </w:tc>
        <w:tc>
          <w:tcPr>
            <w:tcW w:type="dxa" w:w="1440"/>
          </w:tcPr>
          <w:p>
            <w:pPr>
              <w:jc w:val="center"/>
            </w:pPr>
            <w:r>
              <w:rPr>
                <w:sz w:val="18"/>
              </w:rPr>
              <w:t>8.4</w:t>
            </w:r>
          </w:p>
        </w:tc>
        <w:tc>
          <w:tcPr>
            <w:tcW w:type="dxa" w:w="1440"/>
          </w:tcPr>
          <w:p>
            <w:pPr>
              <w:jc w:val="center"/>
            </w:pPr>
            <w:r>
              <w:rPr>
                <w:sz w:val="18"/>
              </w:rPr>
              <w:t>65.00</w:t>
            </w:r>
          </w:p>
        </w:tc>
        <w:tc>
          <w:tcPr>
            <w:tcW w:type="dxa" w:w="1440"/>
          </w:tcPr>
          <w:p>
            <w:pPr>
              <w:jc w:val="center"/>
            </w:pPr>
            <w:r>
              <w:rPr>
                <w:sz w:val="18"/>
              </w:rPr>
              <w:t>&lt; 0.001</w:t>
            </w:r>
          </w:p>
        </w:tc>
      </w:tr>
      <w:tr>
        <w:tc>
          <w:tcPr>
            <w:tcW w:type="dxa" w:w="1440"/>
          </w:tcPr>
          <w:p>
            <w:pPr>
              <w:jc w:val="center"/>
            </w:pPr>
            <w:r>
              <w:rPr>
                <w:sz w:val="18"/>
              </w:rPr>
              <w:t>Completeness (%)</w:t>
            </w:r>
          </w:p>
        </w:tc>
        <w:tc>
          <w:tcPr>
            <w:tcW w:type="dxa" w:w="1440"/>
          </w:tcPr>
          <w:p>
            <w:pPr>
              <w:jc w:val="center"/>
            </w:pPr>
            <w:r>
              <w:rPr>
                <w:sz w:val="18"/>
              </w:rPr>
              <w:t>47.3</w:t>
            </w:r>
          </w:p>
        </w:tc>
        <w:tc>
          <w:tcPr>
            <w:tcW w:type="dxa" w:w="1440"/>
          </w:tcPr>
          <w:p>
            <w:pPr>
              <w:jc w:val="center"/>
            </w:pPr>
            <w:r>
              <w:rPr>
                <w:sz w:val="18"/>
              </w:rPr>
              <w:t>72.4</w:t>
            </w:r>
          </w:p>
        </w:tc>
        <w:tc>
          <w:tcPr>
            <w:tcW w:type="dxa" w:w="1440"/>
          </w:tcPr>
          <w:p>
            <w:pPr>
              <w:jc w:val="center"/>
            </w:pPr>
            <w:r>
              <w:rPr>
                <w:sz w:val="18"/>
              </w:rPr>
              <w:t>88.9</w:t>
            </w:r>
          </w:p>
        </w:tc>
        <w:tc>
          <w:tcPr>
            <w:tcW w:type="dxa" w:w="1440"/>
          </w:tcPr>
          <w:p>
            <w:pPr>
              <w:jc w:val="center"/>
            </w:pPr>
            <w:r>
              <w:rPr>
                <w:sz w:val="18"/>
              </w:rPr>
              <w:t>76.21</w:t>
            </w:r>
          </w:p>
        </w:tc>
        <w:tc>
          <w:tcPr>
            <w:tcW w:type="dxa" w:w="1440"/>
          </w:tcPr>
          <w:p>
            <w:pPr>
              <w:jc w:val="center"/>
            </w:pPr>
            <w:r>
              <w:rPr>
                <w:sz w:val="18"/>
              </w:rPr>
              <w:t>&lt; 0.001</w:t>
            </w:r>
          </w:p>
        </w:tc>
      </w:tr>
      <w:tr>
        <w:tc>
          <w:tcPr>
            <w:tcW w:type="dxa" w:w="1440"/>
          </w:tcPr>
          <w:p>
            <w:pPr>
              <w:jc w:val="center"/>
            </w:pPr>
            <w:r>
              <w:rPr>
                <w:sz w:val="18"/>
              </w:rPr>
              <w:t>Actionability</w:t>
            </w:r>
          </w:p>
        </w:tc>
        <w:tc>
          <w:tcPr>
            <w:tcW w:type="dxa" w:w="1440"/>
          </w:tcPr>
          <w:p>
            <w:pPr>
              <w:jc w:val="center"/>
            </w:pPr>
            <w:r>
              <w:rPr>
                <w:sz w:val="18"/>
              </w:rPr>
              <w:t>3.9</w:t>
            </w:r>
          </w:p>
        </w:tc>
        <w:tc>
          <w:tcPr>
            <w:tcW w:type="dxa" w:w="1440"/>
          </w:tcPr>
          <w:p>
            <w:pPr>
              <w:jc w:val="center"/>
            </w:pPr>
            <w:r>
              <w:rPr>
                <w:sz w:val="18"/>
              </w:rPr>
              <w:t>7.3</w:t>
            </w:r>
          </w:p>
        </w:tc>
        <w:tc>
          <w:tcPr>
            <w:tcW w:type="dxa" w:w="1440"/>
          </w:tcPr>
          <w:p>
            <w:pPr>
              <w:jc w:val="center"/>
            </w:pPr>
            <w:r>
              <w:rPr>
                <w:sz w:val="18"/>
              </w:rPr>
              <w:t>7.7</w:t>
            </w:r>
          </w:p>
        </w:tc>
        <w:tc>
          <w:tcPr>
            <w:tcW w:type="dxa" w:w="1440"/>
          </w:tcPr>
          <w:p>
            <w:pPr>
              <w:jc w:val="center"/>
            </w:pPr>
            <w:r>
              <w:rPr>
                <w:sz w:val="18"/>
              </w:rPr>
              <w:t>54.39</w:t>
            </w:r>
          </w:p>
        </w:tc>
        <w:tc>
          <w:tcPr>
            <w:tcW w:type="dxa" w:w="1440"/>
          </w:tcPr>
          <w:p>
            <w:pPr>
              <w:jc w:val="center"/>
            </w:pPr>
            <w:r>
              <w:rPr>
                <w:sz w:val="18"/>
              </w:rPr>
              <w:t>&lt; 0.001</w:t>
            </w:r>
          </w:p>
        </w:tc>
      </w:tr>
      <w:tr>
        <w:tc>
          <w:tcPr>
            <w:tcW w:type="dxa" w:w="1440"/>
          </w:tcPr>
          <w:p>
            <w:pPr>
              <w:jc w:val="center"/>
            </w:pPr>
            <w:r>
              <w:rPr>
                <w:sz w:val="18"/>
              </w:rPr>
              <w:t>Transparency</w:t>
            </w:r>
          </w:p>
        </w:tc>
        <w:tc>
          <w:tcPr>
            <w:tcW w:type="dxa" w:w="1440"/>
          </w:tcPr>
          <w:p>
            <w:pPr>
              <w:jc w:val="center"/>
            </w:pPr>
            <w:r>
              <w:rPr>
                <w:sz w:val="18"/>
              </w:rPr>
              <w:t>2.5</w:t>
            </w:r>
          </w:p>
        </w:tc>
        <w:tc>
          <w:tcPr>
            <w:tcW w:type="dxa" w:w="1440"/>
          </w:tcPr>
          <w:p>
            <w:pPr>
              <w:jc w:val="center"/>
            </w:pPr>
            <w:r>
              <w:rPr>
                <w:sz w:val="18"/>
              </w:rPr>
              <w:t>6.2</w:t>
            </w:r>
          </w:p>
        </w:tc>
        <w:tc>
          <w:tcPr>
            <w:tcW w:type="dxa" w:w="1440"/>
          </w:tcPr>
          <w:p>
            <w:pPr>
              <w:jc w:val="center"/>
            </w:pPr>
            <w:r>
              <w:rPr>
                <w:sz w:val="18"/>
              </w:rPr>
              <w:t>8.2</w:t>
            </w:r>
          </w:p>
        </w:tc>
        <w:tc>
          <w:tcPr>
            <w:tcW w:type="dxa" w:w="1440"/>
          </w:tcPr>
          <w:p>
            <w:pPr>
              <w:jc w:val="center"/>
            </w:pPr>
            <w:r>
              <w:rPr>
                <w:sz w:val="18"/>
              </w:rPr>
              <w:t>80.63</w:t>
            </w:r>
          </w:p>
        </w:tc>
        <w:tc>
          <w:tcPr>
            <w:tcW w:type="dxa" w:w="1440"/>
          </w:tcPr>
          <w:p>
            <w:pPr>
              <w:jc w:val="center"/>
            </w:pPr>
            <w:r>
              <w:rPr>
                <w:sz w:val="18"/>
              </w:rPr>
              <w:t>&lt; 0.001</w:t>
            </w:r>
          </w:p>
        </w:tc>
      </w:tr>
      <w:tr>
        <w:tc>
          <w:tcPr>
            <w:tcW w:type="dxa" w:w="1440"/>
          </w:tcPr>
          <w:p>
            <w:pPr>
              <w:jc w:val="center"/>
            </w:pPr>
            <w:r>
              <w:rPr>
                <w:sz w:val="18"/>
              </w:rPr>
              <w:t>Data Grounding</w:t>
            </w:r>
          </w:p>
        </w:tc>
        <w:tc>
          <w:tcPr>
            <w:tcW w:type="dxa" w:w="1440"/>
          </w:tcPr>
          <w:p>
            <w:pPr>
              <w:jc w:val="center"/>
            </w:pPr>
            <w:r>
              <w:rPr>
                <w:sz w:val="18"/>
              </w:rPr>
              <w:t>4.5</w:t>
            </w:r>
          </w:p>
        </w:tc>
        <w:tc>
          <w:tcPr>
            <w:tcW w:type="dxa" w:w="1440"/>
          </w:tcPr>
          <w:p>
            <w:pPr>
              <w:jc w:val="center"/>
            </w:pPr>
            <w:r>
              <w:rPr>
                <w:sz w:val="18"/>
              </w:rPr>
              <w:t>6.2</w:t>
            </w:r>
          </w:p>
        </w:tc>
        <w:tc>
          <w:tcPr>
            <w:tcW w:type="dxa" w:w="1440"/>
          </w:tcPr>
          <w:p>
            <w:pPr>
              <w:jc w:val="center"/>
            </w:pPr>
            <w:r>
              <w:rPr>
                <w:sz w:val="18"/>
              </w:rPr>
              <w:t>7.9</w:t>
            </w:r>
          </w:p>
        </w:tc>
        <w:tc>
          <w:tcPr>
            <w:tcW w:type="dxa" w:w="1440"/>
          </w:tcPr>
          <w:p>
            <w:pPr>
              <w:jc w:val="center"/>
            </w:pPr>
            <w:r>
              <w:rPr>
                <w:sz w:val="18"/>
              </w:rPr>
              <w:t>48.79</w:t>
            </w:r>
          </w:p>
        </w:tc>
        <w:tc>
          <w:tcPr>
            <w:tcW w:type="dxa" w:w="1440"/>
          </w:tcPr>
          <w:p>
            <w:pPr>
              <w:jc w:val="center"/>
            </w:pPr>
            <w:r>
              <w:rPr>
                <w:sz w:val="18"/>
              </w:rPr>
              <w:t>&lt; 0.001</w:t>
            </w:r>
          </w:p>
        </w:tc>
      </w:tr>
    </w:tbl>
    <w:p/>
    <w:p>
      <w:r>
        <w:t>Every individual validation dimension shows statistically significant differences across prompts (all p &lt; 0.001). Transparency shows the largest effect.</w:t>
      </w:r>
    </w:p>
    <w:p>
      <w:pPr>
        <w:pStyle w:val="Heading2"/>
      </w:pPr>
      <w:r>
        <w:rPr>
          <w:color w:val="1A478A"/>
        </w:rPr>
        <w:t>3.6 Sample Validation Output — One Report Per Prompt</w:t>
      </w:r>
    </w:p>
    <w:p>
      <w:r>
        <w:rPr>
          <w:b/>
        </w:rPr>
        <w:t>Prompt A Report (excerpt):</w:t>
      </w:r>
    </w:p>
    <w:p>
      <w:r>
        <w:rPr>
          <w:rFonts w:ascii="Consolas" w:hAnsi="Consolas"/>
          <w:color w:val="333333"/>
          <w:sz w:val="16"/>
        </w:rPr>
        <w:t>I'd recommend Venue 3 (Lakeview Pavilion), Venue 5 (The Foundry), and Venue 6 (Sunrise Farm). They're all in budget and have outdoor space.</w:t>
      </w:r>
    </w:p>
    <w:p>
      <w:r>
        <w:rPr>
          <w:i/>
          <w:sz w:val="18"/>
        </w:rPr>
        <w:t>Validation Scores: reasoning=5, completeness=52%, actionability=2, transparency=3, bias_free=True, grounding=4, composite=3.89</w:t>
      </w:r>
    </w:p>
    <w:p/>
    <w:p>
      <w:r>
        <w:rPr>
          <w:b/>
        </w:rPr>
        <w:t>Prompt B Report (excerpt):</w:t>
      </w:r>
    </w:p>
    <w:p>
      <w:r>
        <w:rPr>
          <w:rFonts w:ascii="Consolas" w:hAnsi="Consolas"/>
          <w:color w:val="333333"/>
          <w:sz w:val="16"/>
        </w:rPr>
        <w:t>| Venue | Capacity | Price | Outdoor | Catering | Fit Score |</w:t>
        <w:br/>
        <w:t>Sunrise Farm &amp; Vineyard (Score: 8/10) — Romantic vineyard setting with outdoor terrace and in-house catering. Slightly over budget at $9,800 but best vibe and catering match.</w:t>
        <w:br/>
        <w:t>The Foundry at Millworks (Score: 7/10) — Under budget at $5,000 with rooftop cocktail hour.</w:t>
        <w:br/>
        <w:t>Trade-offs: Sunrise Farm maximizes romance but exceeds budget by $1,800.</w:t>
      </w:r>
    </w:p>
    <w:p>
      <w:r>
        <w:rPr>
          <w:i/>
          <w:sz w:val="18"/>
        </w:rPr>
        <w:t>Validation Scores: reasoning=7, completeness=81%, actionability=7, transparency=7, bias_free=False, grounding=7, composite=7.22</w:t>
      </w:r>
    </w:p>
    <w:p/>
    <w:p>
      <w:r>
        <w:rPr>
          <w:b/>
        </w:rPr>
        <w:t>Prompt C Report (excerpt):</w:t>
      </w:r>
    </w:p>
    <w:p>
      <w:r>
        <w:rPr>
          <w:rFonts w:ascii="Consolas" w:hAnsi="Consolas"/>
          <w:color w:val="333333"/>
          <w:sz w:val="16"/>
        </w:rPr>
        <w:t>Step 1: Extract Key Attributes — [table of all 6 venues]</w:t>
        <w:br/>
        <w:t>Step 2: Eliminate — Rosewood ($17.5k) OUT, Grand Metro ($12k) OUT, Thornfield ($18k) OUT</w:t>
        <w:br/>
        <w:t>Step 3: Score remaining on 5 criteria (1-10)</w:t>
        <w:br/>
        <w:t>Step 4: Weighted totals — Sunrise 7.45, Foundry 7.1, Lakeview 6.2</w:t>
        <w:br/>
        <w:t>Step 5: Final — Sunrise Farm #1 (best romantic vibe + catering), Foundry #2 (best budget pick), Lakeview #3 (beautiful but capacity concern).</w:t>
        <w:br/>
        <w:t>Exclusion note: 3 venues eliminated in Step 2 due to budget.</w:t>
      </w:r>
    </w:p>
    <w:p>
      <w:r>
        <w:rPr>
          <w:i/>
          <w:sz w:val="18"/>
        </w:rPr>
        <w:t>Validation Scores: reasoning=9, completeness=99%, actionability=8, transparency=7, bias_free=True, grounding=8, composite=8.43</w:t>
      </w:r>
    </w:p>
    <w:p/>
    <w:p>
      <w:r>
        <w:t>────────────────────────────────────────────────────────────</w:t>
      </w:r>
    </w:p>
    <w:p>
      <w:pPr>
        <w:pStyle w:val="Heading1"/>
      </w:pPr>
      <w:r>
        <w:rPr>
          <w:color w:val="1A478A"/>
        </w:rPr>
        <w:t>4. Documentation</w:t>
      </w:r>
    </w:p>
    <w:p>
      <w:pPr>
        <w:pStyle w:val="Heading2"/>
      </w:pPr>
      <w:r>
        <w:rPr>
          <w:color w:val="1A478A"/>
        </w:rPr>
        <w:t>4.1 Validation Criteria Table</w:t>
      </w:r>
    </w:p>
    <w:p>
      <w:r>
        <w:t>The table below summarizes each evaluation dimension. These criteria are customized for decision support outputs and differ from the LAB's standard 1-5 Likert scales for writing quality (formality, succinctness, clarity).</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Dimension</w:t>
            </w:r>
          </w:p>
        </w:tc>
        <w:tc>
          <w:tcPr>
            <w:tcW w:type="dxa" w:w="2160"/>
          </w:tcPr>
          <w:p>
            <w:r>
              <w:rPr>
                <w:b/>
                <w:sz w:val="18"/>
              </w:rPr>
              <w:t>Scale</w:t>
            </w:r>
          </w:p>
        </w:tc>
        <w:tc>
          <w:tcPr>
            <w:tcW w:type="dxa" w:w="2160"/>
          </w:tcPr>
          <w:p>
            <w:r>
              <w:rPr>
                <w:b/>
                <w:sz w:val="18"/>
              </w:rPr>
              <w:t>Description</w:t>
            </w:r>
          </w:p>
        </w:tc>
        <w:tc>
          <w:tcPr>
            <w:tcW w:type="dxa" w:w="2160"/>
          </w:tcPr>
          <w:p>
            <w:r>
              <w:rPr>
                <w:b/>
                <w:sz w:val="18"/>
              </w:rPr>
              <w:t>How It Differs from LAB</w:t>
            </w:r>
          </w:p>
        </w:tc>
      </w:tr>
      <w:tr>
        <w:tc>
          <w:tcPr>
            <w:tcW w:type="dxa" w:w="2160"/>
          </w:tcPr>
          <w:p>
            <w:r>
              <w:rPr>
                <w:sz w:val="16"/>
              </w:rPr>
              <w:t>Structured Reasoning</w:t>
            </w:r>
          </w:p>
        </w:tc>
        <w:tc>
          <w:tcPr>
            <w:tcW w:type="dxa" w:w="2160"/>
          </w:tcPr>
          <w:p>
            <w:r>
              <w:rPr>
                <w:sz w:val="16"/>
              </w:rPr>
              <w:t>1-10</w:t>
            </w:r>
          </w:p>
        </w:tc>
        <w:tc>
          <w:tcPr>
            <w:tcW w:type="dxa" w:w="2160"/>
          </w:tcPr>
          <w:p>
            <w:r>
              <w:rPr>
                <w:sz w:val="16"/>
              </w:rPr>
              <w:t>Logical framework for decision-making</w:t>
            </w:r>
          </w:p>
        </w:tc>
        <w:tc>
          <w:tcPr>
            <w:tcW w:type="dxa" w:w="2160"/>
          </w:tcPr>
          <w:p>
            <w:r>
              <w:rPr>
                <w:sz w:val="16"/>
              </w:rPr>
              <w:t>LAB has no reasoning criterion; uses formality instead</w:t>
            </w:r>
          </w:p>
        </w:tc>
      </w:tr>
      <w:tr>
        <w:tc>
          <w:tcPr>
            <w:tcW w:type="dxa" w:w="2160"/>
          </w:tcPr>
          <w:p>
            <w:r>
              <w:rPr>
                <w:sz w:val="16"/>
              </w:rPr>
              <w:t>Completeness</w:t>
            </w:r>
          </w:p>
        </w:tc>
        <w:tc>
          <w:tcPr>
            <w:tcW w:type="dxa" w:w="2160"/>
          </w:tcPr>
          <w:p>
            <w:r>
              <w:rPr>
                <w:sz w:val="16"/>
              </w:rPr>
              <w:t>0-100%</w:t>
            </w:r>
          </w:p>
        </w:tc>
        <w:tc>
          <w:tcPr>
            <w:tcW w:type="dxa" w:w="2160"/>
          </w:tcPr>
          <w:p>
            <w:r>
              <w:rPr>
                <w:sz w:val="16"/>
              </w:rPr>
              <w:t>Percentage of data points addressed</w:t>
            </w:r>
          </w:p>
        </w:tc>
        <w:tc>
          <w:tcPr>
            <w:tcW w:type="dxa" w:w="2160"/>
          </w:tcPr>
          <w:p>
            <w:r>
              <w:rPr>
                <w:sz w:val="16"/>
              </w:rPr>
              <w:t>LAB uses 1-5 relevance; this is percentage-based coverage</w:t>
            </w:r>
          </w:p>
        </w:tc>
      </w:tr>
      <w:tr>
        <w:tc>
          <w:tcPr>
            <w:tcW w:type="dxa" w:w="2160"/>
          </w:tcPr>
          <w:p>
            <w:r>
              <w:rPr>
                <w:sz w:val="16"/>
              </w:rPr>
              <w:t>Actionability</w:t>
            </w:r>
          </w:p>
        </w:tc>
        <w:tc>
          <w:tcPr>
            <w:tcW w:type="dxa" w:w="2160"/>
          </w:tcPr>
          <w:p>
            <w:r>
              <w:rPr>
                <w:sz w:val="16"/>
              </w:rPr>
              <w:t>1-10</w:t>
            </w:r>
          </w:p>
        </w:tc>
        <w:tc>
          <w:tcPr>
            <w:tcW w:type="dxa" w:w="2160"/>
          </w:tcPr>
          <w:p>
            <w:r>
              <w:rPr>
                <w:sz w:val="16"/>
              </w:rPr>
              <w:t>Concrete, implementable recommendations</w:t>
            </w:r>
          </w:p>
        </w:tc>
        <w:tc>
          <w:tcPr>
            <w:tcW w:type="dxa" w:w="2160"/>
          </w:tcPr>
          <w:p>
            <w:r>
              <w:rPr>
                <w:sz w:val="16"/>
              </w:rPr>
              <w:t>LAB has no actionability; focuses on writing clarity</w:t>
            </w:r>
          </w:p>
        </w:tc>
      </w:tr>
      <w:tr>
        <w:tc>
          <w:tcPr>
            <w:tcW w:type="dxa" w:w="2160"/>
          </w:tcPr>
          <w:p>
            <w:r>
              <w:rPr>
                <w:sz w:val="16"/>
              </w:rPr>
              <w:t>Transparency</w:t>
            </w:r>
          </w:p>
        </w:tc>
        <w:tc>
          <w:tcPr>
            <w:tcW w:type="dxa" w:w="2160"/>
          </w:tcPr>
          <w:p>
            <w:r>
              <w:rPr>
                <w:sz w:val="16"/>
              </w:rPr>
              <w:t>1-10</w:t>
            </w:r>
          </w:p>
        </w:tc>
        <w:tc>
          <w:tcPr>
            <w:tcW w:type="dxa" w:w="2160"/>
          </w:tcPr>
          <w:p>
            <w:r>
              <w:rPr>
                <w:sz w:val="16"/>
              </w:rPr>
              <w:t>Explains reasoning and trade-offs</w:t>
            </w:r>
          </w:p>
        </w:tc>
        <w:tc>
          <w:tcPr>
            <w:tcW w:type="dxa" w:w="2160"/>
          </w:tcPr>
          <w:p>
            <w:r>
              <w:rPr>
                <w:sz w:val="16"/>
              </w:rPr>
              <w:t>New criterion specific to decision support quality</w:t>
            </w:r>
          </w:p>
        </w:tc>
      </w:tr>
      <w:tr>
        <w:tc>
          <w:tcPr>
            <w:tcW w:type="dxa" w:w="2160"/>
          </w:tcPr>
          <w:p>
            <w:r>
              <w:rPr>
                <w:sz w:val="16"/>
              </w:rPr>
              <w:t>Bias-Free</w:t>
            </w:r>
          </w:p>
        </w:tc>
        <w:tc>
          <w:tcPr>
            <w:tcW w:type="dxa" w:w="2160"/>
          </w:tcPr>
          <w:p>
            <w:r>
              <w:rPr>
                <w:sz w:val="16"/>
              </w:rPr>
              <w:t>Boolean</w:t>
            </w:r>
          </w:p>
        </w:tc>
        <w:tc>
          <w:tcPr>
            <w:tcW w:type="dxa" w:w="2160"/>
          </w:tcPr>
          <w:p>
            <w:r>
              <w:rPr>
                <w:sz w:val="16"/>
              </w:rPr>
              <w:t>No unjustified preference in analysis</w:t>
            </w:r>
          </w:p>
        </w:tc>
        <w:tc>
          <w:tcPr>
            <w:tcW w:type="dxa" w:w="2160"/>
          </w:tcPr>
          <w:p>
            <w:r>
              <w:rPr>
                <w:sz w:val="16"/>
              </w:rPr>
              <w:t>LAB uses only boolean for accuracy; this checks bias</w:t>
            </w:r>
          </w:p>
        </w:tc>
      </w:tr>
      <w:tr>
        <w:tc>
          <w:tcPr>
            <w:tcW w:type="dxa" w:w="2160"/>
          </w:tcPr>
          <w:p>
            <w:r>
              <w:rPr>
                <w:sz w:val="16"/>
              </w:rPr>
              <w:t>Data Grounding</w:t>
            </w:r>
          </w:p>
        </w:tc>
        <w:tc>
          <w:tcPr>
            <w:tcW w:type="dxa" w:w="2160"/>
          </w:tcPr>
          <w:p>
            <w:r>
              <w:rPr>
                <w:sz w:val="16"/>
              </w:rPr>
              <w:t>1-10</w:t>
            </w:r>
          </w:p>
        </w:tc>
        <w:tc>
          <w:tcPr>
            <w:tcW w:type="dxa" w:w="2160"/>
          </w:tcPr>
          <w:p>
            <w:r>
              <w:rPr>
                <w:sz w:val="16"/>
              </w:rPr>
              <w:t>Claims tied directly to source data</w:t>
            </w:r>
          </w:p>
        </w:tc>
        <w:tc>
          <w:tcPr>
            <w:tcW w:type="dxa" w:w="2160"/>
          </w:tcPr>
          <w:p>
            <w:r>
              <w:rPr>
                <w:sz w:val="16"/>
              </w:rPr>
              <w:t>Similar to LAB faithfulness but on 1-10 scale (not 1-5)</w:t>
            </w:r>
          </w:p>
        </w:tc>
      </w:tr>
    </w:tbl>
    <w:p>
      <w:pPr>
        <w:pStyle w:val="Heading2"/>
      </w:pPr>
      <w:r>
        <w:rPr>
          <w:color w:val="1A478A"/>
        </w:rPr>
        <w:t>4.2 Experimental Design</w:t>
      </w:r>
    </w:p>
    <w:p>
      <w:r>
        <w:t>Experiment structure:</w:t>
      </w:r>
    </w:p>
    <w:p>
      <w:pPr>
        <w:pStyle w:val="ListBullet"/>
      </w:pPr>
      <w:r>
        <w:t>Independent variable: Prompt strategy (A = Minimal, B = Structured, C = Chain-of-thought)</w:t>
      </w:r>
    </w:p>
    <w:p>
      <w:pPr>
        <w:pStyle w:val="ListBullet"/>
      </w:pPr>
      <w:r>
        <w:t>Dependent variable: Composite validation score (weighted average of 6 criteria)</w:t>
      </w:r>
    </w:p>
    <w:p>
      <w:pPr>
        <w:pStyle w:val="ListBullet"/>
      </w:pPr>
      <w:r>
        <w:t>Sample size: 15 reports per prompt, 45 total</w:t>
      </w:r>
    </w:p>
    <w:p>
      <w:pPr>
        <w:pStyle w:val="ListBullet"/>
      </w:pPr>
      <w:r>
        <w:t>Reports validated: AI-generated wedding venue recommendations (from decider.py context)</w:t>
      </w:r>
    </w:p>
    <w:p>
      <w:pPr>
        <w:pStyle w:val="ListBullet"/>
      </w:pPr>
      <w:r>
        <w:t>Validation method: AI reviewer (Ollama Cloud) using custom JSON-structured criteria</w:t>
      </w:r>
    </w:p>
    <w:p>
      <w:pPr>
        <w:pStyle w:val="ListBullet"/>
      </w:pPr>
      <w:r>
        <w:t>Composite score weights: Structured Reasoning 25%, Completeness 20%, Actionability 20%, Transparency 20%, Data Grounding 15%</w:t>
      </w:r>
    </w:p>
    <w:p>
      <w:r>
        <w:rPr>
          <w:b/>
        </w:rPr>
        <w:br/>
        <w:t>Prompt Descriptions:</w:t>
      </w:r>
    </w:p>
    <w:p>
      <w:r>
        <w:rPr>
          <w:b/>
        </w:rPr>
        <w:t xml:space="preserve">Prompt A (Minimal): </w:t>
      </w:r>
      <w:r>
        <w:t>Bare-bones instruction: "Recommend the top 3 venues." No format, no criteria, no reasoning requirements.</w:t>
      </w:r>
    </w:p>
    <w:p>
      <w:r>
        <w:rPr>
          <w:b/>
        </w:rPr>
        <w:t xml:space="preserve">Prompt B (Structured): </w:t>
      </w:r>
      <w:r>
        <w:t>Explicit criteria weights (Budget 30%, Capacity 20%, Outdoor 20%, Catering 15%, Vibe 15%), required comparison table format, and trade-off paragraph.</w:t>
      </w:r>
    </w:p>
    <w:p>
      <w:r>
        <w:rPr>
          <w:b/>
        </w:rPr>
        <w:t xml:space="preserve">Prompt C (Chain-of-thought): </w:t>
      </w:r>
      <w:r>
        <w:t>Mandatory 5-step process: (1) list attributes, (2) eliminate on hard constraints, (3) score remaining, (4) compute weighted totals, (5) present final ranking with explicit reasoning.</w:t>
      </w:r>
    </w:p>
    <w:p>
      <w:pPr>
        <w:pStyle w:val="Heading2"/>
      </w:pPr>
      <w:r>
        <w:rPr>
          <w:color w:val="1A478A"/>
        </w:rPr>
        <w:t>4.3 Statistical Analysis</w:t>
      </w:r>
    </w:p>
    <w:p>
      <w:r>
        <w:t>Hypothesis:</w:t>
      </w:r>
    </w:p>
    <w:p>
      <w:r>
        <w:rPr>
          <w:b/>
        </w:rPr>
        <w:t xml:space="preserve">H0: </w:t>
      </w:r>
      <w:r>
        <w:t>Mean composite scores are equal across all three prompts (μA = μB = μC).</w:t>
      </w:r>
    </w:p>
    <w:p>
      <w:r>
        <w:rPr>
          <w:b/>
        </w:rPr>
        <w:t xml:space="preserve">H1: </w:t>
      </w:r>
      <w:r>
        <w:t>At least one prompt produces significantly different composite scores.</w:t>
      </w:r>
    </w:p>
    <w:p/>
    <w:p>
      <w:r>
        <w:t>Assumption Check:</w:t>
      </w:r>
    </w:p>
    <w:p>
      <w:r>
        <w:t>Bartlett's test for homogeneity of variance: statistic = 4.08, p = 0.130. Since p &gt; 0.05, we can assume equal variances and use standard one-way ANOVA.</w:t>
      </w:r>
    </w:p>
    <w:p/>
    <w:p>
      <w:r>
        <w:t>ANOVA Results:</w:t>
      </w:r>
    </w:p>
    <w:p>
      <w:pPr>
        <w:pStyle w:val="ListBullet"/>
      </w:pPr>
      <w:r>
        <w:t>F(2, 42) = 296.88, p &lt; 0.001</w:t>
      </w:r>
    </w:p>
    <w:p>
      <w:pPr>
        <w:pStyle w:val="ListBullet"/>
      </w:pPr>
      <w:r>
        <w:t>Effect size (η²) = 0.934 (very large effect)</w:t>
      </w:r>
    </w:p>
    <w:p>
      <w:pPr>
        <w:pStyle w:val="ListBullet"/>
      </w:pPr>
      <w:r>
        <w:t>Conclusion: Reject H0 — prompt strategy significantly affects output quality</w:t>
      </w:r>
    </w:p>
    <w:p/>
    <w:p>
      <w:r>
        <w:t>Post-hoc Pairwise T-Tests (Bonferroni corrected):</w:t>
      </w:r>
    </w:p>
    <w:p>
      <w:pPr>
        <w:pStyle w:val="ListBullet"/>
      </w:pPr>
      <w:r>
        <w:t>A vs B: t = -14.92, p &lt; 0.001 — Prompt B significantly better than A</w:t>
      </w:r>
    </w:p>
    <w:p>
      <w:pPr>
        <w:pStyle w:val="ListBullet"/>
      </w:pPr>
      <w:r>
        <w:t>A vs C: t = -21.93, p &lt; 0.001 — Prompt C significantly better than A</w:t>
      </w:r>
    </w:p>
    <w:p>
      <w:pPr>
        <w:pStyle w:val="ListBullet"/>
      </w:pPr>
      <w:r>
        <w:t>B vs C: t = -9.78, p &lt; 0.001 — Prompt C significantly better than B</w:t>
      </w:r>
    </w:p>
    <w:p/>
    <w:p>
      <w:r>
        <w:t>Interpretation: Chain-of-thought prompting (Prompt C) produces significantly higher-quality decision support reports than both structured (Prompt B) and minimal (Prompt A) approaches. The effect is very large (η² = 0.934), meaning 93.4% of the variance in composite scores is explained by prompt strategy.</w:t>
      </w:r>
    </w:p>
    <w:p>
      <w:pPr>
        <w:pStyle w:val="Heading2"/>
      </w:pPr>
      <w:r>
        <w:rPr>
          <w:color w:val="1A478A"/>
        </w:rPr>
        <w:t>4.4 System Design</w:t>
      </w:r>
    </w:p>
    <w:p>
      <w:r>
        <w:t>The validation system works in four stages:</w:t>
      </w:r>
    </w:p>
    <w:p>
      <w:r>
        <w:rPr>
          <w:b/>
        </w:rPr>
        <w:t xml:space="preserve">Report Generation: </w:t>
      </w:r>
      <w:r>
        <w:t>The system uses three different prompt strategies to generate venue recommendation reports via the Ollama Cloud API. Each prompt sends the same venue data and client priorities but varies the instruction style.</w:t>
      </w:r>
    </w:p>
    <w:p>
      <w:r>
        <w:rPr>
          <w:b/>
        </w:rPr>
        <w:t xml:space="preserve">AI Validation: </w:t>
      </w:r>
      <w:r>
        <w:t>Each generated report is sent to a second AI call with a custom validation prompt. The AI reviewer evaluates the report on 6 dimensions and returns structured JSON scores.</w:t>
      </w:r>
    </w:p>
    <w:p>
      <w:r>
        <w:rPr>
          <w:b/>
        </w:rPr>
        <w:t xml:space="preserve">Score Collection: </w:t>
      </w:r>
      <w:r>
        <w:t>JSON responses are parsed and stored in a pandas DataFrame. A composite score is computed as a weighted average of the 5 numeric dimensions.</w:t>
      </w:r>
    </w:p>
    <w:p>
      <w:r>
        <w:rPr>
          <w:b/>
        </w:rPr>
        <w:t xml:space="preserve">Statistical Analysis: </w:t>
      </w:r>
      <w:r>
        <w:t>Bartlett's test checks variance homogeneity. One-way ANOVA tests for overall group differences. Pairwise t-tests with Bonferroni correction identify which specific prompts differ.</w:t>
      </w:r>
    </w:p>
    <w:p>
      <w:pPr>
        <w:pStyle w:val="Heading2"/>
      </w:pPr>
      <w:r>
        <w:rPr>
          <w:color w:val="1A478A"/>
        </w:rPr>
        <w:t>4.5 Technical Details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Detail</w:t>
            </w:r>
          </w:p>
        </w:tc>
      </w:tr>
      <w:tr>
        <w:tc>
          <w:tcPr>
            <w:tcW w:type="dxa" w:w="4320"/>
          </w:tcPr>
          <w:p>
            <w:r>
              <w:rPr>
                <w:sz w:val="18"/>
              </w:rPr>
              <w:t>Language</w:t>
            </w:r>
          </w:p>
        </w:tc>
        <w:tc>
          <w:tcPr>
            <w:tcW w:type="dxa" w:w="4320"/>
          </w:tcPr>
          <w:p>
            <w:r>
              <w:rPr>
                <w:sz w:val="18"/>
              </w:rPr>
              <w:t>Python 3.x</w:t>
            </w:r>
          </w:p>
        </w:tc>
      </w:tr>
      <w:tr>
        <w:tc>
          <w:tcPr>
            <w:tcW w:type="dxa" w:w="4320"/>
          </w:tcPr>
          <w:p>
            <w:r>
              <w:rPr>
                <w:sz w:val="18"/>
              </w:rPr>
              <w:t>API</w:t>
            </w:r>
          </w:p>
        </w:tc>
        <w:tc>
          <w:tcPr>
            <w:tcW w:type="dxa" w:w="4320"/>
          </w:tcPr>
          <w:p>
            <w:r>
              <w:rPr>
                <w:sz w:val="18"/>
              </w:rPr>
              <w:t>Ollama Cloud (/api/chat endpoint)</w:t>
            </w:r>
          </w:p>
        </w:tc>
      </w:tr>
      <w:tr>
        <w:tc>
          <w:tcPr>
            <w:tcW w:type="dxa" w:w="4320"/>
          </w:tcPr>
          <w:p>
            <w:r>
              <w:rPr>
                <w:sz w:val="18"/>
              </w:rPr>
              <w:t>Key Packages</w:t>
            </w:r>
          </w:p>
        </w:tc>
        <w:tc>
          <w:tcPr>
            <w:tcW w:type="dxa" w:w="4320"/>
          </w:tcPr>
          <w:p>
            <w:r>
              <w:rPr>
                <w:sz w:val="18"/>
              </w:rPr>
              <w:t>requests, pandas, scipy, pingouin, python-dotenv</w:t>
            </w:r>
          </w:p>
        </w:tc>
      </w:tr>
      <w:tr>
        <w:tc>
          <w:tcPr>
            <w:tcW w:type="dxa" w:w="4320"/>
          </w:tcPr>
          <w:p>
            <w:r>
              <w:rPr>
                <w:sz w:val="18"/>
              </w:rPr>
              <w:t>Model</w:t>
            </w:r>
          </w:p>
        </w:tc>
        <w:tc>
          <w:tcPr>
            <w:tcW w:type="dxa" w:w="4320"/>
          </w:tcPr>
          <w:p>
            <w:r>
              <w:rPr>
                <w:sz w:val="18"/>
              </w:rPr>
              <w:t>gpt-oss:20b-cloud (configurable via .env)</w:t>
            </w:r>
          </w:p>
        </w:tc>
      </w:tr>
      <w:tr>
        <w:tc>
          <w:tcPr>
            <w:tcW w:type="dxa" w:w="4320"/>
          </w:tcPr>
          <w:p>
            <w:r>
              <w:rPr>
                <w:sz w:val="18"/>
              </w:rPr>
              <w:t>Environment</w:t>
            </w:r>
          </w:p>
        </w:tc>
        <w:tc>
          <w:tcPr>
            <w:tcW w:type="dxa" w:w="4320"/>
          </w:tcPr>
          <w:p>
            <w:r>
              <w:rPr>
                <w:sz w:val="18"/>
              </w:rPr>
              <w:t>.env file with OLLAMA_API_KEY, OLLAMA_HOST, OLLAMA_MODEL</w:t>
            </w:r>
          </w:p>
        </w:tc>
      </w:tr>
      <w:tr>
        <w:tc>
          <w:tcPr>
            <w:tcW w:type="dxa" w:w="4320"/>
          </w:tcPr>
          <w:p>
            <w:r>
              <w:rPr>
                <w:sz w:val="18"/>
              </w:rPr>
              <w:t>Output Format</w:t>
            </w:r>
          </w:p>
        </w:tc>
        <w:tc>
          <w:tcPr>
            <w:tcW w:type="dxa" w:w="4320"/>
          </w:tcPr>
          <w:p>
            <w:r>
              <w:rPr>
                <w:sz w:val="18"/>
              </w:rPr>
              <w:t>CSV (validation_scores.csv) + console output</w:t>
            </w:r>
          </w:p>
        </w:tc>
      </w:tr>
      <w:tr>
        <w:tc>
          <w:tcPr>
            <w:tcW w:type="dxa" w:w="4320"/>
          </w:tcPr>
          <w:p>
            <w:r>
              <w:rPr>
                <w:sz w:val="18"/>
              </w:rPr>
              <w:t>Simulation Mode</w:t>
            </w:r>
          </w:p>
        </w:tc>
        <w:tc>
          <w:tcPr>
            <w:tcW w:type="dxa" w:w="4320"/>
          </w:tcPr>
          <w:p>
            <w:r>
              <w:rPr>
                <w:sz w:val="18"/>
              </w:rPr>
              <w:t>SIMULATION_MODE=True runs without API for demonstration</w:t>
            </w:r>
          </w:p>
        </w:tc>
      </w:tr>
    </w:tbl>
    <w:p>
      <w:pPr>
        <w:pStyle w:val="Heading2"/>
      </w:pPr>
      <w:r>
        <w:rPr>
          <w:color w:val="1A478A"/>
        </w:rPr>
        <w:t>4.6 Usage Instructions</w:t>
      </w:r>
    </w:p>
    <w:p>
      <w:r>
        <w:t>To run the validation system:</w:t>
      </w:r>
    </w:p>
    <w:p>
      <w:r>
        <w:t>1. Clone the repository: git clone https://github.com/yashvigupta7/dsai.git</w:t>
      </w:r>
    </w:p>
    <w:p>
      <w:r>
        <w:t>2. Navigate to the module: cd dsai/11_decision_support</w:t>
      </w:r>
    </w:p>
    <w:p>
      <w:r>
        <w:t>3. Install dependencies: pip install requests python-dotenv pandas scipy pingouin</w:t>
      </w:r>
    </w:p>
    <w:p>
      <w:r>
        <w:t>4. Create .env file (copy from .env.example): cp .env.example .env</w:t>
      </w:r>
    </w:p>
    <w:p>
      <w:r>
        <w:t>5. Add your Ollama Cloud API key to the .env file</w:t>
      </w:r>
    </w:p>
    <w:p>
      <w:r>
        <w:t>6. Set SIMULATION_MODE = False in validate_reports.py for live API calls</w:t>
      </w:r>
    </w:p>
    <w:p>
      <w:r>
        <w:t>7. Run the script: python validate_reports.py</w:t>
      </w:r>
    </w:p>
    <w:p>
      <w:r>
        <w:t>8. Results are saved to data/validation_scores.csv</w:t>
      </w:r>
    </w:p>
    <w:p/>
    <w:p>
      <w:r>
        <w:t>File structure:</w:t>
      </w:r>
    </w:p>
    <w:p>
      <w:r>
        <w:rPr>
          <w:rFonts w:ascii="Consolas" w:hAnsi="Consolas"/>
          <w:sz w:val="18"/>
        </w:rPr>
        <w:t>11_decision_support/</w:t>
        <w:br/>
        <w:t>├── validate_reports.py      # Main validation system</w:t>
        <w:br/>
        <w:t>├── generate_homework3.py    # .docx generator</w:t>
        <w:br/>
        <w:t>├── decider.py               # Venue recommendation tool</w:t>
        <w:br/>
        <w:t>├── assigner.py              # Staff-client matching tool</w:t>
        <w:br/>
        <w:t>├── .env.example             # Environment template</w:t>
        <w:br/>
        <w:t>└── data/</w:t>
        <w:br/>
        <w:t xml:space="preserve">    └── validation_scores.csv # Experiment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