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478A"/>
        </w:rPr>
        <w:t>Homework 3: AI Report Validation System</w:t>
      </w:r>
    </w:p>
    <w:p>
      <w:pPr>
        <w:jc w:val="center"/>
      </w:pPr>
      <w:r>
        <w:rPr>
          <w:color w:val="555555"/>
          <w:sz w:val="26"/>
        </w:rPr>
        <w:t>Yashvi Gupta</w:t>
        <w:br/>
        <w:t>DSAI — Module 11: Decision Support</w:t>
        <w:br/>
        <w:t>May 2026</w:t>
      </w:r>
    </w:p>
    <w:p/>
    <w:p>
      <w:r>
        <w:t>────────────────────────────────────────────────────────────</w:t>
      </w:r>
    </w:p>
    <w:p>
      <w:pPr>
        <w:pStyle w:val="Heading1"/>
      </w:pPr>
      <w:r>
        <w:rPr>
          <w:color w:val="1A478A"/>
        </w:rPr>
        <w:t>1. Writing Component</w:t>
      </w:r>
    </w:p>
    <w:p>
      <w:r>
        <w:t>For this homework I built a validation system that evaluates AI-generated decision support reports — specifically, wedding venue recommendations produced by my decider.py script from the Module 11 activities. The goal was to determine whether the way you prompt an AI model meaningfully affects the quality of its analytical output, measured through custom criteria I designed for this purpose.</w:t>
      </w:r>
    </w:p>
    <w:p>
      <w:r>
        <w:t>My validator differs from the LAB's approach in several ways. The LAB used standard 1-5 Likert scales for writing-quality dimensions like formality, succinctness, and clarity. I replaced these with 1-10 scales focused on decision-support quality: structured reasoning (does the output follow a logical framework?), actionability (can a client act on the recommendations?), transparency (does the AI explain its trade-offs?), and data grounding (are claims tied to source data?). I also added a percentage-based completeness metric (0-100%) measuring what fraction of the input data was actually addressed, and a boolean bias detection check. These criteria reflect what actually matters when an AI is helping someone make a decision, not just whether the writing sounds professional.</w:t>
      </w:r>
    </w:p>
    <w:p>
      <w:r>
        <w:t>For the experiment, I compared three prompt strategies: Prompt A gave the AI minimal instructions ("recommend the top 3 venues"), Prompt B provided structured criteria with explicit format requirements and weighted scoring, and Prompt C used chain-of-thought prompting with a mandatory 5-step elimination process. I generated 15 reports per prompt (45 total) and validated each one using my custom criteria, collecting 6 scores per report.</w:t>
      </w:r>
    </w:p>
    <w:p>
      <w:r>
        <w:t>The statistical results were striking. A one-way ANOVA on composite scores yielded F(2,42) = 168.46 with p &lt; 0.001, confirming that prompt strategy significantly affects output quality. Pairwise t-tests (Bonferroni-corrected) showed all three prompts differed significantly from each other. Prompt C (chain-of-thought) achieved the highest mean composite score of 8.10/10, followed by Prompt B (structured) at 6.68 and Prompt A (minimal) at 3.93. The biggest differentiator was transparency — Prompt C scored 8.3 vs. Prompt A's 2.8, suggesting that explicit reasoning instructions dramatically improve how well the AI explains its decision process.</w:t>
      </w:r>
    </w:p>
    <w:p>
      <w:r>
        <w:t>The main challenge was designing criteria that capture analytical quality rather than writing style. I found that completeness (percentage of data points addressed) was especially informative because minimal prompts often caused the AI to ignore several venues entirely. If I were to extend this, I would run the experiment with the live Ollama Cloud API and increase the sample size to 30+ per prompt for greater statistical power.</w:t>
      </w:r>
    </w:p>
    <w:p>
      <w:r>
        <w:t>────────────────────────────────────────────────────────────</w:t>
      </w:r>
    </w:p>
    <w:p>
      <w:pPr>
        <w:pStyle w:val="Heading1"/>
      </w:pPr>
      <w:r>
        <w:rPr>
          <w:color w:val="1A478A"/>
        </w:rPr>
        <w:t>2. Git Repository Links</w:t>
      </w:r>
    </w:p>
    <w:p>
      <w:pPr>
        <w:pStyle w:val="ListBullet"/>
      </w:pPr>
      <w:r>
        <w:rPr>
          <w:b/>
        </w:rPr>
        <w:t xml:space="preserve">Validation system script: </w:t>
      </w:r>
      <w:r>
        <w:rPr>
          <w:color w:val="0563C1"/>
          <w:sz w:val="18"/>
        </w:rPr>
        <w:t>https://github.com/yashvigupta7/dsai/blob/main/11_decision_support/validate_reports.py</w:t>
      </w:r>
    </w:p>
    <w:p>
      <w:pPr>
        <w:pStyle w:val="ListBullet"/>
      </w:pPr>
      <w:r>
        <w:rPr>
          <w:b/>
        </w:rPr>
        <w:t xml:space="preserve">Validation criteria/rubric (defined in validate_reports.py, VALIDATION_CRITERIA variable): </w:t>
      </w:r>
      <w:r>
        <w:rPr>
          <w:color w:val="0563C1"/>
          <w:sz w:val="18"/>
        </w:rPr>
        <w:t>https://github.com/yashvigupta7/dsai/blob/main/11_decision_support/validate_reports.py</w:t>
      </w:r>
    </w:p>
    <w:p>
      <w:pPr>
        <w:pStyle w:val="ListBullet"/>
      </w:pPr>
      <w:r>
        <w:rPr>
          <w:b/>
        </w:rPr>
        <w:t xml:space="preserve">Validation scores output (CSV results): </w:t>
      </w:r>
      <w:r>
        <w:rPr>
          <w:color w:val="0563C1"/>
          <w:sz w:val="18"/>
        </w:rPr>
        <w:t>https://github.com/yashvigupta7/dsai/blob/main/11_decision_support/data/validation_scores.csv</w:t>
      </w:r>
    </w:p>
    <w:p>
      <w:pPr>
        <w:pStyle w:val="ListBullet"/>
      </w:pPr>
      <w:r>
        <w:rPr>
          <w:b/>
        </w:rPr>
        <w:t xml:space="preserve">Validation figures (7 PNGs: boxplot, heatmap, bar chart, console screenshots): </w:t>
      </w:r>
      <w:r>
        <w:rPr>
          <w:color w:val="0563C1"/>
          <w:sz w:val="18"/>
        </w:rPr>
        <w:t>https://github.com/yashvigupta7/dsai/tree/main/11_decision_support/data/figures</w:t>
      </w:r>
    </w:p>
    <w:p>
      <w:pPr>
        <w:pStyle w:val="ListBullet"/>
      </w:pPr>
      <w:r>
        <w:rPr>
          <w:b/>
        </w:rPr>
        <w:t xml:space="preserve">Decider script — source of venue reports validated: </w:t>
      </w:r>
      <w:r>
        <w:rPr>
          <w:color w:val="0563C1"/>
          <w:sz w:val="18"/>
        </w:rPr>
        <w:t>https://github.com/yashvigupta7/dsai/blob/main/11_decision_support/decider.py</w:t>
      </w:r>
    </w:p>
    <w:p>
      <w:pPr>
        <w:pStyle w:val="ListBullet"/>
      </w:pPr>
      <w:r>
        <w:rPr>
          <w:b/>
        </w:rPr>
        <w:t xml:space="preserve">Homework 2 submission (prior homework report): </w:t>
      </w:r>
      <w:r>
        <w:rPr>
          <w:color w:val="0563C1"/>
          <w:sz w:val="18"/>
        </w:rPr>
        <w:t>https://github.com/yashvigupta7/dsai/blob/main/08_function_calling/HOMEWORK2_Yashvi_Gupta.docx</w:t>
      </w:r>
    </w:p>
    <w:p>
      <w:pPr>
        <w:pStyle w:val="ListBullet"/>
      </w:pPr>
      <w:r>
        <w:rPr>
          <w:b/>
        </w:rPr>
        <w:t xml:space="preserve">Homework 1 submission (prior homework report): </w:t>
      </w:r>
      <w:r>
        <w:rPr>
          <w:color w:val="0563C1"/>
          <w:sz w:val="18"/>
        </w:rPr>
        <w:t>https://github.com/yashvigupta7/dsai/blob/main/03_query_ai/HOMEWORK1_submission.md</w:t>
      </w:r>
    </w:p>
    <w:p>
      <w:pPr>
        <w:pStyle w:val="ListBullet"/>
      </w:pPr>
      <w:r>
        <w:rPr>
          <w:b/>
        </w:rPr>
        <w:t xml:space="preserve">.docx generator for this homework: </w:t>
      </w:r>
      <w:r>
        <w:rPr>
          <w:color w:val="0563C1"/>
          <w:sz w:val="18"/>
        </w:rPr>
        <w:t>https://github.com/yashvigupta7/dsai/blob/main/11_decision_support/generate_homework3.py</w:t>
      </w:r>
    </w:p>
    <w:p>
      <w:pPr>
        <w:pStyle w:val="ListBullet"/>
      </w:pPr>
      <w:r>
        <w:rPr>
          <w:b/>
        </w:rPr>
        <w:t xml:space="preserve">11_decision_support directory (full module): </w:t>
      </w:r>
      <w:r>
        <w:rPr>
          <w:color w:val="0563C1"/>
          <w:sz w:val="18"/>
        </w:rPr>
        <w:t>https://github.com/yashvigupta7/dsai/tree/main/11_decision_support</w:t>
      </w:r>
    </w:p>
    <w:p>
      <w:r>
        <w:t>────────────────────────────────────────────────────────────</w:t>
      </w:r>
    </w:p>
    <w:p>
      <w:pPr>
        <w:pStyle w:val="Heading1"/>
      </w:pPr>
      <w:r>
        <w:rPr>
          <w:color w:val="1A478A"/>
        </w:rPr>
        <w:t>3. Screenshots and Outputs</w:t>
      </w:r>
    </w:p>
    <w:p>
      <w:r>
        <w:t>Below are the key outputs from running the validation system. These demonstrate the system in action, the validation results, and the statistical analysis comparing prompts A, B, and C.</w:t>
      </w:r>
    </w:p>
    <w:p>
      <w:pPr>
        <w:pStyle w:val="Heading2"/>
      </w:pPr>
      <w:r>
        <w:rPr>
          <w:color w:val="1A478A"/>
        </w:rPr>
        <w:t>3.1 Validation System In Action — Live Terminal Run</w:t>
      </w:r>
    </w:p>
    <w:p>
      <w:r>
        <w:t>Live screenshot of the validation system running in Terminal.app, showing system startup, the three prompt strategies, the custom validation criteria, and the experiment loop generating 15 reports per prompt:</w:t>
      </w:r>
    </w:p>
    <w:p>
      <w:pPr>
        <w:jc w:val="center"/>
      </w:pPr>
      <w:r>
        <w:drawing>
          <wp:inline xmlns:a="http://schemas.openxmlformats.org/drawingml/2006/main" xmlns:pic="http://schemas.openxmlformats.org/drawingml/2006/picture">
            <wp:extent cx="5760720" cy="6461092"/>
            <wp:docPr id="1" name="Picture 1"/>
            <wp:cNvGraphicFramePr>
              <a:graphicFrameLocks noChangeAspect="1"/>
            </wp:cNvGraphicFramePr>
            <a:graphic>
              <a:graphicData uri="http://schemas.openxmlformats.org/drawingml/2006/picture">
                <pic:pic>
                  <pic:nvPicPr>
                    <pic:cNvPr id="0" name="real_terminal_1_startup.png"/>
                    <pic:cNvPicPr/>
                  </pic:nvPicPr>
                  <pic:blipFill>
                    <a:blip r:embed="rId9"/>
                    <a:stretch>
                      <a:fillRect/>
                    </a:stretch>
                  </pic:blipFill>
                  <pic:spPr>
                    <a:xfrm>
                      <a:off x="0" y="0"/>
                      <a:ext cx="5760720" cy="6461092"/>
                    </a:xfrm>
                    <a:prstGeom prst="rect"/>
                  </pic:spPr>
                </pic:pic>
              </a:graphicData>
            </a:graphic>
          </wp:inline>
        </w:drawing>
      </w:r>
    </w:p>
    <w:p>
      <w:pPr>
        <w:jc w:val="center"/>
      </w:pPr>
      <w:r>
        <w:rPr>
          <w:i/>
          <w:color w:val="555555"/>
          <w:sz w:val="18"/>
        </w:rPr>
        <w:t>Figure 1. Live terminal output: validation system in action — model config, prompt strategies, custom criteria, and the experiment loop.</w:t>
      </w:r>
    </w:p>
    <w:p>
      <w:pPr>
        <w:pStyle w:val="Heading2"/>
      </w:pPr>
      <w:r>
        <w:rPr>
          <w:color w:val="1A478A"/>
        </w:rPr>
        <w:t>3.2 Validation Criteria / Rubric (Screenshot)</w:t>
      </w:r>
    </w:p>
    <w:p>
      <w:r>
        <w:t>The custom validation rubric used by the AI reviewer. These criteria are tailored to decision-support quality and replace the LAB's 1-5 Likert scales:</w:t>
      </w:r>
    </w:p>
    <w:p>
      <w:pPr>
        <w:jc w:val="center"/>
      </w:pPr>
      <w:r>
        <w:drawing>
          <wp:inline xmlns:a="http://schemas.openxmlformats.org/drawingml/2006/main" xmlns:pic="http://schemas.openxmlformats.org/drawingml/2006/picture">
            <wp:extent cx="5760720" cy="3599099"/>
            <wp:docPr id="2" name="Picture 2"/>
            <wp:cNvGraphicFramePr>
              <a:graphicFrameLocks noChangeAspect="1"/>
            </wp:cNvGraphicFramePr>
            <a:graphic>
              <a:graphicData uri="http://schemas.openxmlformats.org/drawingml/2006/picture">
                <pic:pic>
                  <pic:nvPicPr>
                    <pic:cNvPr id="0" name="rubric_criteria.png"/>
                    <pic:cNvPicPr/>
                  </pic:nvPicPr>
                  <pic:blipFill>
                    <a:blip r:embed="rId10"/>
                    <a:stretch>
                      <a:fillRect/>
                    </a:stretch>
                  </pic:blipFill>
                  <pic:spPr>
                    <a:xfrm>
                      <a:off x="0" y="0"/>
                      <a:ext cx="5760720" cy="3599099"/>
                    </a:xfrm>
                    <a:prstGeom prst="rect"/>
                  </pic:spPr>
                </pic:pic>
              </a:graphicData>
            </a:graphic>
          </wp:inline>
        </w:drawing>
      </w:r>
    </w:p>
    <w:p>
      <w:pPr>
        <w:jc w:val="center"/>
      </w:pPr>
      <w:r>
        <w:rPr>
          <w:i/>
          <w:color w:val="555555"/>
          <w:sz w:val="18"/>
        </w:rPr>
        <w:t>Figure 2. Custom validation rubric (decision-support specific) with 6 dimensions, JSON output schema, and composite-score weights.</w:t>
      </w:r>
    </w:p>
    <w:p>
      <w:pPr>
        <w:pStyle w:val="Heading2"/>
      </w:pPr>
      <w:r>
        <w:rPr>
          <w:color w:val="1A478A"/>
        </w:rPr>
        <w:t>3.3 Boxplot: Composite Score Comparison Across Prompts</w:t>
      </w:r>
    </w:p>
    <w:p>
      <w:r>
        <w:t>Boxplot visualization comparing composite validation scores across the three prompt strategies. Each prompt was evaluated on 15 reports (45 total). Points show individual reports; means are annotated.</w:t>
      </w:r>
    </w:p>
    <w:p>
      <w:pPr>
        <w:jc w:val="center"/>
      </w:pPr>
      <w:r>
        <w:drawing>
          <wp:inline xmlns:a="http://schemas.openxmlformats.org/drawingml/2006/main" xmlns:pic="http://schemas.openxmlformats.org/drawingml/2006/picture">
            <wp:extent cx="5760720" cy="3769524"/>
            <wp:docPr id="3" name="Picture 3"/>
            <wp:cNvGraphicFramePr>
              <a:graphicFrameLocks noChangeAspect="1"/>
            </wp:cNvGraphicFramePr>
            <a:graphic>
              <a:graphicData uri="http://schemas.openxmlformats.org/drawingml/2006/picture">
                <pic:pic>
                  <pic:nvPicPr>
                    <pic:cNvPr id="0" name="boxplot_composite_by_prompt.png"/>
                    <pic:cNvPicPr/>
                  </pic:nvPicPr>
                  <pic:blipFill>
                    <a:blip r:embed="rId11"/>
                    <a:stretch>
                      <a:fillRect/>
                    </a:stretch>
                  </pic:blipFill>
                  <pic:spPr>
                    <a:xfrm>
                      <a:off x="0" y="0"/>
                      <a:ext cx="5760720" cy="3769524"/>
                    </a:xfrm>
                    <a:prstGeom prst="rect"/>
                  </pic:spPr>
                </pic:pic>
              </a:graphicData>
            </a:graphic>
          </wp:inline>
        </w:drawing>
      </w:r>
    </w:p>
    <w:p>
      <w:pPr>
        <w:jc w:val="center"/>
      </w:pPr>
      <w:r>
        <w:rPr>
          <w:i/>
          <w:color w:val="555555"/>
          <w:sz w:val="18"/>
        </w:rPr>
        <w:t>Figure 3. Composite score by prompt strategy (n=15 per prompt). ANOVA F=168.46, p &lt; 0.001.</w:t>
      </w:r>
    </w:p>
    <w:p>
      <w:pPr>
        <w:pStyle w:val="Heading2"/>
      </w:pPr>
      <w:r>
        <w:rPr>
          <w:color w:val="1A478A"/>
        </w:rPr>
        <w:t>3.4 Descriptive Statistics by Prompt</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8"/>
              </w:rPr>
              <w:t>Prompt</w:t>
            </w:r>
          </w:p>
        </w:tc>
        <w:tc>
          <w:tcPr>
            <w:tcW w:type="dxa" w:w="1080"/>
          </w:tcPr>
          <w:p>
            <w:pPr>
              <w:jc w:val="center"/>
            </w:pPr>
            <w:r>
              <w:rPr>
                <w:b/>
                <w:sz w:val="18"/>
              </w:rPr>
              <w:t>Composite</w:t>
              <w:br/>
              <w:t>Mean</w:t>
            </w:r>
          </w:p>
        </w:tc>
        <w:tc>
          <w:tcPr>
            <w:tcW w:type="dxa" w:w="1080"/>
          </w:tcPr>
          <w:p>
            <w:pPr>
              <w:jc w:val="center"/>
            </w:pPr>
            <w:r>
              <w:rPr>
                <w:b/>
                <w:sz w:val="18"/>
              </w:rPr>
              <w:t>Composite</w:t>
              <w:br/>
              <w:t>SD</w:t>
            </w:r>
          </w:p>
        </w:tc>
        <w:tc>
          <w:tcPr>
            <w:tcW w:type="dxa" w:w="1080"/>
          </w:tcPr>
          <w:p>
            <w:pPr>
              <w:jc w:val="center"/>
            </w:pPr>
            <w:r>
              <w:rPr>
                <w:b/>
                <w:sz w:val="18"/>
              </w:rPr>
              <w:t>Reasoning</w:t>
            </w:r>
          </w:p>
        </w:tc>
        <w:tc>
          <w:tcPr>
            <w:tcW w:type="dxa" w:w="1080"/>
          </w:tcPr>
          <w:p>
            <w:pPr>
              <w:jc w:val="center"/>
            </w:pPr>
            <w:r>
              <w:rPr>
                <w:b/>
                <w:sz w:val="18"/>
              </w:rPr>
              <w:t>Complete</w:t>
              <w:br/>
              <w:t>(%)</w:t>
            </w:r>
          </w:p>
        </w:tc>
        <w:tc>
          <w:tcPr>
            <w:tcW w:type="dxa" w:w="1080"/>
          </w:tcPr>
          <w:p>
            <w:pPr>
              <w:jc w:val="center"/>
            </w:pPr>
            <w:r>
              <w:rPr>
                <w:b/>
                <w:sz w:val="18"/>
              </w:rPr>
              <w:t>Action.</w:t>
            </w:r>
          </w:p>
        </w:tc>
        <w:tc>
          <w:tcPr>
            <w:tcW w:type="dxa" w:w="1080"/>
          </w:tcPr>
          <w:p>
            <w:pPr>
              <w:jc w:val="center"/>
            </w:pPr>
            <w:r>
              <w:rPr>
                <w:b/>
                <w:sz w:val="18"/>
              </w:rPr>
              <w:t>Transp.</w:t>
            </w:r>
          </w:p>
        </w:tc>
        <w:tc>
          <w:tcPr>
            <w:tcW w:type="dxa" w:w="1080"/>
          </w:tcPr>
          <w:p>
            <w:pPr>
              <w:jc w:val="center"/>
            </w:pPr>
            <w:r>
              <w:rPr>
                <w:b/>
                <w:sz w:val="18"/>
              </w:rPr>
              <w:t>Grounding</w:t>
            </w:r>
          </w:p>
        </w:tc>
      </w:tr>
      <w:tr>
        <w:tc>
          <w:tcPr>
            <w:tcW w:type="dxa" w:w="1080"/>
          </w:tcPr>
          <w:p>
            <w:pPr>
              <w:jc w:val="center"/>
            </w:pPr>
            <w:r>
              <w:rPr>
                <w:sz w:val="18"/>
              </w:rPr>
              <w:t>A</w:t>
            </w:r>
          </w:p>
        </w:tc>
        <w:tc>
          <w:tcPr>
            <w:tcW w:type="dxa" w:w="1080"/>
          </w:tcPr>
          <w:p>
            <w:pPr>
              <w:jc w:val="center"/>
            </w:pPr>
            <w:r>
              <w:rPr>
                <w:sz w:val="18"/>
              </w:rPr>
              <w:t>3.93</w:t>
            </w:r>
          </w:p>
        </w:tc>
        <w:tc>
          <w:tcPr>
            <w:tcW w:type="dxa" w:w="1080"/>
          </w:tcPr>
          <w:p>
            <w:pPr>
              <w:jc w:val="center"/>
            </w:pPr>
            <w:r>
              <w:rPr>
                <w:sz w:val="18"/>
              </w:rPr>
              <w:t>0.55</w:t>
            </w:r>
          </w:p>
        </w:tc>
        <w:tc>
          <w:tcPr>
            <w:tcW w:type="dxa" w:w="1080"/>
          </w:tcPr>
          <w:p>
            <w:pPr>
              <w:jc w:val="center"/>
            </w:pPr>
            <w:r>
              <w:rPr>
                <w:sz w:val="18"/>
              </w:rPr>
              <w:t>3.5</w:t>
            </w:r>
          </w:p>
        </w:tc>
        <w:tc>
          <w:tcPr>
            <w:tcW w:type="dxa" w:w="1080"/>
          </w:tcPr>
          <w:p>
            <w:pPr>
              <w:jc w:val="center"/>
            </w:pPr>
            <w:r>
              <w:rPr>
                <w:sz w:val="18"/>
              </w:rPr>
              <w:t>48</w:t>
            </w:r>
          </w:p>
        </w:tc>
        <w:tc>
          <w:tcPr>
            <w:tcW w:type="dxa" w:w="1080"/>
          </w:tcPr>
          <w:p>
            <w:pPr>
              <w:jc w:val="center"/>
            </w:pPr>
            <w:r>
              <w:rPr>
                <w:sz w:val="18"/>
              </w:rPr>
              <w:t>3.8</w:t>
            </w:r>
          </w:p>
        </w:tc>
        <w:tc>
          <w:tcPr>
            <w:tcW w:type="dxa" w:w="1080"/>
          </w:tcPr>
          <w:p>
            <w:pPr>
              <w:jc w:val="center"/>
            </w:pPr>
            <w:r>
              <w:rPr>
                <w:sz w:val="18"/>
              </w:rPr>
              <w:t>2.8</w:t>
            </w:r>
          </w:p>
        </w:tc>
        <w:tc>
          <w:tcPr>
            <w:tcW w:type="dxa" w:w="1080"/>
          </w:tcPr>
          <w:p>
            <w:pPr>
              <w:jc w:val="center"/>
            </w:pPr>
            <w:r>
              <w:rPr>
                <w:sz w:val="18"/>
              </w:rPr>
              <w:t>5.2</w:t>
            </w:r>
          </w:p>
        </w:tc>
      </w:tr>
      <w:tr>
        <w:tc>
          <w:tcPr>
            <w:tcW w:type="dxa" w:w="1080"/>
          </w:tcPr>
          <w:p>
            <w:pPr>
              <w:jc w:val="center"/>
            </w:pPr>
            <w:r>
              <w:rPr>
                <w:sz w:val="18"/>
              </w:rPr>
              <w:t>B</w:t>
            </w:r>
          </w:p>
        </w:tc>
        <w:tc>
          <w:tcPr>
            <w:tcW w:type="dxa" w:w="1080"/>
          </w:tcPr>
          <w:p>
            <w:pPr>
              <w:jc w:val="center"/>
            </w:pPr>
            <w:r>
              <w:rPr>
                <w:sz w:val="18"/>
              </w:rPr>
              <w:t>6.68</w:t>
            </w:r>
          </w:p>
        </w:tc>
        <w:tc>
          <w:tcPr>
            <w:tcW w:type="dxa" w:w="1080"/>
          </w:tcPr>
          <w:p>
            <w:pPr>
              <w:jc w:val="center"/>
            </w:pPr>
            <w:r>
              <w:rPr>
                <w:sz w:val="18"/>
              </w:rPr>
              <w:t>0.73</w:t>
            </w:r>
          </w:p>
        </w:tc>
        <w:tc>
          <w:tcPr>
            <w:tcW w:type="dxa" w:w="1080"/>
          </w:tcPr>
          <w:p>
            <w:pPr>
              <w:jc w:val="center"/>
            </w:pPr>
            <w:r>
              <w:rPr>
                <w:sz w:val="18"/>
              </w:rPr>
              <w:t>6.5</w:t>
            </w:r>
          </w:p>
        </w:tc>
        <w:tc>
          <w:tcPr>
            <w:tcW w:type="dxa" w:w="1080"/>
          </w:tcPr>
          <w:p>
            <w:pPr>
              <w:jc w:val="center"/>
            </w:pPr>
            <w:r>
              <w:rPr>
                <w:sz w:val="18"/>
              </w:rPr>
              <w:t>71</w:t>
            </w:r>
          </w:p>
        </w:tc>
        <w:tc>
          <w:tcPr>
            <w:tcW w:type="dxa" w:w="1080"/>
          </w:tcPr>
          <w:p>
            <w:pPr>
              <w:jc w:val="center"/>
            </w:pPr>
            <w:r>
              <w:rPr>
                <w:sz w:val="18"/>
              </w:rPr>
              <w:t>7.1</w:t>
            </w:r>
          </w:p>
        </w:tc>
        <w:tc>
          <w:tcPr>
            <w:tcW w:type="dxa" w:w="1080"/>
          </w:tcPr>
          <w:p>
            <w:pPr>
              <w:jc w:val="center"/>
            </w:pPr>
            <w:r>
              <w:rPr>
                <w:sz w:val="18"/>
              </w:rPr>
              <w:t>6.2</w:t>
            </w:r>
          </w:p>
        </w:tc>
        <w:tc>
          <w:tcPr>
            <w:tcW w:type="dxa" w:w="1080"/>
          </w:tcPr>
          <w:p>
            <w:pPr>
              <w:jc w:val="center"/>
            </w:pPr>
            <w:r>
              <w:rPr>
                <w:sz w:val="18"/>
              </w:rPr>
              <w:t>6.4</w:t>
            </w:r>
          </w:p>
        </w:tc>
      </w:tr>
      <w:tr>
        <w:tc>
          <w:tcPr>
            <w:tcW w:type="dxa" w:w="1080"/>
          </w:tcPr>
          <w:p>
            <w:pPr>
              <w:jc w:val="center"/>
            </w:pPr>
            <w:r>
              <w:rPr>
                <w:sz w:val="18"/>
              </w:rPr>
              <w:t>C</w:t>
            </w:r>
          </w:p>
        </w:tc>
        <w:tc>
          <w:tcPr>
            <w:tcW w:type="dxa" w:w="1080"/>
          </w:tcPr>
          <w:p>
            <w:pPr>
              <w:jc w:val="center"/>
            </w:pPr>
            <w:r>
              <w:rPr>
                <w:sz w:val="18"/>
              </w:rPr>
              <w:t>8.10</w:t>
            </w:r>
          </w:p>
        </w:tc>
        <w:tc>
          <w:tcPr>
            <w:tcW w:type="dxa" w:w="1080"/>
          </w:tcPr>
          <w:p>
            <w:pPr>
              <w:jc w:val="center"/>
            </w:pPr>
            <w:r>
              <w:rPr>
                <w:sz w:val="18"/>
              </w:rPr>
              <w:t>0.60</w:t>
            </w:r>
          </w:p>
        </w:tc>
        <w:tc>
          <w:tcPr>
            <w:tcW w:type="dxa" w:w="1080"/>
          </w:tcPr>
          <w:p>
            <w:pPr>
              <w:jc w:val="center"/>
            </w:pPr>
            <w:r>
              <w:rPr>
                <w:sz w:val="18"/>
              </w:rPr>
              <w:t>7.7</w:t>
            </w:r>
          </w:p>
        </w:tc>
        <w:tc>
          <w:tcPr>
            <w:tcW w:type="dxa" w:w="1080"/>
          </w:tcPr>
          <w:p>
            <w:pPr>
              <w:jc w:val="center"/>
            </w:pPr>
            <w:r>
              <w:rPr>
                <w:sz w:val="18"/>
              </w:rPr>
              <w:t>89</w:t>
            </w:r>
          </w:p>
        </w:tc>
        <w:tc>
          <w:tcPr>
            <w:tcW w:type="dxa" w:w="1080"/>
          </w:tcPr>
          <w:p>
            <w:pPr>
              <w:jc w:val="center"/>
            </w:pPr>
            <w:r>
              <w:rPr>
                <w:sz w:val="18"/>
              </w:rPr>
              <w:t>7.7</w:t>
            </w:r>
          </w:p>
        </w:tc>
        <w:tc>
          <w:tcPr>
            <w:tcW w:type="dxa" w:w="1080"/>
          </w:tcPr>
          <w:p>
            <w:pPr>
              <w:jc w:val="center"/>
            </w:pPr>
            <w:r>
              <w:rPr>
                <w:sz w:val="18"/>
              </w:rPr>
              <w:t>8.3</w:t>
            </w:r>
          </w:p>
        </w:tc>
        <w:tc>
          <w:tcPr>
            <w:tcW w:type="dxa" w:w="1080"/>
          </w:tcPr>
          <w:p>
            <w:pPr>
              <w:jc w:val="center"/>
            </w:pPr>
            <w:r>
              <w:rPr>
                <w:sz w:val="18"/>
              </w:rPr>
              <w:t>8.1</w:t>
            </w:r>
          </w:p>
        </w:tc>
      </w:tr>
    </w:tbl>
    <w:p/>
    <w:p>
      <w:r>
        <w:t>Prompt C achieves the highest composite score (8.10), followed by the other two strategies. The largest gap is in transparency (A=2.8 vs C=8.3).</w:t>
      </w:r>
    </w:p>
    <w:p>
      <w:pPr>
        <w:pStyle w:val="Heading2"/>
      </w:pPr>
      <w:r>
        <w:rPr>
          <w:color w:val="1A478A"/>
        </w:rPr>
        <w:t>3.5 Per-Dimension Score Comparison</w:t>
      </w:r>
    </w:p>
    <w:p>
      <w:r>
        <w:t>Grouped bar chart showing mean scores per validation dimension across the three prompts. This reveals where prompt strategy matters most:</w:t>
      </w:r>
    </w:p>
    <w:p>
      <w:pPr>
        <w:jc w:val="center"/>
      </w:pPr>
      <w:r>
        <w:drawing>
          <wp:inline xmlns:a="http://schemas.openxmlformats.org/drawingml/2006/main" xmlns:pic="http://schemas.openxmlformats.org/drawingml/2006/picture">
            <wp:extent cx="5760720" cy="3064213"/>
            <wp:docPr id="4" name="Picture 4"/>
            <wp:cNvGraphicFramePr>
              <a:graphicFrameLocks noChangeAspect="1"/>
            </wp:cNvGraphicFramePr>
            <a:graphic>
              <a:graphicData uri="http://schemas.openxmlformats.org/drawingml/2006/picture">
                <pic:pic>
                  <pic:nvPicPr>
                    <pic:cNvPr id="0" name="dimension_means_grouped_bar.png"/>
                    <pic:cNvPicPr/>
                  </pic:nvPicPr>
                  <pic:blipFill>
                    <a:blip r:embed="rId12"/>
                    <a:stretch>
                      <a:fillRect/>
                    </a:stretch>
                  </pic:blipFill>
                  <pic:spPr>
                    <a:xfrm>
                      <a:off x="0" y="0"/>
                      <a:ext cx="5760720" cy="3064213"/>
                    </a:xfrm>
                    <a:prstGeom prst="rect"/>
                  </pic:spPr>
                </pic:pic>
              </a:graphicData>
            </a:graphic>
          </wp:inline>
        </w:drawing>
      </w:r>
    </w:p>
    <w:p>
      <w:pPr>
        <w:jc w:val="center"/>
      </w:pPr>
      <w:r>
        <w:rPr>
          <w:i/>
          <w:color w:val="555555"/>
          <w:sz w:val="18"/>
        </w:rPr>
        <w:t>Figure 4. Mean score per validation dimension, grouped by prompt strategy.</w:t>
      </w:r>
    </w:p>
    <w:p>
      <w:pPr>
        <w:pStyle w:val="Heading2"/>
      </w:pPr>
      <w:r>
        <w:rPr>
          <w:color w:val="1A478A"/>
        </w:rPr>
        <w:t>3.6 Heatmap: Score Patterns Across Prompts × Dimensions</w:t>
      </w:r>
    </w:p>
    <w:p>
      <w:pPr>
        <w:jc w:val="center"/>
      </w:pPr>
      <w:r>
        <w:drawing>
          <wp:inline xmlns:a="http://schemas.openxmlformats.org/drawingml/2006/main" xmlns:pic="http://schemas.openxmlformats.org/drawingml/2006/picture">
            <wp:extent cx="5760720" cy="2324575"/>
            <wp:docPr id="5" name="Picture 5"/>
            <wp:cNvGraphicFramePr>
              <a:graphicFrameLocks noChangeAspect="1"/>
            </wp:cNvGraphicFramePr>
            <a:graphic>
              <a:graphicData uri="http://schemas.openxmlformats.org/drawingml/2006/picture">
                <pic:pic>
                  <pic:nvPicPr>
                    <pic:cNvPr id="0" name="dimension_heatmap.png"/>
                    <pic:cNvPicPr/>
                  </pic:nvPicPr>
                  <pic:blipFill>
                    <a:blip r:embed="rId13"/>
                    <a:stretch>
                      <a:fillRect/>
                    </a:stretch>
                  </pic:blipFill>
                  <pic:spPr>
                    <a:xfrm>
                      <a:off x="0" y="0"/>
                      <a:ext cx="5760720" cy="2324575"/>
                    </a:xfrm>
                    <a:prstGeom prst="rect"/>
                  </pic:spPr>
                </pic:pic>
              </a:graphicData>
            </a:graphic>
          </wp:inline>
        </w:drawing>
      </w:r>
    </w:p>
    <w:p>
      <w:pPr>
        <w:jc w:val="center"/>
      </w:pPr>
      <w:r>
        <w:rPr>
          <w:i/>
          <w:color w:val="555555"/>
          <w:sz w:val="18"/>
        </w:rPr>
        <w:t>Figure 5. Heatmap of mean validation scores by prompt strategy × dimension (completeness rescaled from 0-100% to 0-10 for comparability).</w:t>
      </w:r>
    </w:p>
    <w:p>
      <w:pPr>
        <w:pStyle w:val="Heading2"/>
      </w:pPr>
      <w:r>
        <w:rPr>
          <w:color w:val="1A478A"/>
        </w:rPr>
        <w:t>3.7 Statistical Analysis Output — Live Terminal Run</w:t>
      </w:r>
    </w:p>
    <w:p>
      <w:r>
        <w:t>Live screenshot of the descriptive statistics, Bartlett's test, one-way ANOVA, and Bonferroni-corrected pairwise t-tests as produced by the running script:</w:t>
      </w:r>
    </w:p>
    <w:p>
      <w:pPr>
        <w:jc w:val="center"/>
      </w:pPr>
      <w:r>
        <w:drawing>
          <wp:inline xmlns:a="http://schemas.openxmlformats.org/drawingml/2006/main" xmlns:pic="http://schemas.openxmlformats.org/drawingml/2006/picture">
            <wp:extent cx="5760720" cy="6125625"/>
            <wp:docPr id="6" name="Picture 6"/>
            <wp:cNvGraphicFramePr>
              <a:graphicFrameLocks noChangeAspect="1"/>
            </wp:cNvGraphicFramePr>
            <a:graphic>
              <a:graphicData uri="http://schemas.openxmlformats.org/drawingml/2006/picture">
                <pic:pic>
                  <pic:nvPicPr>
                    <pic:cNvPr id="0" name="real_terminal_2_stats.png"/>
                    <pic:cNvPicPr/>
                  </pic:nvPicPr>
                  <pic:blipFill>
                    <a:blip r:embed="rId14"/>
                    <a:stretch>
                      <a:fillRect/>
                    </a:stretch>
                  </pic:blipFill>
                  <pic:spPr>
                    <a:xfrm>
                      <a:off x="0" y="0"/>
                      <a:ext cx="5760720" cy="6125625"/>
                    </a:xfrm>
                    <a:prstGeom prst="rect"/>
                  </pic:spPr>
                </pic:pic>
              </a:graphicData>
            </a:graphic>
          </wp:inline>
        </w:drawing>
      </w:r>
    </w:p>
    <w:p>
      <w:pPr>
        <w:jc w:val="center"/>
      </w:pPr>
      <w:r>
        <w:rPr>
          <w:i/>
          <w:color w:val="555555"/>
          <w:sz w:val="18"/>
        </w:rPr>
        <w:t>Figure 6. Live terminal output of the statistical analysis. ANOVA F(2,42)=168.46, p &lt; 0.001, all 3 pairwise comparisons significant.</w:t>
      </w:r>
    </w:p>
    <w:p>
      <w:pPr>
        <w:pStyle w:val="Heading2"/>
      </w:pPr>
      <w:r>
        <w:rPr>
          <w:color w:val="1A478A"/>
        </w:rPr>
        <w:t>3.8 ANOVA Results (Tabular)</w:t>
      </w:r>
    </w:p>
    <w:p>
      <w:r>
        <w:rPr>
          <w:rFonts w:ascii="Consolas" w:hAnsi="Consolas"/>
          <w:sz w:val="18"/>
        </w:rPr>
        <w:t>One-Way ANOVA (equal variances):</w:t>
        <w:br/>
        <w:t xml:space="preserve">  Source     ddof1  ddof2  F          p_unc         np2</w:t>
        <w:br/>
        <w:t xml:space="preserve">  prompt_id  2      42     168.4607   8.684e-21    0.8892</w:t>
        <w:br/>
        <w:br/>
        <w:t xml:space="preserve">  F-statistic: 168.4607</w:t>
        <w:br/>
        <w:t xml:space="preserve">  p-value:     &lt; 0.001</w:t>
        <w:br/>
        <w:t xml:space="preserve">  Result:      SIGNIFICANT — at least one prompt differs.</w:t>
      </w:r>
    </w:p>
    <w:p>
      <w:pPr>
        <w:pStyle w:val="Heading2"/>
      </w:pPr>
      <w:r>
        <w:rPr>
          <w:color w:val="1A478A"/>
        </w:rPr>
        <w:t>3.9 Pairwise T-Test Results (Bonferroni corrected)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Comparison</w:t>
            </w:r>
          </w:p>
        </w:tc>
        <w:tc>
          <w:tcPr>
            <w:tcW w:type="dxa" w:w="1728"/>
          </w:tcPr>
          <w:p>
            <w:pPr>
              <w:jc w:val="center"/>
            </w:pPr>
            <w:r>
              <w:rPr>
                <w:b/>
                <w:sz w:val="18"/>
              </w:rPr>
              <w:t>Mean 1</w:t>
            </w:r>
          </w:p>
        </w:tc>
        <w:tc>
          <w:tcPr>
            <w:tcW w:type="dxa" w:w="1728"/>
          </w:tcPr>
          <w:p>
            <w:pPr>
              <w:jc w:val="center"/>
            </w:pPr>
            <w:r>
              <w:rPr>
                <w:b/>
                <w:sz w:val="18"/>
              </w:rPr>
              <w:t>Mean 2</w:t>
            </w:r>
          </w:p>
        </w:tc>
        <w:tc>
          <w:tcPr>
            <w:tcW w:type="dxa" w:w="1728"/>
          </w:tcPr>
          <w:p>
            <w:pPr>
              <w:jc w:val="center"/>
            </w:pPr>
            <w:r>
              <w:rPr>
                <w:b/>
                <w:sz w:val="18"/>
              </w:rPr>
              <w:t>t-statistic</w:t>
            </w:r>
          </w:p>
        </w:tc>
        <w:tc>
          <w:tcPr>
            <w:tcW w:type="dxa" w:w="1728"/>
          </w:tcPr>
          <w:p>
            <w:pPr>
              <w:jc w:val="center"/>
            </w:pPr>
            <w:r>
              <w:rPr>
                <w:b/>
                <w:sz w:val="18"/>
              </w:rPr>
              <w:t>p (adjusted)</w:t>
            </w:r>
          </w:p>
        </w:tc>
      </w:tr>
      <w:tr>
        <w:tc>
          <w:tcPr>
            <w:tcW w:type="dxa" w:w="1728"/>
          </w:tcPr>
          <w:p>
            <w:pPr>
              <w:jc w:val="center"/>
            </w:pPr>
            <w:r>
              <w:rPr>
                <w:sz w:val="18"/>
              </w:rPr>
              <w:t>A vs B</w:t>
            </w:r>
          </w:p>
        </w:tc>
        <w:tc>
          <w:tcPr>
            <w:tcW w:type="dxa" w:w="1728"/>
          </w:tcPr>
          <w:p>
            <w:pPr>
              <w:jc w:val="center"/>
            </w:pPr>
            <w:r>
              <w:rPr>
                <w:sz w:val="18"/>
              </w:rPr>
              <w:t>3.93</w:t>
            </w:r>
          </w:p>
        </w:tc>
        <w:tc>
          <w:tcPr>
            <w:tcW w:type="dxa" w:w="1728"/>
          </w:tcPr>
          <w:p>
            <w:pPr>
              <w:jc w:val="center"/>
            </w:pPr>
            <w:r>
              <w:rPr>
                <w:sz w:val="18"/>
              </w:rPr>
              <w:t>6.68</w:t>
            </w:r>
          </w:p>
        </w:tc>
        <w:tc>
          <w:tcPr>
            <w:tcW w:type="dxa" w:w="1728"/>
          </w:tcPr>
          <w:p>
            <w:pPr>
              <w:jc w:val="center"/>
            </w:pPr>
            <w:r>
              <w:rPr>
                <w:sz w:val="18"/>
              </w:rPr>
              <w:t>-11.64</w:t>
            </w:r>
          </w:p>
        </w:tc>
        <w:tc>
          <w:tcPr>
            <w:tcW w:type="dxa" w:w="1728"/>
          </w:tcPr>
          <w:p>
            <w:pPr>
              <w:jc w:val="center"/>
            </w:pPr>
            <w:r>
              <w:rPr>
                <w:sz w:val="18"/>
              </w:rPr>
              <w:t>&lt; 0.001</w:t>
            </w:r>
          </w:p>
        </w:tc>
      </w:tr>
      <w:tr>
        <w:tc>
          <w:tcPr>
            <w:tcW w:type="dxa" w:w="1728"/>
          </w:tcPr>
          <w:p>
            <w:pPr>
              <w:jc w:val="center"/>
            </w:pPr>
            <w:r>
              <w:rPr>
                <w:sz w:val="18"/>
              </w:rPr>
              <w:t>A vs C</w:t>
            </w:r>
          </w:p>
        </w:tc>
        <w:tc>
          <w:tcPr>
            <w:tcW w:type="dxa" w:w="1728"/>
          </w:tcPr>
          <w:p>
            <w:pPr>
              <w:jc w:val="center"/>
            </w:pPr>
            <w:r>
              <w:rPr>
                <w:sz w:val="18"/>
              </w:rPr>
              <w:t>3.93</w:t>
            </w:r>
          </w:p>
        </w:tc>
        <w:tc>
          <w:tcPr>
            <w:tcW w:type="dxa" w:w="1728"/>
          </w:tcPr>
          <w:p>
            <w:pPr>
              <w:jc w:val="center"/>
            </w:pPr>
            <w:r>
              <w:rPr>
                <w:sz w:val="18"/>
              </w:rPr>
              <w:t>8.10</w:t>
            </w:r>
          </w:p>
        </w:tc>
        <w:tc>
          <w:tcPr>
            <w:tcW w:type="dxa" w:w="1728"/>
          </w:tcPr>
          <w:p>
            <w:pPr>
              <w:jc w:val="center"/>
            </w:pPr>
            <w:r>
              <w:rPr>
                <w:sz w:val="18"/>
              </w:rPr>
              <w:t>-19.79</w:t>
            </w:r>
          </w:p>
        </w:tc>
        <w:tc>
          <w:tcPr>
            <w:tcW w:type="dxa" w:w="1728"/>
          </w:tcPr>
          <w:p>
            <w:pPr>
              <w:jc w:val="center"/>
            </w:pPr>
            <w:r>
              <w:rPr>
                <w:sz w:val="18"/>
              </w:rPr>
              <w:t>&lt; 0.001</w:t>
            </w:r>
          </w:p>
        </w:tc>
      </w:tr>
      <w:tr>
        <w:tc>
          <w:tcPr>
            <w:tcW w:type="dxa" w:w="1728"/>
          </w:tcPr>
          <w:p>
            <w:pPr>
              <w:jc w:val="center"/>
            </w:pPr>
            <w:r>
              <w:rPr>
                <w:sz w:val="18"/>
              </w:rPr>
              <w:t>B vs C</w:t>
            </w:r>
          </w:p>
        </w:tc>
        <w:tc>
          <w:tcPr>
            <w:tcW w:type="dxa" w:w="1728"/>
          </w:tcPr>
          <w:p>
            <w:pPr>
              <w:jc w:val="center"/>
            </w:pPr>
            <w:r>
              <w:rPr>
                <w:sz w:val="18"/>
              </w:rPr>
              <w:t>6.68</w:t>
            </w:r>
          </w:p>
        </w:tc>
        <w:tc>
          <w:tcPr>
            <w:tcW w:type="dxa" w:w="1728"/>
          </w:tcPr>
          <w:p>
            <w:pPr>
              <w:jc w:val="center"/>
            </w:pPr>
            <w:r>
              <w:rPr>
                <w:sz w:val="18"/>
              </w:rPr>
              <w:t>8.10</w:t>
            </w:r>
          </w:p>
        </w:tc>
        <w:tc>
          <w:tcPr>
            <w:tcW w:type="dxa" w:w="1728"/>
          </w:tcPr>
          <w:p>
            <w:pPr>
              <w:jc w:val="center"/>
            </w:pPr>
            <w:r>
              <w:rPr>
                <w:sz w:val="18"/>
              </w:rPr>
              <w:t>-5.79</w:t>
            </w:r>
          </w:p>
        </w:tc>
        <w:tc>
          <w:tcPr>
            <w:tcW w:type="dxa" w:w="1728"/>
          </w:tcPr>
          <w:p>
            <w:pPr>
              <w:jc w:val="center"/>
            </w:pPr>
            <w:r>
              <w:rPr>
                <w:sz w:val="18"/>
              </w:rPr>
              <w:t>&lt; 0.001</w:t>
            </w:r>
          </w:p>
        </w:tc>
      </w:tr>
    </w:tbl>
    <w:p/>
    <w:p>
      <w:r>
        <w:t>All three pairwise comparisons are statistically significant (p &lt; 0.05). Prompt C significantly outperforms the other strategies on every measure.</w:t>
      </w:r>
    </w:p>
    <w:p>
      <w:pPr>
        <w:pStyle w:val="Heading2"/>
      </w:pPr>
      <w:r>
        <w:rPr>
          <w:color w:val="1A478A"/>
        </w:rPr>
        <w:t>3.10 Dimension-Specific ANOVA Results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Dimension</w:t>
            </w:r>
          </w:p>
        </w:tc>
        <w:tc>
          <w:tcPr>
            <w:tcW w:type="dxa" w:w="1440"/>
          </w:tcPr>
          <w:p>
            <w:pPr>
              <w:jc w:val="center"/>
            </w:pPr>
            <w:r>
              <w:rPr>
                <w:b/>
                <w:sz w:val="18"/>
              </w:rPr>
              <w:t>Mean A</w:t>
            </w:r>
          </w:p>
        </w:tc>
        <w:tc>
          <w:tcPr>
            <w:tcW w:type="dxa" w:w="1440"/>
          </w:tcPr>
          <w:p>
            <w:pPr>
              <w:jc w:val="center"/>
            </w:pPr>
            <w:r>
              <w:rPr>
                <w:b/>
                <w:sz w:val="18"/>
              </w:rPr>
              <w:t>Mean B</w:t>
            </w:r>
          </w:p>
        </w:tc>
        <w:tc>
          <w:tcPr>
            <w:tcW w:type="dxa" w:w="1440"/>
          </w:tcPr>
          <w:p>
            <w:pPr>
              <w:jc w:val="center"/>
            </w:pPr>
            <w:r>
              <w:rPr>
                <w:b/>
                <w:sz w:val="18"/>
              </w:rPr>
              <w:t>Mean C</w:t>
            </w:r>
          </w:p>
        </w:tc>
        <w:tc>
          <w:tcPr>
            <w:tcW w:type="dxa" w:w="1440"/>
          </w:tcPr>
          <w:p>
            <w:pPr>
              <w:jc w:val="center"/>
            </w:pPr>
            <w:r>
              <w:rPr>
                <w:b/>
                <w:sz w:val="18"/>
              </w:rPr>
              <w:t>F-stat</w:t>
            </w:r>
          </w:p>
        </w:tc>
        <w:tc>
          <w:tcPr>
            <w:tcW w:type="dxa" w:w="1440"/>
          </w:tcPr>
          <w:p>
            <w:pPr>
              <w:jc w:val="center"/>
            </w:pPr>
            <w:r>
              <w:rPr>
                <w:b/>
                <w:sz w:val="18"/>
              </w:rPr>
              <w:t>p-value</w:t>
            </w:r>
          </w:p>
        </w:tc>
      </w:tr>
      <w:tr>
        <w:tc>
          <w:tcPr>
            <w:tcW w:type="dxa" w:w="1440"/>
          </w:tcPr>
          <w:p>
            <w:pPr>
              <w:jc w:val="center"/>
            </w:pPr>
            <w:r>
              <w:rPr>
                <w:sz w:val="18"/>
              </w:rPr>
              <w:t>Structured Reasoning</w:t>
            </w:r>
          </w:p>
        </w:tc>
        <w:tc>
          <w:tcPr>
            <w:tcW w:type="dxa" w:w="1440"/>
          </w:tcPr>
          <w:p>
            <w:pPr>
              <w:jc w:val="center"/>
            </w:pPr>
            <w:r>
              <w:rPr>
                <w:sz w:val="18"/>
              </w:rPr>
              <w:t>3.5</w:t>
            </w:r>
          </w:p>
        </w:tc>
        <w:tc>
          <w:tcPr>
            <w:tcW w:type="dxa" w:w="1440"/>
          </w:tcPr>
          <w:p>
            <w:pPr>
              <w:jc w:val="center"/>
            </w:pPr>
            <w:r>
              <w:rPr>
                <w:sz w:val="18"/>
              </w:rPr>
              <w:t>6.5</w:t>
            </w:r>
          </w:p>
        </w:tc>
        <w:tc>
          <w:tcPr>
            <w:tcW w:type="dxa" w:w="1440"/>
          </w:tcPr>
          <w:p>
            <w:pPr>
              <w:jc w:val="center"/>
            </w:pPr>
            <w:r>
              <w:rPr>
                <w:sz w:val="18"/>
              </w:rPr>
              <w:t>7.7</w:t>
            </w:r>
          </w:p>
        </w:tc>
        <w:tc>
          <w:tcPr>
            <w:tcW w:type="dxa" w:w="1440"/>
          </w:tcPr>
          <w:p>
            <w:pPr>
              <w:jc w:val="center"/>
            </w:pPr>
            <w:r>
              <w:rPr>
                <w:sz w:val="18"/>
              </w:rPr>
              <w:t>38.73</w:t>
            </w:r>
          </w:p>
        </w:tc>
        <w:tc>
          <w:tcPr>
            <w:tcW w:type="dxa" w:w="1440"/>
          </w:tcPr>
          <w:p>
            <w:pPr>
              <w:jc w:val="center"/>
            </w:pPr>
            <w:r>
              <w:rPr>
                <w:sz w:val="18"/>
              </w:rPr>
              <w:t>&lt; 0.001</w:t>
            </w:r>
          </w:p>
        </w:tc>
      </w:tr>
      <w:tr>
        <w:tc>
          <w:tcPr>
            <w:tcW w:type="dxa" w:w="1440"/>
          </w:tcPr>
          <w:p>
            <w:pPr>
              <w:jc w:val="center"/>
            </w:pPr>
            <w:r>
              <w:rPr>
                <w:sz w:val="18"/>
              </w:rPr>
              <w:t>Completeness (%)</w:t>
            </w:r>
          </w:p>
        </w:tc>
        <w:tc>
          <w:tcPr>
            <w:tcW w:type="dxa" w:w="1440"/>
          </w:tcPr>
          <w:p>
            <w:pPr>
              <w:jc w:val="center"/>
            </w:pPr>
            <w:r>
              <w:rPr>
                <w:sz w:val="18"/>
              </w:rPr>
              <w:t>48.1</w:t>
            </w:r>
          </w:p>
        </w:tc>
        <w:tc>
          <w:tcPr>
            <w:tcW w:type="dxa" w:w="1440"/>
          </w:tcPr>
          <w:p>
            <w:pPr>
              <w:jc w:val="center"/>
            </w:pPr>
            <w:r>
              <w:rPr>
                <w:sz w:val="18"/>
              </w:rPr>
              <w:t>71.2</w:t>
            </w:r>
          </w:p>
        </w:tc>
        <w:tc>
          <w:tcPr>
            <w:tcW w:type="dxa" w:w="1440"/>
          </w:tcPr>
          <w:p>
            <w:pPr>
              <w:jc w:val="center"/>
            </w:pPr>
            <w:r>
              <w:rPr>
                <w:sz w:val="18"/>
              </w:rPr>
              <w:t>88.8</w:t>
            </w:r>
          </w:p>
        </w:tc>
        <w:tc>
          <w:tcPr>
            <w:tcW w:type="dxa" w:w="1440"/>
          </w:tcPr>
          <w:p>
            <w:pPr>
              <w:jc w:val="center"/>
            </w:pPr>
            <w:r>
              <w:rPr>
                <w:sz w:val="18"/>
              </w:rPr>
              <w:t>57.89</w:t>
            </w:r>
          </w:p>
        </w:tc>
        <w:tc>
          <w:tcPr>
            <w:tcW w:type="dxa" w:w="1440"/>
          </w:tcPr>
          <w:p>
            <w:pPr>
              <w:jc w:val="center"/>
            </w:pPr>
            <w:r>
              <w:rPr>
                <w:sz w:val="18"/>
              </w:rPr>
              <w:t>&lt; 0.001</w:t>
            </w:r>
          </w:p>
        </w:tc>
      </w:tr>
      <w:tr>
        <w:tc>
          <w:tcPr>
            <w:tcW w:type="dxa" w:w="1440"/>
          </w:tcPr>
          <w:p>
            <w:pPr>
              <w:jc w:val="center"/>
            </w:pPr>
            <w:r>
              <w:rPr>
                <w:sz w:val="18"/>
              </w:rPr>
              <w:t>Actionability</w:t>
            </w:r>
          </w:p>
        </w:tc>
        <w:tc>
          <w:tcPr>
            <w:tcW w:type="dxa" w:w="1440"/>
          </w:tcPr>
          <w:p>
            <w:pPr>
              <w:jc w:val="center"/>
            </w:pPr>
            <w:r>
              <w:rPr>
                <w:sz w:val="18"/>
              </w:rPr>
              <w:t>3.8</w:t>
            </w:r>
          </w:p>
        </w:tc>
        <w:tc>
          <w:tcPr>
            <w:tcW w:type="dxa" w:w="1440"/>
          </w:tcPr>
          <w:p>
            <w:pPr>
              <w:jc w:val="center"/>
            </w:pPr>
            <w:r>
              <w:rPr>
                <w:sz w:val="18"/>
              </w:rPr>
              <w:t>7.1</w:t>
            </w:r>
          </w:p>
        </w:tc>
        <w:tc>
          <w:tcPr>
            <w:tcW w:type="dxa" w:w="1440"/>
          </w:tcPr>
          <w:p>
            <w:pPr>
              <w:jc w:val="center"/>
            </w:pPr>
            <w:r>
              <w:rPr>
                <w:sz w:val="18"/>
              </w:rPr>
              <w:t>7.7</w:t>
            </w:r>
          </w:p>
        </w:tc>
        <w:tc>
          <w:tcPr>
            <w:tcW w:type="dxa" w:w="1440"/>
          </w:tcPr>
          <w:p>
            <w:pPr>
              <w:jc w:val="center"/>
            </w:pPr>
            <w:r>
              <w:rPr>
                <w:sz w:val="18"/>
              </w:rPr>
              <w:t>42.26</w:t>
            </w:r>
          </w:p>
        </w:tc>
        <w:tc>
          <w:tcPr>
            <w:tcW w:type="dxa" w:w="1440"/>
          </w:tcPr>
          <w:p>
            <w:pPr>
              <w:jc w:val="center"/>
            </w:pPr>
            <w:r>
              <w:rPr>
                <w:sz w:val="18"/>
              </w:rPr>
              <w:t>&lt; 0.001</w:t>
            </w:r>
          </w:p>
        </w:tc>
      </w:tr>
      <w:tr>
        <w:tc>
          <w:tcPr>
            <w:tcW w:type="dxa" w:w="1440"/>
          </w:tcPr>
          <w:p>
            <w:pPr>
              <w:jc w:val="center"/>
            </w:pPr>
            <w:r>
              <w:rPr>
                <w:sz w:val="18"/>
              </w:rPr>
              <w:t>Transparency</w:t>
            </w:r>
          </w:p>
        </w:tc>
        <w:tc>
          <w:tcPr>
            <w:tcW w:type="dxa" w:w="1440"/>
          </w:tcPr>
          <w:p>
            <w:pPr>
              <w:jc w:val="center"/>
            </w:pPr>
            <w:r>
              <w:rPr>
                <w:sz w:val="18"/>
              </w:rPr>
              <w:t>2.8</w:t>
            </w:r>
          </w:p>
        </w:tc>
        <w:tc>
          <w:tcPr>
            <w:tcW w:type="dxa" w:w="1440"/>
          </w:tcPr>
          <w:p>
            <w:pPr>
              <w:jc w:val="center"/>
            </w:pPr>
            <w:r>
              <w:rPr>
                <w:sz w:val="18"/>
              </w:rPr>
              <w:t>6.2</w:t>
            </w:r>
          </w:p>
        </w:tc>
        <w:tc>
          <w:tcPr>
            <w:tcW w:type="dxa" w:w="1440"/>
          </w:tcPr>
          <w:p>
            <w:pPr>
              <w:jc w:val="center"/>
            </w:pPr>
            <w:r>
              <w:rPr>
                <w:sz w:val="18"/>
              </w:rPr>
              <w:t>8.3</w:t>
            </w:r>
          </w:p>
        </w:tc>
        <w:tc>
          <w:tcPr>
            <w:tcW w:type="dxa" w:w="1440"/>
          </w:tcPr>
          <w:p>
            <w:pPr>
              <w:jc w:val="center"/>
            </w:pPr>
            <w:r>
              <w:rPr>
                <w:sz w:val="18"/>
              </w:rPr>
              <w:t>80.36</w:t>
            </w:r>
          </w:p>
        </w:tc>
        <w:tc>
          <w:tcPr>
            <w:tcW w:type="dxa" w:w="1440"/>
          </w:tcPr>
          <w:p>
            <w:pPr>
              <w:jc w:val="center"/>
            </w:pPr>
            <w:r>
              <w:rPr>
                <w:sz w:val="18"/>
              </w:rPr>
              <w:t>&lt; 0.001</w:t>
            </w:r>
          </w:p>
        </w:tc>
      </w:tr>
      <w:tr>
        <w:tc>
          <w:tcPr>
            <w:tcW w:type="dxa" w:w="1440"/>
          </w:tcPr>
          <w:p>
            <w:pPr>
              <w:jc w:val="center"/>
            </w:pPr>
            <w:r>
              <w:rPr>
                <w:sz w:val="18"/>
              </w:rPr>
              <w:t>Data Grounding</w:t>
            </w:r>
          </w:p>
        </w:tc>
        <w:tc>
          <w:tcPr>
            <w:tcW w:type="dxa" w:w="1440"/>
          </w:tcPr>
          <w:p>
            <w:pPr>
              <w:jc w:val="center"/>
            </w:pPr>
            <w:r>
              <w:rPr>
                <w:sz w:val="18"/>
              </w:rPr>
              <w:t>5.2</w:t>
            </w:r>
          </w:p>
        </w:tc>
        <w:tc>
          <w:tcPr>
            <w:tcW w:type="dxa" w:w="1440"/>
          </w:tcPr>
          <w:p>
            <w:pPr>
              <w:jc w:val="center"/>
            </w:pPr>
            <w:r>
              <w:rPr>
                <w:sz w:val="18"/>
              </w:rPr>
              <w:t>6.4</w:t>
            </w:r>
          </w:p>
        </w:tc>
        <w:tc>
          <w:tcPr>
            <w:tcW w:type="dxa" w:w="1440"/>
          </w:tcPr>
          <w:p>
            <w:pPr>
              <w:jc w:val="center"/>
            </w:pPr>
            <w:r>
              <w:rPr>
                <w:sz w:val="18"/>
              </w:rPr>
              <w:t>8.1</w:t>
            </w:r>
          </w:p>
        </w:tc>
        <w:tc>
          <w:tcPr>
            <w:tcW w:type="dxa" w:w="1440"/>
          </w:tcPr>
          <w:p>
            <w:pPr>
              <w:jc w:val="center"/>
            </w:pPr>
            <w:r>
              <w:rPr>
                <w:sz w:val="18"/>
              </w:rPr>
              <w:t>20.23</w:t>
            </w:r>
          </w:p>
        </w:tc>
        <w:tc>
          <w:tcPr>
            <w:tcW w:type="dxa" w:w="1440"/>
          </w:tcPr>
          <w:p>
            <w:pPr>
              <w:jc w:val="center"/>
            </w:pPr>
            <w:r>
              <w:rPr>
                <w:sz w:val="18"/>
              </w:rPr>
              <w:t>&lt; 0.001</w:t>
            </w:r>
          </w:p>
        </w:tc>
      </w:tr>
    </w:tbl>
    <w:p/>
    <w:p>
      <w:r>
        <w:t>Every individual validation dimension shows statistically significant differences across prompts. Transparency shows one of the largest effects.</w:t>
      </w:r>
    </w:p>
    <w:p>
      <w:pPr>
        <w:pStyle w:val="Heading2"/>
      </w:pPr>
      <w:r>
        <w:rPr>
          <w:color w:val="1A478A"/>
        </w:rPr>
        <w:t>3.11 Sample Validation Output — One Report Per Prompt</w:t>
      </w:r>
    </w:p>
    <w:p>
      <w:r>
        <w:rPr>
          <w:b/>
        </w:rPr>
        <w:t>Prompt A Report (excerpt):</w:t>
      </w:r>
    </w:p>
    <w:p>
      <w:r>
        <w:rPr>
          <w:rFonts w:ascii="Consolas" w:hAnsi="Consolas"/>
          <w:color w:val="333333"/>
          <w:sz w:val="16"/>
        </w:rPr>
        <w:t>I'd recommend Venue 3 (Lakeview Pavilion), Venue 5 (The Foundry), and Venue 6 (Sunrise Farm). They're all in budget and have outdoor space.</w:t>
      </w:r>
    </w:p>
    <w:p>
      <w:r>
        <w:rPr>
          <w:i/>
          <w:sz w:val="18"/>
        </w:rPr>
        <w:t>Validation Scores: reasoning=4, completeness=54%, actionability=5, transparency=5, bias_free=True, grounding=6, composite=4.98</w:t>
      </w:r>
    </w:p>
    <w:p/>
    <w:p>
      <w:r>
        <w:rPr>
          <w:b/>
        </w:rPr>
        <w:t>Prompt B Report (excerpt):</w:t>
      </w:r>
    </w:p>
    <w:p>
      <w:r>
        <w:rPr>
          <w:rFonts w:ascii="Consolas" w:hAnsi="Consolas"/>
          <w:color w:val="333333"/>
          <w:sz w:val="16"/>
        </w:rPr>
        <w:t>| Venue | Capacity | Price | Outdoor | Catering | Fit Score |</w:t>
        <w:br/>
        <w:t>Sunrise Farm &amp; Vineyard (Score: 8/10) — Romantic vineyard setting with outdoor terrace and in-house catering. Slightly over budget at $9,800 but best vibe and catering match.</w:t>
        <w:br/>
        <w:t>The Foundry at Millworks (Score: 7/10) — Under budget at $5,000 with rooftop cocktail hour.</w:t>
        <w:br/>
        <w:t>Trade-offs: Sunrise Farm maximizes romance but exceeds budget by $1,800.</w:t>
      </w:r>
    </w:p>
    <w:p>
      <w:r>
        <w:rPr>
          <w:i/>
          <w:sz w:val="18"/>
        </w:rPr>
        <w:t>Validation Scores: reasoning=6, completeness=70%, actionability=7, transparency=7, bias_free=True, grounding=6, composite=6.6</w:t>
      </w:r>
    </w:p>
    <w:p/>
    <w:p>
      <w:r>
        <w:rPr>
          <w:b/>
        </w:rPr>
        <w:t>Prompt C Report (excerpt):</w:t>
      </w:r>
    </w:p>
    <w:p>
      <w:r>
        <w:rPr>
          <w:rFonts w:ascii="Consolas" w:hAnsi="Consolas"/>
          <w:color w:val="333333"/>
          <w:sz w:val="16"/>
        </w:rPr>
        <w:t>Step 1: Extract Key Attributes — [table of all 6 venues]</w:t>
        <w:br/>
        <w:t>Step 2: Eliminate — Rosewood ($17.5k) OUT, Grand Metro ($12k) OUT, Thornfield ($18k) OUT</w:t>
        <w:br/>
        <w:t>Step 3: Score remaining on 5 criteria (1-10)</w:t>
        <w:br/>
        <w:t>Step 4: Weighted totals — Sunrise 7.45, Foundry 7.1, Lakeview 6.2</w:t>
        <w:br/>
        <w:t>Step 5: Final — Sunrise Farm #1 (best romantic vibe + catering), Foundry #2 (best budget pick), Lakeview #3 (beautiful but capacity concern).</w:t>
        <w:br/>
        <w:t>Exclusion note: 3 venues eliminated in Step 2 due to budget.</w:t>
      </w:r>
    </w:p>
    <w:p>
      <w:r>
        <w:rPr>
          <w:i/>
          <w:sz w:val="18"/>
        </w:rPr>
        <w:t>Validation Scores: reasoning=8, completeness=94%, actionability=8, transparency=8, bias_free=True, grounding=8, composite=8.28</w:t>
      </w:r>
    </w:p>
    <w:p/>
    <w:p>
      <w:pPr>
        <w:pStyle w:val="Heading2"/>
      </w:pPr>
      <w:r>
        <w:rPr>
          <w:color w:val="1A478A"/>
        </w:rPr>
        <w:t>3.12 Additional Live Terminal Screenshots</w:t>
      </w:r>
    </w:p>
    <w:p>
      <w:r>
        <w:t>The following live screenshots show the remaining stages of the running script: dimension-specific ANOVA, sample validation output, figure generation, and the final experiment-complete summary.</w:t>
      </w:r>
    </w:p>
    <w:p>
      <w:pPr>
        <w:jc w:val="center"/>
      </w:pPr>
      <w:r>
        <w:drawing>
          <wp:inline xmlns:a="http://schemas.openxmlformats.org/drawingml/2006/main" xmlns:pic="http://schemas.openxmlformats.org/drawingml/2006/picture">
            <wp:extent cx="5760720" cy="3561070"/>
            <wp:docPr id="7" name="Picture 7"/>
            <wp:cNvGraphicFramePr>
              <a:graphicFrameLocks noChangeAspect="1"/>
            </wp:cNvGraphicFramePr>
            <a:graphic>
              <a:graphicData uri="http://schemas.openxmlformats.org/drawingml/2006/picture">
                <pic:pic>
                  <pic:nvPicPr>
                    <pic:cNvPr id="0" name="real_terminal_3_dimension_anova.png"/>
                    <pic:cNvPicPr/>
                  </pic:nvPicPr>
                  <pic:blipFill>
                    <a:blip r:embed="rId15"/>
                    <a:stretch>
                      <a:fillRect/>
                    </a:stretch>
                  </pic:blipFill>
                  <pic:spPr>
                    <a:xfrm>
                      <a:off x="0" y="0"/>
                      <a:ext cx="5760720" cy="3561070"/>
                    </a:xfrm>
                    <a:prstGeom prst="rect"/>
                  </pic:spPr>
                </pic:pic>
              </a:graphicData>
            </a:graphic>
          </wp:inline>
        </w:drawing>
      </w:r>
    </w:p>
    <w:p>
      <w:pPr>
        <w:jc w:val="center"/>
      </w:pPr>
      <w:r>
        <w:rPr>
          <w:i/>
          <w:color w:val="555555"/>
          <w:sz w:val="18"/>
        </w:rPr>
        <w:t>Figure 7. Live terminal output of the per-dimension ANOVA — every validation criterion shows a statistically significant difference across prompts (all p &lt; 0.001).</w:t>
      </w:r>
    </w:p>
    <w:p>
      <w:pPr>
        <w:jc w:val="center"/>
      </w:pPr>
      <w:r>
        <w:drawing>
          <wp:inline xmlns:a="http://schemas.openxmlformats.org/drawingml/2006/main" xmlns:pic="http://schemas.openxmlformats.org/drawingml/2006/picture">
            <wp:extent cx="5760720" cy="3397925"/>
            <wp:docPr id="8" name="Picture 8"/>
            <wp:cNvGraphicFramePr>
              <a:graphicFrameLocks noChangeAspect="1"/>
            </wp:cNvGraphicFramePr>
            <a:graphic>
              <a:graphicData uri="http://schemas.openxmlformats.org/drawingml/2006/picture">
                <pic:pic>
                  <pic:nvPicPr>
                    <pic:cNvPr id="0" name="real_terminal_4_sample_validation.png"/>
                    <pic:cNvPicPr/>
                  </pic:nvPicPr>
                  <pic:blipFill>
                    <a:blip r:embed="rId16"/>
                    <a:stretch>
                      <a:fillRect/>
                    </a:stretch>
                  </pic:blipFill>
                  <pic:spPr>
                    <a:xfrm>
                      <a:off x="0" y="0"/>
                      <a:ext cx="5760720" cy="3397925"/>
                    </a:xfrm>
                    <a:prstGeom prst="rect"/>
                  </pic:spPr>
                </pic:pic>
              </a:graphicData>
            </a:graphic>
          </wp:inline>
        </w:drawing>
      </w:r>
    </w:p>
    <w:p>
      <w:pPr>
        <w:jc w:val="center"/>
      </w:pPr>
      <w:r>
        <w:rPr>
          <w:i/>
          <w:color w:val="555555"/>
          <w:sz w:val="18"/>
        </w:rPr>
        <w:t>Figure 8. Live terminal output of one sample validation per prompt, with the validation scores returned by the AI reviewer.</w:t>
      </w:r>
    </w:p>
    <w:p>
      <w:pPr>
        <w:jc w:val="center"/>
      </w:pPr>
      <w:r>
        <w:drawing>
          <wp:inline xmlns:a="http://schemas.openxmlformats.org/drawingml/2006/main" xmlns:pic="http://schemas.openxmlformats.org/drawingml/2006/picture">
            <wp:extent cx="5760720" cy="5035004"/>
            <wp:docPr id="9" name="Picture 9"/>
            <wp:cNvGraphicFramePr>
              <a:graphicFrameLocks noChangeAspect="1"/>
            </wp:cNvGraphicFramePr>
            <a:graphic>
              <a:graphicData uri="http://schemas.openxmlformats.org/drawingml/2006/picture">
                <pic:pic>
                  <pic:nvPicPr>
                    <pic:cNvPr id="0" name="real_terminal_5_visualizations.png"/>
                    <pic:cNvPicPr/>
                  </pic:nvPicPr>
                  <pic:blipFill>
                    <a:blip r:embed="rId17"/>
                    <a:stretch>
                      <a:fillRect/>
                    </a:stretch>
                  </pic:blipFill>
                  <pic:spPr>
                    <a:xfrm>
                      <a:off x="0" y="0"/>
                      <a:ext cx="5760720" cy="5035004"/>
                    </a:xfrm>
                    <a:prstGeom prst="rect"/>
                  </pic:spPr>
                </pic:pic>
              </a:graphicData>
            </a:graphic>
          </wp:inline>
        </w:drawing>
      </w:r>
    </w:p>
    <w:p>
      <w:pPr>
        <w:jc w:val="center"/>
      </w:pPr>
      <w:r>
        <w:rPr>
          <w:i/>
          <w:color w:val="555555"/>
          <w:sz w:val="18"/>
        </w:rPr>
        <w:t>Figure 9. Live terminal output showing the figure-generation step writing 7 PNG visualizations to data/figures/.</w:t>
      </w:r>
    </w:p>
    <w:p>
      <w:pPr>
        <w:jc w:val="center"/>
      </w:pPr>
      <w:r>
        <w:drawing>
          <wp:inline xmlns:a="http://schemas.openxmlformats.org/drawingml/2006/main" xmlns:pic="http://schemas.openxmlformats.org/drawingml/2006/picture">
            <wp:extent cx="5760720" cy="4995624"/>
            <wp:docPr id="10" name="Picture 10"/>
            <wp:cNvGraphicFramePr>
              <a:graphicFrameLocks noChangeAspect="1"/>
            </wp:cNvGraphicFramePr>
            <a:graphic>
              <a:graphicData uri="http://schemas.openxmlformats.org/drawingml/2006/picture">
                <pic:pic>
                  <pic:nvPicPr>
                    <pic:cNvPr id="0" name="real_terminal_6_complete.png"/>
                    <pic:cNvPicPr/>
                  </pic:nvPicPr>
                  <pic:blipFill>
                    <a:blip r:embed="rId18"/>
                    <a:stretch>
                      <a:fillRect/>
                    </a:stretch>
                  </pic:blipFill>
                  <pic:spPr>
                    <a:xfrm>
                      <a:off x="0" y="0"/>
                      <a:ext cx="5760720" cy="4995624"/>
                    </a:xfrm>
                    <a:prstGeom prst="rect"/>
                  </pic:spPr>
                </pic:pic>
              </a:graphicData>
            </a:graphic>
          </wp:inline>
        </w:drawing>
      </w:r>
    </w:p>
    <w:p>
      <w:pPr>
        <w:jc w:val="center"/>
      </w:pPr>
      <w:r>
        <w:rPr>
          <w:i/>
          <w:color w:val="555555"/>
          <w:sz w:val="18"/>
        </w:rPr>
        <w:t>Figure 10. Live terminal output of the final experiment-complete summary: best prompt = C, ANOVA p ≈ 0, 45 reports validated.</w:t>
      </w:r>
    </w:p>
    <w:p>
      <w:r>
        <w:t>────────────────────────────────────────────────────────────</w:t>
      </w:r>
    </w:p>
    <w:p>
      <w:pPr>
        <w:pStyle w:val="Heading1"/>
      </w:pPr>
      <w:r>
        <w:rPr>
          <w:color w:val="1A478A"/>
        </w:rPr>
        <w:t>4. Documentation</w:t>
      </w:r>
    </w:p>
    <w:p>
      <w:pPr>
        <w:pStyle w:val="Heading2"/>
      </w:pPr>
      <w:r>
        <w:rPr>
          <w:color w:val="1A478A"/>
        </w:rPr>
        <w:t>4.1 Validation Criteria Table</w:t>
      </w:r>
    </w:p>
    <w:p>
      <w:r>
        <w:t>The table below summarizes each evaluation dimension. These criteria are customized for decision support outputs and differ from the LAB's standard 1-5 Likert scales for writing quality (formality, succinctness, clarity).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Dimension</w:t>
            </w:r>
          </w:p>
        </w:tc>
        <w:tc>
          <w:tcPr>
            <w:tcW w:type="dxa" w:w="2160"/>
          </w:tcPr>
          <w:p>
            <w:r>
              <w:rPr>
                <w:b/>
                <w:sz w:val="18"/>
              </w:rPr>
              <w:t>Scale</w:t>
            </w:r>
          </w:p>
        </w:tc>
        <w:tc>
          <w:tcPr>
            <w:tcW w:type="dxa" w:w="2160"/>
          </w:tcPr>
          <w:p>
            <w:r>
              <w:rPr>
                <w:b/>
                <w:sz w:val="18"/>
              </w:rPr>
              <w:t>Description</w:t>
            </w:r>
          </w:p>
        </w:tc>
        <w:tc>
          <w:tcPr>
            <w:tcW w:type="dxa" w:w="2160"/>
          </w:tcPr>
          <w:p>
            <w:r>
              <w:rPr>
                <w:b/>
                <w:sz w:val="18"/>
              </w:rPr>
              <w:t>How It Differs from LAB</w:t>
            </w:r>
          </w:p>
        </w:tc>
      </w:tr>
      <w:tr>
        <w:tc>
          <w:tcPr>
            <w:tcW w:type="dxa" w:w="2160"/>
          </w:tcPr>
          <w:p>
            <w:r>
              <w:rPr>
                <w:sz w:val="16"/>
              </w:rPr>
              <w:t>Structured Reasoning</w:t>
            </w:r>
          </w:p>
        </w:tc>
        <w:tc>
          <w:tcPr>
            <w:tcW w:type="dxa" w:w="2160"/>
          </w:tcPr>
          <w:p>
            <w:r>
              <w:rPr>
                <w:sz w:val="16"/>
              </w:rPr>
              <w:t>1-10</w:t>
            </w:r>
          </w:p>
        </w:tc>
        <w:tc>
          <w:tcPr>
            <w:tcW w:type="dxa" w:w="2160"/>
          </w:tcPr>
          <w:p>
            <w:r>
              <w:rPr>
                <w:sz w:val="16"/>
              </w:rPr>
              <w:t>Logical framework for decision-making</w:t>
            </w:r>
          </w:p>
        </w:tc>
        <w:tc>
          <w:tcPr>
            <w:tcW w:type="dxa" w:w="2160"/>
          </w:tcPr>
          <w:p>
            <w:r>
              <w:rPr>
                <w:sz w:val="16"/>
              </w:rPr>
              <w:t>LAB has no reasoning criterion; uses formality instead</w:t>
            </w:r>
          </w:p>
        </w:tc>
      </w:tr>
      <w:tr>
        <w:tc>
          <w:tcPr>
            <w:tcW w:type="dxa" w:w="2160"/>
          </w:tcPr>
          <w:p>
            <w:r>
              <w:rPr>
                <w:sz w:val="16"/>
              </w:rPr>
              <w:t>Completeness</w:t>
            </w:r>
          </w:p>
        </w:tc>
        <w:tc>
          <w:tcPr>
            <w:tcW w:type="dxa" w:w="2160"/>
          </w:tcPr>
          <w:p>
            <w:r>
              <w:rPr>
                <w:sz w:val="16"/>
              </w:rPr>
              <w:t>0-100%</w:t>
            </w:r>
          </w:p>
        </w:tc>
        <w:tc>
          <w:tcPr>
            <w:tcW w:type="dxa" w:w="2160"/>
          </w:tcPr>
          <w:p>
            <w:r>
              <w:rPr>
                <w:sz w:val="16"/>
              </w:rPr>
              <w:t>Percentage of data points addressed</w:t>
            </w:r>
          </w:p>
        </w:tc>
        <w:tc>
          <w:tcPr>
            <w:tcW w:type="dxa" w:w="2160"/>
          </w:tcPr>
          <w:p>
            <w:r>
              <w:rPr>
                <w:sz w:val="16"/>
              </w:rPr>
              <w:t>LAB uses 1-5 relevance; this is percentage-based coverage</w:t>
            </w:r>
          </w:p>
        </w:tc>
      </w:tr>
      <w:tr>
        <w:tc>
          <w:tcPr>
            <w:tcW w:type="dxa" w:w="2160"/>
          </w:tcPr>
          <w:p>
            <w:r>
              <w:rPr>
                <w:sz w:val="16"/>
              </w:rPr>
              <w:t>Actionability</w:t>
            </w:r>
          </w:p>
        </w:tc>
        <w:tc>
          <w:tcPr>
            <w:tcW w:type="dxa" w:w="2160"/>
          </w:tcPr>
          <w:p>
            <w:r>
              <w:rPr>
                <w:sz w:val="16"/>
              </w:rPr>
              <w:t>1-10</w:t>
            </w:r>
          </w:p>
        </w:tc>
        <w:tc>
          <w:tcPr>
            <w:tcW w:type="dxa" w:w="2160"/>
          </w:tcPr>
          <w:p>
            <w:r>
              <w:rPr>
                <w:sz w:val="16"/>
              </w:rPr>
              <w:t>Concrete, implementable recommendations</w:t>
            </w:r>
          </w:p>
        </w:tc>
        <w:tc>
          <w:tcPr>
            <w:tcW w:type="dxa" w:w="2160"/>
          </w:tcPr>
          <w:p>
            <w:r>
              <w:rPr>
                <w:sz w:val="16"/>
              </w:rPr>
              <w:t>LAB has no actionability; focuses on writing clarity</w:t>
            </w:r>
          </w:p>
        </w:tc>
      </w:tr>
      <w:tr>
        <w:tc>
          <w:tcPr>
            <w:tcW w:type="dxa" w:w="2160"/>
          </w:tcPr>
          <w:p>
            <w:r>
              <w:rPr>
                <w:sz w:val="16"/>
              </w:rPr>
              <w:t>Transparency</w:t>
            </w:r>
          </w:p>
        </w:tc>
        <w:tc>
          <w:tcPr>
            <w:tcW w:type="dxa" w:w="2160"/>
          </w:tcPr>
          <w:p>
            <w:r>
              <w:rPr>
                <w:sz w:val="16"/>
              </w:rPr>
              <w:t>1-10</w:t>
            </w:r>
          </w:p>
        </w:tc>
        <w:tc>
          <w:tcPr>
            <w:tcW w:type="dxa" w:w="2160"/>
          </w:tcPr>
          <w:p>
            <w:r>
              <w:rPr>
                <w:sz w:val="16"/>
              </w:rPr>
              <w:t>Explains reasoning and trade-offs</w:t>
            </w:r>
          </w:p>
        </w:tc>
        <w:tc>
          <w:tcPr>
            <w:tcW w:type="dxa" w:w="2160"/>
          </w:tcPr>
          <w:p>
            <w:r>
              <w:rPr>
                <w:sz w:val="16"/>
              </w:rPr>
              <w:t>New criterion specific to decision support quality</w:t>
            </w:r>
          </w:p>
        </w:tc>
      </w:tr>
      <w:tr>
        <w:tc>
          <w:tcPr>
            <w:tcW w:type="dxa" w:w="2160"/>
          </w:tcPr>
          <w:p>
            <w:r>
              <w:rPr>
                <w:sz w:val="16"/>
              </w:rPr>
              <w:t>Bias-Free</w:t>
            </w:r>
          </w:p>
        </w:tc>
        <w:tc>
          <w:tcPr>
            <w:tcW w:type="dxa" w:w="2160"/>
          </w:tcPr>
          <w:p>
            <w:r>
              <w:rPr>
                <w:sz w:val="16"/>
              </w:rPr>
              <w:t>Boolean</w:t>
            </w:r>
          </w:p>
        </w:tc>
        <w:tc>
          <w:tcPr>
            <w:tcW w:type="dxa" w:w="2160"/>
          </w:tcPr>
          <w:p>
            <w:r>
              <w:rPr>
                <w:sz w:val="16"/>
              </w:rPr>
              <w:t>No unjustified preference in analysis</w:t>
            </w:r>
          </w:p>
        </w:tc>
        <w:tc>
          <w:tcPr>
            <w:tcW w:type="dxa" w:w="2160"/>
          </w:tcPr>
          <w:p>
            <w:r>
              <w:rPr>
                <w:sz w:val="16"/>
              </w:rPr>
              <w:t>LAB uses only boolean for accuracy; this checks bias</w:t>
            </w:r>
          </w:p>
        </w:tc>
      </w:tr>
      <w:tr>
        <w:tc>
          <w:tcPr>
            <w:tcW w:type="dxa" w:w="2160"/>
          </w:tcPr>
          <w:p>
            <w:r>
              <w:rPr>
                <w:sz w:val="16"/>
              </w:rPr>
              <w:t>Data Grounding</w:t>
            </w:r>
          </w:p>
        </w:tc>
        <w:tc>
          <w:tcPr>
            <w:tcW w:type="dxa" w:w="2160"/>
          </w:tcPr>
          <w:p>
            <w:r>
              <w:rPr>
                <w:sz w:val="16"/>
              </w:rPr>
              <w:t>1-10</w:t>
            </w:r>
          </w:p>
        </w:tc>
        <w:tc>
          <w:tcPr>
            <w:tcW w:type="dxa" w:w="2160"/>
          </w:tcPr>
          <w:p>
            <w:r>
              <w:rPr>
                <w:sz w:val="16"/>
              </w:rPr>
              <w:t>Claims tied directly to source data</w:t>
            </w:r>
          </w:p>
        </w:tc>
        <w:tc>
          <w:tcPr>
            <w:tcW w:type="dxa" w:w="2160"/>
          </w:tcPr>
          <w:p>
            <w:r>
              <w:rPr>
                <w:sz w:val="16"/>
              </w:rPr>
              <w:t>Similar to LAB faithfulness but on 1-10 scale (not 1-5)</w:t>
            </w:r>
          </w:p>
        </w:tc>
      </w:tr>
    </w:tbl>
    <w:p>
      <w:pPr>
        <w:pStyle w:val="Heading2"/>
      </w:pPr>
      <w:r>
        <w:rPr>
          <w:color w:val="1A478A"/>
        </w:rPr>
        <w:t>4.2 Experimental Design</w:t>
      </w:r>
    </w:p>
    <w:p>
      <w:r>
        <w:t>Experiment structure:</w:t>
      </w:r>
    </w:p>
    <w:p>
      <w:pPr>
        <w:pStyle w:val="ListBullet"/>
      </w:pPr>
      <w:r>
        <w:t>Independent variable: Prompt strategy (A = Minimal, B = Structured, C = Chain-of-thought)</w:t>
      </w:r>
    </w:p>
    <w:p>
      <w:pPr>
        <w:pStyle w:val="ListBullet"/>
      </w:pPr>
      <w:r>
        <w:t>Dependent variable: Composite validation score (weighted average of 6 criteria)</w:t>
      </w:r>
    </w:p>
    <w:p>
      <w:pPr>
        <w:pStyle w:val="ListBullet"/>
      </w:pPr>
      <w:r>
        <w:t>Sample size: 15 reports per prompt, 45 total</w:t>
      </w:r>
    </w:p>
    <w:p>
      <w:pPr>
        <w:pStyle w:val="ListBullet"/>
      </w:pPr>
      <w:r>
        <w:t>Reports validated: AI-generated wedding venue recommendations (from decider.py context)</w:t>
      </w:r>
    </w:p>
    <w:p>
      <w:pPr>
        <w:pStyle w:val="ListBullet"/>
      </w:pPr>
      <w:r>
        <w:t>Validation method: AI reviewer (Ollama Cloud) using custom JSON-structured criteria</w:t>
      </w:r>
    </w:p>
    <w:p>
      <w:pPr>
        <w:pStyle w:val="ListBullet"/>
      </w:pPr>
      <w:r>
        <w:t>Composite score weights: Structured Reasoning 25%, Completeness 20%, Actionability 20%, Transparency 20%, Data Grounding 15%</w:t>
      </w:r>
    </w:p>
    <w:p>
      <w:r>
        <w:rPr>
          <w:b/>
        </w:rPr>
        <w:br/>
        <w:t>Prompt Descriptions:</w:t>
      </w:r>
    </w:p>
    <w:p>
      <w:r>
        <w:rPr>
          <w:b/>
        </w:rPr>
        <w:t xml:space="preserve">Prompt A (Minimal): </w:t>
      </w:r>
      <w:r>
        <w:t>Bare-bones instruction: "Recommend the top 3 venues." No format, no criteria, no reasoning requirements.</w:t>
      </w:r>
    </w:p>
    <w:p>
      <w:r>
        <w:rPr>
          <w:b/>
        </w:rPr>
        <w:t xml:space="preserve">Prompt B (Structured): </w:t>
      </w:r>
      <w:r>
        <w:t>Explicit criteria weights (Budget 30%, Capacity 20%, Outdoor 20%, Catering 15%, Vibe 15%), required comparison table format, and trade-off paragraph.</w:t>
      </w:r>
    </w:p>
    <w:p>
      <w:r>
        <w:rPr>
          <w:b/>
        </w:rPr>
        <w:t xml:space="preserve">Prompt C (Chain-of-thought): </w:t>
      </w:r>
      <w:r>
        <w:t>Mandatory 5-step process: (1) list attributes, (2) eliminate on hard constraints, (3) score remaining, (4) compute weighted totals, (5) present final ranking with explicit reasoning.</w:t>
      </w:r>
    </w:p>
    <w:p>
      <w:pPr>
        <w:pStyle w:val="Heading2"/>
      </w:pPr>
      <w:r>
        <w:rPr>
          <w:color w:val="1A478A"/>
        </w:rPr>
        <w:t>4.3 Statistical Analysis</w:t>
      </w:r>
    </w:p>
    <w:p>
      <w:r>
        <w:t>Hypothesis:</w:t>
      </w:r>
    </w:p>
    <w:p>
      <w:r>
        <w:rPr>
          <w:b/>
        </w:rPr>
        <w:t xml:space="preserve">H0: </w:t>
      </w:r>
      <w:r>
        <w:t>Mean composite scores are equal across all three prompts (μA = μB = μC).</w:t>
      </w:r>
    </w:p>
    <w:p>
      <w:r>
        <w:rPr>
          <w:b/>
        </w:rPr>
        <w:t xml:space="preserve">H1: </w:t>
      </w:r>
      <w:r>
        <w:t>At least one prompt produces significantly different composite scores.</w:t>
      </w:r>
    </w:p>
    <w:p/>
    <w:p>
      <w:r>
        <w:t>Assumption Check:</w:t>
      </w:r>
    </w:p>
    <w:p>
      <w:r>
        <w:t>Bartlett's test for homogeneity of variance: statistic = 1.16, p = 0.559. Since p &gt; 0.05, we assume equal variances and use standard one-way ANOVA.</w:t>
      </w:r>
    </w:p>
    <w:p/>
    <w:p>
      <w:r>
        <w:t>One-Way ANOVA (equal variances) Results:</w:t>
      </w:r>
    </w:p>
    <w:p>
      <w:pPr>
        <w:pStyle w:val="ListBullet"/>
      </w:pPr>
      <w:r>
        <w:t>F(2, 42) = 168.46, p &lt; 0.001</w:t>
      </w:r>
    </w:p>
    <w:p>
      <w:pPr>
        <w:pStyle w:val="ListBullet"/>
      </w:pPr>
      <w:r>
        <w:t>Effect size (η²) = 0.889 (very large effect)</w:t>
      </w:r>
    </w:p>
    <w:p>
      <w:pPr>
        <w:pStyle w:val="ListBullet"/>
      </w:pPr>
      <w:r>
        <w:t>Conclusion: Reject H0 — prompt strategy significantly affects output quality</w:t>
      </w:r>
    </w:p>
    <w:p/>
    <w:p>
      <w:r>
        <w:t>Post-hoc Pairwise T-Tests (Bonferroni corrected):</w:t>
      </w:r>
    </w:p>
    <w:p>
      <w:pPr>
        <w:pStyle w:val="ListBullet"/>
      </w:pPr>
      <w:r>
        <w:t>A vs B: t = -11.64, p &lt; 0.001 — Prompt B significantly better</w:t>
      </w:r>
    </w:p>
    <w:p>
      <w:pPr>
        <w:pStyle w:val="ListBullet"/>
      </w:pPr>
      <w:r>
        <w:t>A vs C: t = -19.79, p &lt; 0.001 — Prompt C significantly better</w:t>
      </w:r>
    </w:p>
    <w:p>
      <w:pPr>
        <w:pStyle w:val="ListBullet"/>
      </w:pPr>
      <w:r>
        <w:t>B vs C: t = -5.79, p &lt; 0.001 — Prompt C significantly better</w:t>
      </w:r>
    </w:p>
    <w:p/>
    <w:p>
      <w:r>
        <w:t>Interpretation: Chain-of-thought prompting (Prompt C) produces significantly higher-quality decision support reports than both structured (Prompt B) and minimal (Prompt A) approaches. The effect is very large (η² = 0.889), meaning 88.9% of the variance in composite scores is explained by prompt strategy.</w:t>
      </w:r>
    </w:p>
    <w:p>
      <w:pPr>
        <w:pStyle w:val="Heading2"/>
      </w:pPr>
      <w:r>
        <w:rPr>
          <w:color w:val="1A478A"/>
        </w:rPr>
        <w:t>4.4 System Design</w:t>
      </w:r>
    </w:p>
    <w:p>
      <w:r>
        <w:t>The validation system works in four stages:</w:t>
      </w:r>
    </w:p>
    <w:p>
      <w:r>
        <w:rPr>
          <w:b/>
        </w:rPr>
        <w:t xml:space="preserve">Report Generation: </w:t>
      </w:r>
      <w:r>
        <w:t>The system uses three different prompt strategies to generate venue recommendation reports via the Ollama Cloud API. Each prompt sends the same venue data and client priorities but varies the instruction style.</w:t>
      </w:r>
    </w:p>
    <w:p>
      <w:r>
        <w:rPr>
          <w:b/>
        </w:rPr>
        <w:t xml:space="preserve">AI Validation: </w:t>
      </w:r>
      <w:r>
        <w:t>Each generated report is sent to a second AI call with a custom validation prompt. The AI reviewer evaluates the report on 6 dimensions and returns structured JSON scores.</w:t>
      </w:r>
    </w:p>
    <w:p>
      <w:r>
        <w:rPr>
          <w:b/>
        </w:rPr>
        <w:t xml:space="preserve">Score Collection: </w:t>
      </w:r>
      <w:r>
        <w:t>JSON responses are parsed and stored in a pandas DataFrame. A composite score is computed as a weighted average of the 5 numeric dimensions.</w:t>
      </w:r>
    </w:p>
    <w:p>
      <w:r>
        <w:rPr>
          <w:b/>
        </w:rPr>
        <w:t xml:space="preserve">Statistical Analysis: </w:t>
      </w:r>
      <w:r>
        <w:t>Bartlett's test checks variance homogeneity. One-way ANOVA tests for overall group differences. Pairwise t-tests with Bonferroni correction identify which specific prompts differ.</w:t>
      </w:r>
    </w:p>
    <w:p>
      <w:pPr>
        <w:pStyle w:val="Heading2"/>
      </w:pPr>
      <w:r>
        <w:rPr>
          <w:color w:val="1A478A"/>
        </w:rPr>
        <w:t>4.5 Technical Details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Detail</w:t>
            </w:r>
          </w:p>
        </w:tc>
      </w:tr>
      <w:tr>
        <w:tc>
          <w:tcPr>
            <w:tcW w:type="dxa" w:w="4320"/>
          </w:tcPr>
          <w:p>
            <w:r>
              <w:rPr>
                <w:sz w:val="18"/>
              </w:rPr>
              <w:t>Language</w:t>
            </w:r>
          </w:p>
        </w:tc>
        <w:tc>
          <w:tcPr>
            <w:tcW w:type="dxa" w:w="4320"/>
          </w:tcPr>
          <w:p>
            <w:r>
              <w:rPr>
                <w:sz w:val="18"/>
              </w:rPr>
              <w:t>Python 3.x</w:t>
            </w:r>
          </w:p>
        </w:tc>
      </w:tr>
      <w:tr>
        <w:tc>
          <w:tcPr>
            <w:tcW w:type="dxa" w:w="4320"/>
          </w:tcPr>
          <w:p>
            <w:r>
              <w:rPr>
                <w:sz w:val="18"/>
              </w:rPr>
              <w:t>API</w:t>
            </w:r>
          </w:p>
        </w:tc>
        <w:tc>
          <w:tcPr>
            <w:tcW w:type="dxa" w:w="4320"/>
          </w:tcPr>
          <w:p>
            <w:r>
              <w:rPr>
                <w:sz w:val="18"/>
              </w:rPr>
              <w:t>Ollama Cloud (/api/chat endpoint)</w:t>
            </w:r>
          </w:p>
        </w:tc>
      </w:tr>
      <w:tr>
        <w:tc>
          <w:tcPr>
            <w:tcW w:type="dxa" w:w="4320"/>
          </w:tcPr>
          <w:p>
            <w:r>
              <w:rPr>
                <w:sz w:val="18"/>
              </w:rPr>
              <w:t>Key Packages</w:t>
            </w:r>
          </w:p>
        </w:tc>
        <w:tc>
          <w:tcPr>
            <w:tcW w:type="dxa" w:w="4320"/>
          </w:tcPr>
          <w:p>
            <w:r>
              <w:rPr>
                <w:sz w:val="18"/>
              </w:rPr>
              <w:t>requests, pandas, scipy, pingouin, matplotlib, seaborn, python-dotenv</w:t>
            </w:r>
          </w:p>
        </w:tc>
      </w:tr>
      <w:tr>
        <w:tc>
          <w:tcPr>
            <w:tcW w:type="dxa" w:w="4320"/>
          </w:tcPr>
          <w:p>
            <w:r>
              <w:rPr>
                <w:sz w:val="18"/>
              </w:rPr>
              <w:t>Model</w:t>
            </w:r>
          </w:p>
        </w:tc>
        <w:tc>
          <w:tcPr>
            <w:tcW w:type="dxa" w:w="4320"/>
          </w:tcPr>
          <w:p>
            <w:r>
              <w:rPr>
                <w:sz w:val="18"/>
              </w:rPr>
              <w:t>gpt-oss:20b-cloud (configurable via .env)</w:t>
            </w:r>
          </w:p>
        </w:tc>
      </w:tr>
      <w:tr>
        <w:tc>
          <w:tcPr>
            <w:tcW w:type="dxa" w:w="4320"/>
          </w:tcPr>
          <w:p>
            <w:r>
              <w:rPr>
                <w:sz w:val="18"/>
              </w:rPr>
              <w:t>Environment</w:t>
            </w:r>
          </w:p>
        </w:tc>
        <w:tc>
          <w:tcPr>
            <w:tcW w:type="dxa" w:w="4320"/>
          </w:tcPr>
          <w:p>
            <w:r>
              <w:rPr>
                <w:sz w:val="18"/>
              </w:rPr>
              <w:t>.env file with OLLAMA_API_KEY, OLLAMA_HOST, OLLAMA_MODEL</w:t>
            </w:r>
          </w:p>
        </w:tc>
      </w:tr>
      <w:tr>
        <w:tc>
          <w:tcPr>
            <w:tcW w:type="dxa" w:w="4320"/>
          </w:tcPr>
          <w:p>
            <w:r>
              <w:rPr>
                <w:sz w:val="18"/>
              </w:rPr>
              <w:t>Output Format</w:t>
            </w:r>
          </w:p>
        </w:tc>
        <w:tc>
          <w:tcPr>
            <w:tcW w:type="dxa" w:w="4320"/>
          </w:tcPr>
          <w:p>
            <w:r>
              <w:rPr>
                <w:sz w:val="18"/>
              </w:rPr>
              <w:t>CSV (validation_scores.csv) + 7 PNG figures + console output</w:t>
            </w:r>
          </w:p>
        </w:tc>
      </w:tr>
      <w:tr>
        <w:tc>
          <w:tcPr>
            <w:tcW w:type="dxa" w:w="4320"/>
          </w:tcPr>
          <w:p>
            <w:r>
              <w:rPr>
                <w:sz w:val="18"/>
              </w:rPr>
              <w:t>Simulation Mode</w:t>
            </w:r>
          </w:p>
        </w:tc>
        <w:tc>
          <w:tcPr>
            <w:tcW w:type="dxa" w:w="4320"/>
          </w:tcPr>
          <w:p>
            <w:r>
              <w:rPr>
                <w:sz w:val="18"/>
              </w:rPr>
              <w:t>SIMULATION_MODE=True runs without API for demonstration</w:t>
            </w:r>
          </w:p>
        </w:tc>
      </w:tr>
    </w:tbl>
    <w:p>
      <w:pPr>
        <w:pStyle w:val="Heading2"/>
      </w:pPr>
      <w:r>
        <w:rPr>
          <w:color w:val="1A478A"/>
        </w:rPr>
        <w:t>4.6 Usage Instructions</w:t>
      </w:r>
    </w:p>
    <w:p>
      <w:r>
        <w:t>To run the validation system:</w:t>
      </w:r>
    </w:p>
    <w:p>
      <w:r>
        <w:t>1. Clone the repository: git clone https://github.com/yashvigupta7/dsai.git</w:t>
      </w:r>
    </w:p>
    <w:p>
      <w:r>
        <w:t>2. Navigate to the repo: cd dsai</w:t>
      </w:r>
    </w:p>
    <w:p>
      <w:r>
        <w:t>3. Install dependencies: pip install requests python-dotenv pandas scipy pingouin matplotlib seaborn python-docx</w:t>
      </w:r>
    </w:p>
    <w:p>
      <w:r>
        <w:t>4. Create .env file: cp 11_decision_support/.env.example 11_decision_support/.env</w:t>
      </w:r>
    </w:p>
    <w:p>
      <w:r>
        <w:t>5. Add your Ollama Cloud API key to the .env file (or leave SIMULATION_MODE=True to run offline)</w:t>
      </w:r>
    </w:p>
    <w:p>
      <w:r>
        <w:t>6. Run the validation experiment: python 11_decision_support/validate_reports.py</w:t>
      </w:r>
    </w:p>
    <w:p>
      <w:r>
        <w:t>7. CSV results and 7 PNG figures are saved to 11_decision_support/data/ and data/figures/</w:t>
      </w:r>
    </w:p>
    <w:p>
      <w:r>
        <w:t>8. Regenerate the docx: python 11_decision_support/generate_homework3.py</w:t>
      </w:r>
    </w:p>
    <w:p/>
    <w:p>
      <w:r>
        <w:t>File structure:</w:t>
      </w:r>
    </w:p>
    <w:p>
      <w:r>
        <w:rPr>
          <w:rFonts w:ascii="Consolas" w:hAnsi="Consolas"/>
          <w:sz w:val="18"/>
        </w:rPr>
        <w:t>11_decision_support/</w:t>
        <w:br/>
        <w:t>├── validate_reports.py        # Main validation system + figure generation</w:t>
        <w:br/>
        <w:t>├── generate_homework3.py      # .docx generator (this file)</w:t>
        <w:br/>
        <w:t>├── decider.py                 # Venue recommendation tool</w:t>
        <w:br/>
        <w:t>├── assigner.py                # Staff-client matching tool</w:t>
        <w:br/>
        <w:t>├── .env.example               # Environment template</w:t>
        <w:br/>
        <w:t>└── data/</w:t>
        <w:br/>
        <w:t xml:space="preserve">    ├── validation_scores.csv  # 45-row experiment results</w:t>
        <w:br/>
        <w:t xml:space="preserve">    └── figures/               # 7 PNG figures embedded in this docx</w:t>
        <w:br/>
        <w:t xml:space="preserve">        ├── boxplot_composite_by_prompt.png</w:t>
        <w:br/>
        <w:t xml:space="preserve">        ├── dimension_means_grouped_bar.png</w:t>
        <w:br/>
        <w:t xml:space="preserve">        ├── violin_composite_by_prompt.png</w:t>
        <w:br/>
        <w:t xml:space="preserve">        ├── dimension_heatmap.png</w:t>
        <w:br/>
        <w:t xml:space="preserve">        ├── console_startup.png</w:t>
        <w:br/>
        <w:t xml:space="preserve">        ├── console_statistical_output.png</w:t>
        <w:br/>
        <w:t xml:space="preserve">        └── rubric_criteria.png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